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7455" w14:textId="77777777" w:rsidR="003665EC" w:rsidRDefault="00DC5B5C" w:rsidP="00DC5B5C">
      <w:pPr>
        <w:pStyle w:val="Heading1"/>
      </w:pPr>
      <w:r>
        <w:t>Appendix 1 - Definitions of engagement used in the included articles</w:t>
      </w:r>
    </w:p>
    <w:p w14:paraId="5B679D58" w14:textId="77777777" w:rsidR="00DC5B5C" w:rsidRDefault="00DC5B5C"/>
    <w:p w14:paraId="310C2936" w14:textId="3A78BD3E" w:rsidR="00DC5B5C" w:rsidRDefault="00DC5B5C">
      <w:r>
        <w:t>Student engagement (n = 1</w:t>
      </w:r>
      <w:r w:rsidR="00DF56E7">
        <w:t>8</w:t>
      </w:r>
      <w:r>
        <w:t>)</w:t>
      </w:r>
    </w:p>
    <w:tbl>
      <w:tblPr>
        <w:tblStyle w:val="TableGrid"/>
        <w:tblW w:w="0" w:type="auto"/>
        <w:tblLook w:val="04A0" w:firstRow="1" w:lastRow="0" w:firstColumn="1" w:lastColumn="0" w:noHBand="0" w:noVBand="1"/>
      </w:tblPr>
      <w:tblGrid>
        <w:gridCol w:w="1403"/>
        <w:gridCol w:w="7947"/>
      </w:tblGrid>
      <w:tr w:rsidR="00DC5B5C" w:rsidRPr="00335DC7" w14:paraId="48D9FE45" w14:textId="77777777" w:rsidTr="007B6703">
        <w:tc>
          <w:tcPr>
            <w:tcW w:w="1403" w:type="dxa"/>
          </w:tcPr>
          <w:p w14:paraId="3A95DA34" w14:textId="0A69B848" w:rsidR="00DC5B5C" w:rsidRPr="00335DC7" w:rsidRDefault="00B63F48" w:rsidP="007B6703">
            <w:pPr>
              <w:rPr>
                <w:b/>
                <w:sz w:val="20"/>
                <w:szCs w:val="20"/>
              </w:rPr>
            </w:pPr>
            <w:r>
              <w:rPr>
                <w:b/>
                <w:sz w:val="20"/>
                <w:szCs w:val="20"/>
              </w:rPr>
              <w:t>Study</w:t>
            </w:r>
          </w:p>
        </w:tc>
        <w:tc>
          <w:tcPr>
            <w:tcW w:w="7947" w:type="dxa"/>
          </w:tcPr>
          <w:p w14:paraId="21E0D1B6" w14:textId="77777777" w:rsidR="00DC5B5C" w:rsidRPr="00335DC7" w:rsidRDefault="00DC5B5C" w:rsidP="007B6703">
            <w:pPr>
              <w:rPr>
                <w:b/>
                <w:sz w:val="20"/>
                <w:szCs w:val="20"/>
              </w:rPr>
            </w:pPr>
            <w:r w:rsidRPr="00335DC7">
              <w:rPr>
                <w:b/>
                <w:sz w:val="20"/>
                <w:szCs w:val="20"/>
              </w:rPr>
              <w:t>Used definition</w:t>
            </w:r>
          </w:p>
        </w:tc>
      </w:tr>
      <w:tr w:rsidR="00D90C82" w14:paraId="40107CB8" w14:textId="77777777" w:rsidTr="007B6703">
        <w:tc>
          <w:tcPr>
            <w:tcW w:w="1403" w:type="dxa"/>
          </w:tcPr>
          <w:p w14:paraId="6DFC7E05" w14:textId="6C18CB63" w:rsidR="00D90C82" w:rsidRDefault="00D90C82" w:rsidP="007B6703">
            <w:r w:rsidRPr="00BF3903">
              <w:rPr>
                <w:rFonts w:ascii="Calibri" w:hAnsi="Calibri" w:cs="Calibri"/>
                <w:color w:val="000000"/>
                <w:sz w:val="20"/>
                <w:szCs w:val="20"/>
              </w:rPr>
              <w:t>Appleton</w:t>
            </w:r>
            <w:r>
              <w:rPr>
                <w:rFonts w:ascii="Calibri" w:hAnsi="Calibri" w:cs="Calibri"/>
                <w:color w:val="000000"/>
                <w:sz w:val="20"/>
                <w:szCs w:val="20"/>
              </w:rPr>
              <w:t xml:space="preserve"> 2008</w:t>
            </w:r>
          </w:p>
        </w:tc>
        <w:tc>
          <w:tcPr>
            <w:tcW w:w="7947" w:type="dxa"/>
          </w:tcPr>
          <w:p w14:paraId="0A7B87AC" w14:textId="5C6D3FF3" w:rsidR="00D90C82" w:rsidRPr="00D90C82" w:rsidRDefault="00D90C82" w:rsidP="007B6703">
            <w:pPr>
              <w:rPr>
                <w:sz w:val="20"/>
                <w:szCs w:val="20"/>
              </w:rPr>
            </w:pPr>
            <w:r w:rsidRPr="00D90C82">
              <w:rPr>
                <w:rFonts w:ascii="Calibri" w:hAnsi="Calibri" w:cs="Calibri"/>
                <w:color w:val="000000"/>
                <w:sz w:val="20"/>
                <w:szCs w:val="20"/>
              </w:rPr>
              <w:t>No</w:t>
            </w:r>
            <w:r>
              <w:rPr>
                <w:rFonts w:ascii="Calibri" w:hAnsi="Calibri" w:cs="Calibri"/>
                <w:color w:val="000000"/>
                <w:sz w:val="20"/>
                <w:szCs w:val="20"/>
              </w:rPr>
              <w:t xml:space="preserve"> specific definition used</w:t>
            </w:r>
          </w:p>
        </w:tc>
      </w:tr>
      <w:tr w:rsidR="00D90C82" w14:paraId="32578E1A" w14:textId="77777777" w:rsidTr="007B6703">
        <w:tc>
          <w:tcPr>
            <w:tcW w:w="1403" w:type="dxa"/>
          </w:tcPr>
          <w:p w14:paraId="538D7144" w14:textId="0E3F8D01" w:rsidR="00D90C82" w:rsidRDefault="00D90C82" w:rsidP="007B6703">
            <w:proofErr w:type="spellStart"/>
            <w:r w:rsidRPr="00BF3903">
              <w:rPr>
                <w:rFonts w:ascii="Calibri" w:hAnsi="Calibri" w:cs="Calibri"/>
                <w:color w:val="000000"/>
                <w:sz w:val="20"/>
                <w:szCs w:val="20"/>
              </w:rPr>
              <w:t>Barkaoui</w:t>
            </w:r>
            <w:proofErr w:type="spellEnd"/>
            <w:r w:rsidRPr="00BF3903">
              <w:rPr>
                <w:rFonts w:ascii="Calibri" w:hAnsi="Calibri" w:cs="Calibri"/>
                <w:color w:val="000000"/>
                <w:sz w:val="20"/>
                <w:szCs w:val="20"/>
              </w:rPr>
              <w:t> </w:t>
            </w:r>
            <w:r>
              <w:rPr>
                <w:rFonts w:ascii="Calibri" w:hAnsi="Calibri" w:cs="Calibri"/>
                <w:color w:val="000000"/>
                <w:sz w:val="20"/>
                <w:szCs w:val="20"/>
              </w:rPr>
              <w:t>2015</w:t>
            </w:r>
          </w:p>
        </w:tc>
        <w:tc>
          <w:tcPr>
            <w:tcW w:w="7947" w:type="dxa"/>
          </w:tcPr>
          <w:p w14:paraId="743F100C" w14:textId="2CF4D761" w:rsidR="00D90C82" w:rsidRPr="00D90C82" w:rsidRDefault="001F3A24" w:rsidP="007B6703">
            <w:pPr>
              <w:rPr>
                <w:sz w:val="20"/>
                <w:szCs w:val="20"/>
              </w:rPr>
            </w:pPr>
            <w:r>
              <w:rPr>
                <w:rFonts w:ascii="Calibri" w:hAnsi="Calibri" w:cs="Calibri"/>
                <w:color w:val="000000"/>
                <w:sz w:val="20"/>
                <w:szCs w:val="20"/>
              </w:rPr>
              <w:t xml:space="preserve">Unclear, but </w:t>
            </w:r>
            <w:r w:rsidRPr="001F3A24">
              <w:rPr>
                <w:rFonts w:ascii="Calibri" w:hAnsi="Calibri" w:cs="Calibri"/>
                <w:color w:val="000000"/>
                <w:sz w:val="20"/>
                <w:szCs w:val="20"/>
              </w:rPr>
              <w:t>models of student engagement tend to emphasize the psychological and behavioral dimensions of the concept, focusing on student characteristics and school factors, but ignoring demographic and community factors.</w:t>
            </w:r>
          </w:p>
        </w:tc>
      </w:tr>
      <w:tr w:rsidR="00D90C82" w14:paraId="6EE8270F" w14:textId="77777777" w:rsidTr="007B6703">
        <w:tc>
          <w:tcPr>
            <w:tcW w:w="1403" w:type="dxa"/>
          </w:tcPr>
          <w:p w14:paraId="63F34B18" w14:textId="3711128A" w:rsidR="00D90C82" w:rsidRDefault="00D90C82" w:rsidP="007B6703">
            <w:r w:rsidRPr="00BF3903">
              <w:rPr>
                <w:rFonts w:ascii="Calibri" w:hAnsi="Calibri" w:cs="Calibri"/>
                <w:color w:val="000000"/>
                <w:sz w:val="20"/>
                <w:szCs w:val="20"/>
              </w:rPr>
              <w:t>Bernard </w:t>
            </w:r>
            <w:r>
              <w:rPr>
                <w:rFonts w:ascii="Calibri" w:hAnsi="Calibri" w:cs="Calibri"/>
                <w:color w:val="000000"/>
                <w:sz w:val="20"/>
                <w:szCs w:val="20"/>
              </w:rPr>
              <w:t>2015</w:t>
            </w:r>
          </w:p>
        </w:tc>
        <w:tc>
          <w:tcPr>
            <w:tcW w:w="7947" w:type="dxa"/>
          </w:tcPr>
          <w:p w14:paraId="0794B4C9" w14:textId="133B6CDA" w:rsidR="00D90C82" w:rsidRPr="00D90C82" w:rsidRDefault="00D90C82" w:rsidP="007B6703">
            <w:pPr>
              <w:rPr>
                <w:sz w:val="20"/>
                <w:szCs w:val="20"/>
              </w:rPr>
            </w:pPr>
            <w:r w:rsidRPr="00D90C82">
              <w:rPr>
                <w:rFonts w:ascii="Calibri" w:hAnsi="Calibri" w:cs="Calibri"/>
                <w:color w:val="000000"/>
                <w:sz w:val="20"/>
                <w:szCs w:val="20"/>
              </w:rPr>
              <w:t xml:space="preserve">a dynamic process marked by a positive behavioral, cognitive, and affective state exhibited in the pursuit of deep learning. </w:t>
            </w:r>
          </w:p>
        </w:tc>
      </w:tr>
      <w:tr w:rsidR="00D90C82" w14:paraId="228DFA50" w14:textId="77777777" w:rsidTr="007B6703">
        <w:tc>
          <w:tcPr>
            <w:tcW w:w="1403" w:type="dxa"/>
          </w:tcPr>
          <w:p w14:paraId="5B2F5273" w14:textId="2501144C" w:rsidR="00D90C82" w:rsidRDefault="00D90C82" w:rsidP="007B6703">
            <w:r w:rsidRPr="00BF3903">
              <w:rPr>
                <w:rFonts w:ascii="Calibri" w:hAnsi="Calibri" w:cs="Calibri"/>
                <w:color w:val="000000"/>
                <w:sz w:val="20"/>
                <w:szCs w:val="20"/>
              </w:rPr>
              <w:t>Burch </w:t>
            </w:r>
            <w:r>
              <w:rPr>
                <w:rFonts w:ascii="Calibri" w:hAnsi="Calibri" w:cs="Calibri"/>
                <w:color w:val="000000"/>
                <w:sz w:val="20"/>
                <w:szCs w:val="20"/>
              </w:rPr>
              <w:t>2015</w:t>
            </w:r>
          </w:p>
        </w:tc>
        <w:tc>
          <w:tcPr>
            <w:tcW w:w="7947" w:type="dxa"/>
          </w:tcPr>
          <w:p w14:paraId="417AE41D" w14:textId="710CF6E5" w:rsidR="00D90C82" w:rsidRPr="00D90C82" w:rsidRDefault="00D90C82" w:rsidP="007B6703">
            <w:pPr>
              <w:rPr>
                <w:sz w:val="20"/>
                <w:szCs w:val="20"/>
              </w:rPr>
            </w:pPr>
            <w:r w:rsidRPr="00D90C82">
              <w:rPr>
                <w:rFonts w:ascii="Calibri" w:hAnsi="Calibri" w:cs="Calibri"/>
                <w:color w:val="000000"/>
                <w:sz w:val="20"/>
                <w:szCs w:val="20"/>
              </w:rPr>
              <w:t xml:space="preserve">consists of the </w:t>
            </w:r>
            <w:r w:rsidR="001A16AD" w:rsidRPr="00D90C82">
              <w:rPr>
                <w:rFonts w:ascii="Calibri" w:hAnsi="Calibri" w:cs="Calibri"/>
                <w:color w:val="000000"/>
                <w:sz w:val="20"/>
                <w:szCs w:val="20"/>
              </w:rPr>
              <w:t>separate</w:t>
            </w:r>
            <w:r w:rsidRPr="00D90C82">
              <w:rPr>
                <w:rFonts w:ascii="Calibri" w:hAnsi="Calibri" w:cs="Calibri"/>
                <w:color w:val="000000"/>
                <w:sz w:val="20"/>
                <w:szCs w:val="20"/>
              </w:rPr>
              <w:t xml:space="preserve"> constructs of emotional engagement, physical engagement, cognitive engagement in class, and cogniti</w:t>
            </w:r>
            <w:r w:rsidR="001A16AD">
              <w:rPr>
                <w:rFonts w:ascii="Calibri" w:hAnsi="Calibri" w:cs="Calibri"/>
                <w:color w:val="000000"/>
                <w:sz w:val="20"/>
                <w:szCs w:val="20"/>
              </w:rPr>
              <w:t>v</w:t>
            </w:r>
            <w:r w:rsidRPr="00D90C82">
              <w:rPr>
                <w:rFonts w:ascii="Calibri" w:hAnsi="Calibri" w:cs="Calibri"/>
                <w:color w:val="000000"/>
                <w:sz w:val="20"/>
                <w:szCs w:val="20"/>
              </w:rPr>
              <w:t>e engagement out of class.</w:t>
            </w:r>
          </w:p>
        </w:tc>
      </w:tr>
      <w:tr w:rsidR="00D90C82" w14:paraId="260FEAD5" w14:textId="77777777" w:rsidTr="007B6703">
        <w:tc>
          <w:tcPr>
            <w:tcW w:w="1403" w:type="dxa"/>
          </w:tcPr>
          <w:p w14:paraId="3BC8975E" w14:textId="35746B1F" w:rsidR="00D90C82" w:rsidRDefault="00D90C82" w:rsidP="007B6703">
            <w:proofErr w:type="spellStart"/>
            <w:r w:rsidRPr="00BF3903">
              <w:rPr>
                <w:rFonts w:ascii="Calibri" w:hAnsi="Calibri" w:cs="Calibri"/>
                <w:color w:val="000000"/>
                <w:sz w:val="20"/>
                <w:szCs w:val="20"/>
              </w:rPr>
              <w:t>Ciric</w:t>
            </w:r>
            <w:proofErr w:type="spellEnd"/>
            <w:r w:rsidRPr="00BF3903">
              <w:rPr>
                <w:rFonts w:ascii="Calibri" w:hAnsi="Calibri" w:cs="Calibri"/>
                <w:color w:val="000000"/>
                <w:sz w:val="20"/>
                <w:szCs w:val="20"/>
              </w:rPr>
              <w:t> </w:t>
            </w:r>
            <w:r>
              <w:rPr>
                <w:rFonts w:ascii="Calibri" w:hAnsi="Calibri" w:cs="Calibri"/>
                <w:color w:val="000000"/>
                <w:sz w:val="20"/>
                <w:szCs w:val="20"/>
              </w:rPr>
              <w:t>2016</w:t>
            </w:r>
          </w:p>
        </w:tc>
        <w:tc>
          <w:tcPr>
            <w:tcW w:w="7947" w:type="dxa"/>
          </w:tcPr>
          <w:p w14:paraId="1963D5DB" w14:textId="40FE1664" w:rsidR="00D90C82" w:rsidRPr="00D90C82" w:rsidRDefault="00D90C82" w:rsidP="007B6703">
            <w:pPr>
              <w:rPr>
                <w:sz w:val="20"/>
                <w:szCs w:val="20"/>
              </w:rPr>
            </w:pPr>
            <w:r w:rsidRPr="00D90C82">
              <w:rPr>
                <w:rFonts w:ascii="Calibri" w:hAnsi="Calibri" w:cs="Calibri"/>
                <w:color w:val="000000"/>
                <w:sz w:val="20"/>
                <w:szCs w:val="20"/>
              </w:rPr>
              <w:t>1) encompasses students’ sense of belonging and connectedness to their school, teachers and peers, 2) encompasses students’</w:t>
            </w:r>
            <w:r w:rsidR="001A16AD">
              <w:rPr>
                <w:rFonts w:ascii="Calibri" w:hAnsi="Calibri" w:cs="Calibri"/>
                <w:color w:val="000000"/>
                <w:sz w:val="20"/>
                <w:szCs w:val="20"/>
              </w:rPr>
              <w:t xml:space="preserve"> </w:t>
            </w:r>
            <w:r w:rsidRPr="00D90C82">
              <w:rPr>
                <w:rFonts w:ascii="Calibri" w:hAnsi="Calibri" w:cs="Calibri"/>
                <w:color w:val="000000"/>
                <w:sz w:val="20"/>
                <w:szCs w:val="20"/>
              </w:rPr>
              <w:t>sense of agency, self</w:t>
            </w:r>
            <w:r w:rsidR="001A16AD">
              <w:rPr>
                <w:rFonts w:ascii="Calibri" w:hAnsi="Calibri" w:cs="Calibri"/>
                <w:color w:val="000000"/>
                <w:sz w:val="20"/>
                <w:szCs w:val="20"/>
              </w:rPr>
              <w:t>-e</w:t>
            </w:r>
            <w:r w:rsidRPr="00D90C82">
              <w:rPr>
                <w:rFonts w:ascii="Calibri" w:hAnsi="Calibri" w:cs="Calibri"/>
                <w:color w:val="000000"/>
                <w:sz w:val="20"/>
                <w:szCs w:val="20"/>
              </w:rPr>
              <w:t xml:space="preserve">fficacy and orientation to achieve within their classrooms and in their broader extracurricular </w:t>
            </w:r>
            <w:r w:rsidR="00214DC9" w:rsidRPr="00D90C82">
              <w:rPr>
                <w:rFonts w:ascii="Calibri" w:hAnsi="Calibri" w:cs="Calibri"/>
                <w:color w:val="000000"/>
                <w:sz w:val="20"/>
                <w:szCs w:val="20"/>
              </w:rPr>
              <w:t>endeavors</w:t>
            </w:r>
            <w:r w:rsidRPr="00D90C82">
              <w:rPr>
                <w:rFonts w:ascii="Calibri" w:hAnsi="Calibri" w:cs="Calibri"/>
                <w:color w:val="000000"/>
                <w:sz w:val="20"/>
                <w:szCs w:val="20"/>
              </w:rPr>
              <w:t>, 3) encompasses students’</w:t>
            </w:r>
            <w:r w:rsidR="001A16AD">
              <w:rPr>
                <w:rFonts w:ascii="Calibri" w:hAnsi="Calibri" w:cs="Calibri"/>
                <w:color w:val="000000"/>
                <w:sz w:val="20"/>
                <w:szCs w:val="20"/>
              </w:rPr>
              <w:t xml:space="preserve"> </w:t>
            </w:r>
            <w:r w:rsidRPr="00D90C82">
              <w:rPr>
                <w:rFonts w:ascii="Calibri" w:hAnsi="Calibri" w:cs="Calibri"/>
                <w:color w:val="000000"/>
                <w:sz w:val="20"/>
                <w:szCs w:val="20"/>
              </w:rPr>
              <w:t>involvement, effort, levels of concentration and interest in subjects and learning in general, 4) the extent to which learning is enjoyed for its own sake or seen as something that must be endured to receive a reward or avoid sanction, 5) a variable state of being that is influenced by a range of internal and external factors including the perceived value or relevance of the learning and the presence of opportunities for students to experience appropriately-pitched challenge and success in their learning, 6) malleable by the actions of teachers.</w:t>
            </w:r>
          </w:p>
        </w:tc>
      </w:tr>
      <w:tr w:rsidR="00D90C82" w14:paraId="51685E59" w14:textId="77777777" w:rsidTr="007B6703">
        <w:tc>
          <w:tcPr>
            <w:tcW w:w="1403" w:type="dxa"/>
          </w:tcPr>
          <w:p w14:paraId="25893E6C" w14:textId="2BF86E73" w:rsidR="00D90C82" w:rsidRPr="00BF3903" w:rsidRDefault="00D90C82" w:rsidP="007B6703">
            <w:pPr>
              <w:rPr>
                <w:rFonts w:ascii="Calibri" w:hAnsi="Calibri" w:cs="Calibri"/>
                <w:color w:val="000000"/>
                <w:sz w:val="20"/>
                <w:szCs w:val="20"/>
              </w:rPr>
            </w:pPr>
            <w:r w:rsidRPr="00BF3903">
              <w:rPr>
                <w:rFonts w:ascii="Calibri" w:hAnsi="Calibri" w:cs="Calibri"/>
                <w:color w:val="000000"/>
                <w:sz w:val="20"/>
                <w:szCs w:val="20"/>
              </w:rPr>
              <w:t>Fredricks </w:t>
            </w:r>
            <w:r>
              <w:rPr>
                <w:rFonts w:ascii="Calibri" w:hAnsi="Calibri" w:cs="Calibri"/>
                <w:color w:val="000000"/>
                <w:sz w:val="20"/>
                <w:szCs w:val="20"/>
              </w:rPr>
              <w:t>2004</w:t>
            </w:r>
          </w:p>
        </w:tc>
        <w:tc>
          <w:tcPr>
            <w:tcW w:w="7947" w:type="dxa"/>
          </w:tcPr>
          <w:p w14:paraId="1D2C8EA0" w14:textId="3FE2D83E" w:rsidR="00D90C82" w:rsidRPr="00D90C82" w:rsidRDefault="00D90C82" w:rsidP="007B6703">
            <w:pPr>
              <w:rPr>
                <w:sz w:val="20"/>
                <w:szCs w:val="20"/>
              </w:rPr>
            </w:pPr>
            <w:r w:rsidRPr="00D90C82">
              <w:rPr>
                <w:rFonts w:ascii="Calibri" w:hAnsi="Calibri" w:cs="Calibri"/>
                <w:color w:val="000000"/>
                <w:sz w:val="20"/>
                <w:szCs w:val="20"/>
              </w:rPr>
              <w:t>Researchers describe behavioral, emotional, and cognitive engagement and recommend studying engagement as a multifaceted construct.</w:t>
            </w:r>
          </w:p>
        </w:tc>
      </w:tr>
      <w:tr w:rsidR="00D90C82" w14:paraId="3F2A0343" w14:textId="77777777" w:rsidTr="007B6703">
        <w:tc>
          <w:tcPr>
            <w:tcW w:w="1403" w:type="dxa"/>
          </w:tcPr>
          <w:p w14:paraId="7832CC3A" w14:textId="49CBFE8D" w:rsidR="00D90C82" w:rsidRPr="00BF3903" w:rsidRDefault="00D90C82" w:rsidP="007B6703">
            <w:pPr>
              <w:rPr>
                <w:rFonts w:ascii="Calibri" w:hAnsi="Calibri" w:cs="Calibri"/>
                <w:color w:val="000000"/>
                <w:sz w:val="20"/>
                <w:szCs w:val="20"/>
              </w:rPr>
            </w:pPr>
            <w:r w:rsidRPr="00BF3903">
              <w:rPr>
                <w:rFonts w:ascii="Calibri" w:hAnsi="Calibri" w:cs="Calibri"/>
                <w:color w:val="000000"/>
                <w:sz w:val="20"/>
                <w:szCs w:val="20"/>
              </w:rPr>
              <w:t>Harris </w:t>
            </w:r>
            <w:r>
              <w:rPr>
                <w:rFonts w:ascii="Calibri" w:hAnsi="Calibri" w:cs="Calibri"/>
                <w:color w:val="000000"/>
                <w:sz w:val="20"/>
                <w:szCs w:val="20"/>
              </w:rPr>
              <w:t>2008</w:t>
            </w:r>
          </w:p>
        </w:tc>
        <w:tc>
          <w:tcPr>
            <w:tcW w:w="7947" w:type="dxa"/>
          </w:tcPr>
          <w:p w14:paraId="4FD1D01F" w14:textId="57053772" w:rsidR="00D90C82" w:rsidRPr="00D90C82" w:rsidRDefault="00BA44F0" w:rsidP="007B6703">
            <w:pPr>
              <w:rPr>
                <w:sz w:val="20"/>
                <w:szCs w:val="20"/>
              </w:rPr>
            </w:pPr>
            <w:r>
              <w:rPr>
                <w:rFonts w:ascii="Calibri" w:hAnsi="Calibri" w:cs="Calibri"/>
                <w:color w:val="000000"/>
                <w:sz w:val="20"/>
                <w:szCs w:val="20"/>
              </w:rPr>
              <w:t>Unclear</w:t>
            </w:r>
          </w:p>
        </w:tc>
      </w:tr>
      <w:tr w:rsidR="00D90C82" w14:paraId="1CE70962" w14:textId="77777777" w:rsidTr="007B6703">
        <w:tc>
          <w:tcPr>
            <w:tcW w:w="1403" w:type="dxa"/>
          </w:tcPr>
          <w:p w14:paraId="66B92C9F" w14:textId="665FB6B0" w:rsidR="00D90C82" w:rsidRPr="00BF3903" w:rsidRDefault="00D90C82" w:rsidP="007B6703">
            <w:pPr>
              <w:rPr>
                <w:rFonts w:ascii="Calibri" w:hAnsi="Calibri" w:cs="Calibri"/>
                <w:color w:val="000000"/>
                <w:sz w:val="20"/>
                <w:szCs w:val="20"/>
              </w:rPr>
            </w:pPr>
            <w:r w:rsidRPr="00BF3903">
              <w:rPr>
                <w:rFonts w:ascii="Calibri" w:hAnsi="Calibri" w:cs="Calibri"/>
                <w:color w:val="000000"/>
                <w:sz w:val="20"/>
                <w:szCs w:val="20"/>
              </w:rPr>
              <w:t>Harris </w:t>
            </w:r>
            <w:r>
              <w:rPr>
                <w:rFonts w:ascii="Calibri" w:hAnsi="Calibri" w:cs="Calibri"/>
                <w:color w:val="000000"/>
                <w:sz w:val="20"/>
                <w:szCs w:val="20"/>
              </w:rPr>
              <w:t>2011</w:t>
            </w:r>
          </w:p>
        </w:tc>
        <w:tc>
          <w:tcPr>
            <w:tcW w:w="7947" w:type="dxa"/>
          </w:tcPr>
          <w:p w14:paraId="68F1BCDB" w14:textId="1D3220C3" w:rsidR="00D90C82" w:rsidRPr="00D90C82" w:rsidRDefault="00BA44F0" w:rsidP="007B6703">
            <w:pPr>
              <w:rPr>
                <w:sz w:val="20"/>
                <w:szCs w:val="20"/>
              </w:rPr>
            </w:pPr>
            <w:r>
              <w:rPr>
                <w:rFonts w:ascii="Calibri" w:hAnsi="Calibri" w:cs="Calibri"/>
                <w:color w:val="000000"/>
                <w:sz w:val="20"/>
                <w:szCs w:val="20"/>
              </w:rPr>
              <w:t>Unclear</w:t>
            </w:r>
          </w:p>
        </w:tc>
      </w:tr>
      <w:tr w:rsidR="00900E6E" w14:paraId="5C8F726C" w14:textId="77777777" w:rsidTr="007B6703">
        <w:tc>
          <w:tcPr>
            <w:tcW w:w="1403" w:type="dxa"/>
          </w:tcPr>
          <w:p w14:paraId="0CF83B89" w14:textId="06258E8A" w:rsidR="00900E6E" w:rsidRPr="00BF3903" w:rsidRDefault="00900E6E" w:rsidP="007B6703">
            <w:pPr>
              <w:rPr>
                <w:rFonts w:ascii="Calibri" w:hAnsi="Calibri" w:cs="Calibri"/>
                <w:color w:val="000000"/>
                <w:sz w:val="20"/>
                <w:szCs w:val="20"/>
              </w:rPr>
            </w:pPr>
            <w:r w:rsidRPr="00BF3903">
              <w:rPr>
                <w:rFonts w:ascii="Calibri" w:hAnsi="Calibri" w:cs="Calibri"/>
                <w:color w:val="000000"/>
                <w:sz w:val="20"/>
                <w:szCs w:val="20"/>
              </w:rPr>
              <w:t>Hollingshead</w:t>
            </w:r>
            <w:r>
              <w:rPr>
                <w:rFonts w:ascii="Calibri" w:hAnsi="Calibri" w:cs="Calibri"/>
                <w:color w:val="000000"/>
                <w:sz w:val="20"/>
                <w:szCs w:val="20"/>
              </w:rPr>
              <w:t xml:space="preserve"> 2018</w:t>
            </w:r>
          </w:p>
        </w:tc>
        <w:tc>
          <w:tcPr>
            <w:tcW w:w="7947" w:type="dxa"/>
          </w:tcPr>
          <w:p w14:paraId="2A10AB7C" w14:textId="5DB04A4F" w:rsidR="00900E6E" w:rsidRPr="00900E6E" w:rsidRDefault="00900E6E" w:rsidP="007B6703">
            <w:pPr>
              <w:rPr>
                <w:sz w:val="20"/>
                <w:szCs w:val="20"/>
              </w:rPr>
            </w:pPr>
            <w:r w:rsidRPr="00900E6E">
              <w:rPr>
                <w:rFonts w:ascii="Calibri" w:hAnsi="Calibri" w:cs="Calibri"/>
                <w:color w:val="000000"/>
                <w:sz w:val="20"/>
                <w:szCs w:val="20"/>
              </w:rPr>
              <w:t>In general, scholars agree that academic (i.e., behavioral) engagement refers to behaviors displayed by students in the context of a classroom and in relation to academic tasks</w:t>
            </w:r>
            <w:r w:rsidR="00905392">
              <w:rPr>
                <w:rFonts w:ascii="Calibri" w:hAnsi="Calibri" w:cs="Calibri"/>
                <w:color w:val="000000"/>
                <w:sz w:val="20"/>
                <w:szCs w:val="20"/>
              </w:rPr>
              <w:t xml:space="preserve">. Cognitive </w:t>
            </w:r>
            <w:r w:rsidRPr="00900E6E">
              <w:rPr>
                <w:rFonts w:ascii="Calibri" w:hAnsi="Calibri" w:cs="Calibri"/>
                <w:color w:val="000000"/>
                <w:sz w:val="20"/>
                <w:szCs w:val="20"/>
              </w:rPr>
              <w:t xml:space="preserve"> </w:t>
            </w:r>
            <w:r w:rsidR="001A047A" w:rsidRPr="001A047A">
              <w:rPr>
                <w:rFonts w:ascii="Calibri" w:hAnsi="Calibri" w:cs="Calibri"/>
                <w:color w:val="000000"/>
                <w:sz w:val="20"/>
                <w:szCs w:val="20"/>
              </w:rPr>
              <w:t xml:space="preserve">engagement </w:t>
            </w:r>
            <w:r w:rsidR="00905392">
              <w:rPr>
                <w:rFonts w:ascii="Calibri" w:hAnsi="Calibri" w:cs="Calibri"/>
                <w:color w:val="000000"/>
                <w:sz w:val="20"/>
                <w:szCs w:val="20"/>
              </w:rPr>
              <w:t xml:space="preserve">is described </w:t>
            </w:r>
            <w:r w:rsidR="001A047A" w:rsidRPr="001A047A">
              <w:rPr>
                <w:rFonts w:ascii="Calibri" w:hAnsi="Calibri" w:cs="Calibri"/>
                <w:color w:val="000000"/>
                <w:sz w:val="20"/>
                <w:szCs w:val="20"/>
              </w:rPr>
              <w:t>in terms of investment in attempting “more complex ideas and</w:t>
            </w:r>
            <w:r w:rsidR="00905392">
              <w:rPr>
                <w:rFonts w:ascii="Calibri" w:hAnsi="Calibri" w:cs="Calibri"/>
                <w:color w:val="000000"/>
                <w:sz w:val="20"/>
                <w:szCs w:val="20"/>
              </w:rPr>
              <w:t xml:space="preserve"> </w:t>
            </w:r>
            <w:r w:rsidR="001A047A" w:rsidRPr="001A047A">
              <w:rPr>
                <w:rFonts w:ascii="Calibri" w:hAnsi="Calibri" w:cs="Calibri"/>
                <w:color w:val="000000"/>
                <w:sz w:val="20"/>
                <w:szCs w:val="20"/>
              </w:rPr>
              <w:t>mastering difficult skills”</w:t>
            </w:r>
            <w:r w:rsidR="00905392">
              <w:rPr>
                <w:rFonts w:ascii="Calibri" w:hAnsi="Calibri" w:cs="Calibri"/>
                <w:color w:val="000000"/>
                <w:sz w:val="20"/>
                <w:szCs w:val="20"/>
              </w:rPr>
              <w:t>.</w:t>
            </w:r>
            <w:r w:rsidR="001A047A" w:rsidRPr="001A047A">
              <w:rPr>
                <w:rFonts w:ascii="Calibri" w:hAnsi="Calibri" w:cs="Calibri"/>
                <w:color w:val="000000"/>
                <w:sz w:val="20"/>
                <w:szCs w:val="20"/>
              </w:rPr>
              <w:t xml:space="preserve"> Emotional engagement is also often defined in relation to students’ social</w:t>
            </w:r>
            <w:r w:rsidR="00905392">
              <w:rPr>
                <w:rFonts w:ascii="Calibri" w:hAnsi="Calibri" w:cs="Calibri"/>
                <w:color w:val="000000"/>
                <w:sz w:val="20"/>
                <w:szCs w:val="20"/>
              </w:rPr>
              <w:t xml:space="preserve"> </w:t>
            </w:r>
            <w:r w:rsidR="001A047A" w:rsidRPr="001A047A">
              <w:rPr>
                <w:rFonts w:ascii="Calibri" w:hAnsi="Calibri" w:cs="Calibri"/>
                <w:color w:val="000000"/>
                <w:sz w:val="20"/>
                <w:szCs w:val="20"/>
              </w:rPr>
              <w:t>interactions and motivation to participate in learning tasks</w:t>
            </w:r>
            <w:r w:rsidR="00ED4F3F">
              <w:rPr>
                <w:rFonts w:ascii="Calibri" w:hAnsi="Calibri" w:cs="Calibri"/>
                <w:color w:val="000000"/>
                <w:sz w:val="20"/>
                <w:szCs w:val="20"/>
              </w:rPr>
              <w:t>.</w:t>
            </w:r>
          </w:p>
        </w:tc>
      </w:tr>
      <w:tr w:rsidR="00900E6E" w14:paraId="3B89CF1F" w14:textId="77777777" w:rsidTr="007B6703">
        <w:tc>
          <w:tcPr>
            <w:tcW w:w="1403" w:type="dxa"/>
          </w:tcPr>
          <w:p w14:paraId="3515F057" w14:textId="30DBAC42" w:rsidR="00900E6E" w:rsidRPr="00BF3903" w:rsidRDefault="00900E6E" w:rsidP="007B6703">
            <w:pPr>
              <w:rPr>
                <w:rFonts w:ascii="Calibri" w:hAnsi="Calibri" w:cs="Calibri"/>
                <w:color w:val="000000"/>
                <w:sz w:val="20"/>
                <w:szCs w:val="20"/>
              </w:rPr>
            </w:pPr>
            <w:r w:rsidRPr="00BF3903">
              <w:rPr>
                <w:rFonts w:ascii="Calibri" w:hAnsi="Calibri" w:cs="Calibri"/>
                <w:color w:val="000000"/>
                <w:sz w:val="20"/>
                <w:szCs w:val="20"/>
              </w:rPr>
              <w:t>Jimerson </w:t>
            </w:r>
            <w:r>
              <w:rPr>
                <w:rFonts w:ascii="Calibri" w:hAnsi="Calibri" w:cs="Calibri"/>
                <w:color w:val="000000"/>
                <w:sz w:val="20"/>
                <w:szCs w:val="20"/>
              </w:rPr>
              <w:t>2003</w:t>
            </w:r>
          </w:p>
        </w:tc>
        <w:tc>
          <w:tcPr>
            <w:tcW w:w="7947" w:type="dxa"/>
          </w:tcPr>
          <w:p w14:paraId="25B212D9" w14:textId="270F41DE" w:rsidR="00900E6E" w:rsidRPr="00900E6E" w:rsidRDefault="00900E6E" w:rsidP="007B6703">
            <w:pPr>
              <w:rPr>
                <w:sz w:val="20"/>
                <w:szCs w:val="20"/>
              </w:rPr>
            </w:pPr>
            <w:r w:rsidRPr="00900E6E">
              <w:rPr>
                <w:rFonts w:ascii="Calibri" w:hAnsi="Calibri" w:cs="Calibri"/>
                <w:color w:val="000000"/>
                <w:sz w:val="20"/>
                <w:szCs w:val="20"/>
              </w:rPr>
              <w:t>a multifaceted construct that includes affective, behavioral, and cognitive dimensions</w:t>
            </w:r>
            <w:r w:rsidR="005B2E31">
              <w:rPr>
                <w:rFonts w:ascii="Calibri" w:hAnsi="Calibri" w:cs="Calibri"/>
                <w:color w:val="000000"/>
                <w:sz w:val="20"/>
                <w:szCs w:val="20"/>
              </w:rPr>
              <w:t xml:space="preserve"> that are contextually bound</w:t>
            </w:r>
          </w:p>
        </w:tc>
      </w:tr>
      <w:tr w:rsidR="00900E6E" w14:paraId="7654F669" w14:textId="77777777" w:rsidTr="007B6703">
        <w:tc>
          <w:tcPr>
            <w:tcW w:w="1403" w:type="dxa"/>
          </w:tcPr>
          <w:p w14:paraId="6FC9965D" w14:textId="347E10AF" w:rsidR="00900E6E" w:rsidRPr="00BF3903" w:rsidRDefault="00900E6E" w:rsidP="007B6703">
            <w:pPr>
              <w:rPr>
                <w:rFonts w:ascii="Calibri" w:hAnsi="Calibri" w:cs="Calibri"/>
                <w:color w:val="000000"/>
                <w:sz w:val="20"/>
                <w:szCs w:val="20"/>
              </w:rPr>
            </w:pPr>
            <w:r w:rsidRPr="00BF3903">
              <w:rPr>
                <w:rFonts w:ascii="Calibri" w:hAnsi="Calibri" w:cs="Calibri"/>
                <w:color w:val="000000"/>
                <w:sz w:val="20"/>
                <w:szCs w:val="20"/>
              </w:rPr>
              <w:t>Lawson </w:t>
            </w:r>
            <w:r>
              <w:rPr>
                <w:rFonts w:ascii="Calibri" w:hAnsi="Calibri" w:cs="Calibri"/>
                <w:color w:val="000000"/>
                <w:sz w:val="20"/>
                <w:szCs w:val="20"/>
              </w:rPr>
              <w:t>2013</w:t>
            </w:r>
          </w:p>
        </w:tc>
        <w:tc>
          <w:tcPr>
            <w:tcW w:w="7947" w:type="dxa"/>
          </w:tcPr>
          <w:p w14:paraId="239A6D04" w14:textId="205F29B2" w:rsidR="00900E6E" w:rsidRPr="00900E6E" w:rsidRDefault="00900E6E" w:rsidP="007B6703">
            <w:pPr>
              <w:rPr>
                <w:sz w:val="20"/>
                <w:szCs w:val="20"/>
              </w:rPr>
            </w:pPr>
            <w:r w:rsidRPr="00900E6E">
              <w:rPr>
                <w:rFonts w:ascii="Calibri" w:hAnsi="Calibri" w:cs="Calibri"/>
                <w:color w:val="000000"/>
                <w:sz w:val="20"/>
                <w:szCs w:val="20"/>
              </w:rPr>
              <w:t>a dynamic system of social and psychological constructs as well as a synergist. We present it as the conceptual glue that connects student agency (including students' prior knowledge, experience, and interest at school, home, and in the community) and its ecological influences (peers, family, and community) to the organizational structures and cultures of school</w:t>
            </w:r>
          </w:p>
        </w:tc>
      </w:tr>
      <w:tr w:rsidR="00900E6E" w14:paraId="24AE8D27" w14:textId="77777777" w:rsidTr="007B6703">
        <w:tc>
          <w:tcPr>
            <w:tcW w:w="1403" w:type="dxa"/>
          </w:tcPr>
          <w:p w14:paraId="77ACB0F6" w14:textId="5769E696" w:rsidR="00900E6E" w:rsidRPr="00BF3903" w:rsidRDefault="00900E6E" w:rsidP="007B6703">
            <w:pPr>
              <w:rPr>
                <w:rFonts w:ascii="Calibri" w:hAnsi="Calibri" w:cs="Calibri"/>
                <w:color w:val="000000"/>
                <w:sz w:val="20"/>
                <w:szCs w:val="20"/>
              </w:rPr>
            </w:pPr>
            <w:proofErr w:type="spellStart"/>
            <w:r w:rsidRPr="00BF3903">
              <w:rPr>
                <w:rFonts w:ascii="Calibri" w:hAnsi="Calibri" w:cs="Calibri"/>
                <w:color w:val="000000"/>
                <w:sz w:val="20"/>
                <w:szCs w:val="20"/>
              </w:rPr>
              <w:t>Liem</w:t>
            </w:r>
            <w:proofErr w:type="spellEnd"/>
            <w:r w:rsidRPr="00BF3903">
              <w:rPr>
                <w:rFonts w:ascii="Calibri" w:hAnsi="Calibri" w:cs="Calibri"/>
                <w:color w:val="000000"/>
                <w:sz w:val="20"/>
                <w:szCs w:val="20"/>
              </w:rPr>
              <w:t xml:space="preserve"> </w:t>
            </w:r>
            <w:r>
              <w:rPr>
                <w:rFonts w:ascii="Calibri" w:hAnsi="Calibri" w:cs="Calibri"/>
                <w:color w:val="000000"/>
                <w:sz w:val="20"/>
                <w:szCs w:val="20"/>
              </w:rPr>
              <w:t>2012</w:t>
            </w:r>
          </w:p>
        </w:tc>
        <w:tc>
          <w:tcPr>
            <w:tcW w:w="7947" w:type="dxa"/>
          </w:tcPr>
          <w:p w14:paraId="370DBA3D" w14:textId="7C16C2A0" w:rsidR="00900E6E" w:rsidRPr="00900E6E" w:rsidRDefault="00900E6E" w:rsidP="007B6703">
            <w:pPr>
              <w:rPr>
                <w:sz w:val="20"/>
                <w:szCs w:val="20"/>
              </w:rPr>
            </w:pPr>
            <w:r w:rsidRPr="00900E6E">
              <w:rPr>
                <w:rFonts w:ascii="Calibri" w:hAnsi="Calibri" w:cs="Calibri"/>
                <w:color w:val="000000"/>
                <w:sz w:val="20"/>
                <w:szCs w:val="20"/>
              </w:rPr>
              <w:t xml:space="preserve">motivation is defined as individuals’ energy and drive to learn, work effectively, and achieve to their potential, and engagement as the </w:t>
            </w:r>
            <w:proofErr w:type="spellStart"/>
            <w:r w:rsidRPr="00900E6E">
              <w:rPr>
                <w:rFonts w:ascii="Calibri" w:hAnsi="Calibri" w:cs="Calibri"/>
                <w:color w:val="000000"/>
                <w:sz w:val="20"/>
                <w:szCs w:val="20"/>
              </w:rPr>
              <w:t>behaviours</w:t>
            </w:r>
            <w:proofErr w:type="spellEnd"/>
            <w:r w:rsidRPr="00900E6E">
              <w:rPr>
                <w:rFonts w:ascii="Calibri" w:hAnsi="Calibri" w:cs="Calibri"/>
                <w:color w:val="000000"/>
                <w:sz w:val="20"/>
                <w:szCs w:val="20"/>
              </w:rPr>
              <w:t xml:space="preserve"> aligned with this energy</w:t>
            </w:r>
            <w:r w:rsidR="00ED4F3F">
              <w:rPr>
                <w:rFonts w:ascii="Calibri" w:hAnsi="Calibri" w:cs="Calibri"/>
                <w:color w:val="000000"/>
                <w:sz w:val="20"/>
                <w:szCs w:val="20"/>
              </w:rPr>
              <w:t>.</w:t>
            </w:r>
          </w:p>
        </w:tc>
      </w:tr>
      <w:tr w:rsidR="00900E6E" w14:paraId="20CA9261" w14:textId="77777777" w:rsidTr="007B6703">
        <w:tc>
          <w:tcPr>
            <w:tcW w:w="1403" w:type="dxa"/>
          </w:tcPr>
          <w:p w14:paraId="52E7E6AD" w14:textId="165E5255" w:rsidR="00900E6E" w:rsidRPr="00BF3903" w:rsidRDefault="00900E6E" w:rsidP="007B6703">
            <w:pPr>
              <w:rPr>
                <w:rFonts w:ascii="Calibri" w:hAnsi="Calibri" w:cs="Calibri"/>
                <w:color w:val="000000"/>
                <w:sz w:val="20"/>
                <w:szCs w:val="20"/>
              </w:rPr>
            </w:pPr>
            <w:r w:rsidRPr="00BF3903">
              <w:rPr>
                <w:rFonts w:ascii="Calibri" w:hAnsi="Calibri" w:cs="Calibri"/>
                <w:color w:val="000000"/>
                <w:sz w:val="20"/>
                <w:szCs w:val="20"/>
              </w:rPr>
              <w:t>Montenegro</w:t>
            </w:r>
            <w:r>
              <w:rPr>
                <w:rFonts w:ascii="Calibri" w:hAnsi="Calibri" w:cs="Calibri"/>
                <w:color w:val="000000"/>
                <w:sz w:val="20"/>
                <w:szCs w:val="20"/>
              </w:rPr>
              <w:t xml:space="preserve"> 2017</w:t>
            </w:r>
          </w:p>
        </w:tc>
        <w:tc>
          <w:tcPr>
            <w:tcW w:w="7947" w:type="dxa"/>
          </w:tcPr>
          <w:p w14:paraId="25895690" w14:textId="1926C624" w:rsidR="00900E6E" w:rsidRPr="00900E6E" w:rsidRDefault="00340F43" w:rsidP="007B6703">
            <w:pPr>
              <w:rPr>
                <w:sz w:val="20"/>
                <w:szCs w:val="20"/>
              </w:rPr>
            </w:pPr>
            <w:r w:rsidRPr="00340F43">
              <w:rPr>
                <w:rFonts w:ascii="Calibri" w:hAnsi="Calibri" w:cs="Calibri"/>
                <w:color w:val="000000"/>
                <w:sz w:val="20"/>
                <w:szCs w:val="20"/>
              </w:rPr>
              <w:t>a</w:t>
            </w:r>
            <w:r w:rsidR="00ED4F3F" w:rsidRPr="00340F43">
              <w:rPr>
                <w:rFonts w:ascii="Calibri" w:hAnsi="Calibri" w:cs="Calibri"/>
                <w:color w:val="000000"/>
                <w:sz w:val="20"/>
                <w:szCs w:val="20"/>
              </w:rPr>
              <w:t>gentic engagement</w:t>
            </w:r>
            <w:r w:rsidR="00ED4F3F">
              <w:rPr>
                <w:rFonts w:ascii="Calibri" w:hAnsi="Calibri" w:cs="Calibri"/>
                <w:color w:val="000000"/>
                <w:sz w:val="20"/>
                <w:szCs w:val="20"/>
              </w:rPr>
              <w:t xml:space="preserve">: </w:t>
            </w:r>
            <w:r w:rsidR="00900E6E" w:rsidRPr="00900E6E">
              <w:rPr>
                <w:rFonts w:ascii="Calibri" w:hAnsi="Calibri" w:cs="Calibri"/>
                <w:color w:val="000000"/>
                <w:sz w:val="20"/>
                <w:szCs w:val="20"/>
              </w:rPr>
              <w:t>the observable classroom event in which the learner constructively contributes to his/her learning and the instruction he/she receives</w:t>
            </w:r>
          </w:p>
        </w:tc>
      </w:tr>
      <w:tr w:rsidR="00900E6E" w14:paraId="2BDE52EC" w14:textId="77777777" w:rsidTr="007B6703">
        <w:tc>
          <w:tcPr>
            <w:tcW w:w="1403" w:type="dxa"/>
          </w:tcPr>
          <w:p w14:paraId="494D249A" w14:textId="0B1FF810" w:rsidR="00900E6E" w:rsidRPr="00BF3903" w:rsidRDefault="00900E6E" w:rsidP="007B6703">
            <w:pPr>
              <w:rPr>
                <w:rFonts w:ascii="Calibri" w:hAnsi="Calibri" w:cs="Calibri"/>
                <w:color w:val="000000"/>
                <w:sz w:val="20"/>
                <w:szCs w:val="20"/>
              </w:rPr>
            </w:pPr>
            <w:r w:rsidRPr="00BF3903">
              <w:rPr>
                <w:rFonts w:ascii="Calibri" w:hAnsi="Calibri" w:cs="Calibri"/>
                <w:color w:val="000000"/>
                <w:sz w:val="20"/>
                <w:szCs w:val="20"/>
              </w:rPr>
              <w:t>Reeve </w:t>
            </w:r>
            <w:r>
              <w:rPr>
                <w:rFonts w:ascii="Calibri" w:hAnsi="Calibri" w:cs="Calibri"/>
                <w:color w:val="000000"/>
                <w:sz w:val="20"/>
                <w:szCs w:val="20"/>
              </w:rPr>
              <w:t>2013</w:t>
            </w:r>
          </w:p>
        </w:tc>
        <w:tc>
          <w:tcPr>
            <w:tcW w:w="7947" w:type="dxa"/>
          </w:tcPr>
          <w:p w14:paraId="2F82114C" w14:textId="53EF6559" w:rsidR="00900E6E" w:rsidRPr="00900E6E" w:rsidRDefault="00900E6E" w:rsidP="007B6703">
            <w:pPr>
              <w:rPr>
                <w:sz w:val="20"/>
                <w:szCs w:val="20"/>
              </w:rPr>
            </w:pPr>
            <w:r w:rsidRPr="00340F43">
              <w:rPr>
                <w:rFonts w:ascii="Calibri" w:hAnsi="Calibri" w:cs="Calibri"/>
                <w:color w:val="000000"/>
                <w:sz w:val="20"/>
                <w:szCs w:val="20"/>
              </w:rPr>
              <w:t>agentic engagement</w:t>
            </w:r>
            <w:r w:rsidR="00ED4F3F" w:rsidRPr="00340F43">
              <w:rPr>
                <w:rFonts w:ascii="Calibri" w:hAnsi="Calibri" w:cs="Calibri"/>
                <w:color w:val="000000"/>
                <w:sz w:val="20"/>
                <w:szCs w:val="20"/>
              </w:rPr>
              <w:t>:</w:t>
            </w:r>
            <w:r w:rsidR="00ED4F3F">
              <w:rPr>
                <w:rFonts w:ascii="Calibri" w:hAnsi="Calibri" w:cs="Calibri"/>
                <w:b/>
                <w:color w:val="000000"/>
                <w:sz w:val="20"/>
                <w:szCs w:val="20"/>
              </w:rPr>
              <w:t xml:space="preserve"> </w:t>
            </w:r>
            <w:r w:rsidRPr="00900E6E">
              <w:rPr>
                <w:rFonts w:ascii="Calibri" w:hAnsi="Calibri" w:cs="Calibri"/>
                <w:color w:val="000000"/>
                <w:sz w:val="20"/>
                <w:szCs w:val="20"/>
              </w:rPr>
              <w:t xml:space="preserve">intentional, purposive student initiated action to render the  learning environment to become more motivationally supportive. </w:t>
            </w:r>
          </w:p>
        </w:tc>
      </w:tr>
      <w:tr w:rsidR="00900E6E" w14:paraId="25542CFA" w14:textId="77777777" w:rsidTr="007B6703">
        <w:tc>
          <w:tcPr>
            <w:tcW w:w="1403" w:type="dxa"/>
          </w:tcPr>
          <w:p w14:paraId="1C5551B9" w14:textId="294E4BFD" w:rsidR="00900E6E" w:rsidRPr="00BF3903" w:rsidRDefault="00900E6E" w:rsidP="007B6703">
            <w:pPr>
              <w:rPr>
                <w:rFonts w:ascii="Calibri" w:hAnsi="Calibri" w:cs="Calibri"/>
                <w:color w:val="000000"/>
                <w:sz w:val="20"/>
                <w:szCs w:val="20"/>
              </w:rPr>
            </w:pPr>
            <w:r w:rsidRPr="00BF3903">
              <w:rPr>
                <w:rFonts w:ascii="Calibri" w:hAnsi="Calibri" w:cs="Calibri"/>
                <w:color w:val="000000"/>
                <w:sz w:val="20"/>
                <w:szCs w:val="20"/>
              </w:rPr>
              <w:t>Schuetz</w:t>
            </w:r>
            <w:r>
              <w:rPr>
                <w:rFonts w:ascii="Calibri" w:hAnsi="Calibri" w:cs="Calibri"/>
                <w:color w:val="000000"/>
                <w:sz w:val="20"/>
                <w:szCs w:val="20"/>
              </w:rPr>
              <w:t xml:space="preserve"> 2008</w:t>
            </w:r>
          </w:p>
        </w:tc>
        <w:tc>
          <w:tcPr>
            <w:tcW w:w="7947" w:type="dxa"/>
          </w:tcPr>
          <w:p w14:paraId="102CE4DA" w14:textId="38AA6C5F" w:rsidR="00900E6E" w:rsidRPr="00900E6E" w:rsidRDefault="00900E6E" w:rsidP="007B6703">
            <w:pPr>
              <w:rPr>
                <w:sz w:val="20"/>
                <w:szCs w:val="20"/>
              </w:rPr>
            </w:pPr>
            <w:r w:rsidRPr="00900E6E">
              <w:rPr>
                <w:rFonts w:ascii="Calibri" w:hAnsi="Calibri" w:cs="Calibri"/>
                <w:color w:val="000000"/>
                <w:sz w:val="20"/>
                <w:szCs w:val="20"/>
              </w:rPr>
              <w:t>a state of interest, mindfulness, cognitive effort, and deep processing of new information that partially mediates the gap between what learners can do and what they actually do</w:t>
            </w:r>
            <w:r w:rsidR="00ED4F3F">
              <w:rPr>
                <w:rFonts w:ascii="Calibri" w:hAnsi="Calibri" w:cs="Calibri"/>
                <w:color w:val="000000"/>
                <w:sz w:val="20"/>
                <w:szCs w:val="20"/>
              </w:rPr>
              <w:t>.</w:t>
            </w:r>
          </w:p>
        </w:tc>
      </w:tr>
      <w:tr w:rsidR="00900E6E" w14:paraId="136AAF4F" w14:textId="77777777" w:rsidTr="007B6703">
        <w:tc>
          <w:tcPr>
            <w:tcW w:w="1403" w:type="dxa"/>
          </w:tcPr>
          <w:p w14:paraId="4E34F113" w14:textId="7ED4135B" w:rsidR="00900E6E" w:rsidRPr="00BF3903" w:rsidRDefault="00900E6E" w:rsidP="007B6703">
            <w:pPr>
              <w:rPr>
                <w:rFonts w:ascii="Calibri" w:hAnsi="Calibri" w:cs="Calibri"/>
                <w:color w:val="000000"/>
                <w:sz w:val="20"/>
                <w:szCs w:val="20"/>
              </w:rPr>
            </w:pPr>
            <w:r w:rsidRPr="00BF3903">
              <w:rPr>
                <w:rFonts w:ascii="Calibri" w:hAnsi="Calibri" w:cs="Calibri"/>
                <w:color w:val="000000"/>
                <w:sz w:val="20"/>
                <w:szCs w:val="20"/>
              </w:rPr>
              <w:t>Skinner </w:t>
            </w:r>
            <w:r>
              <w:rPr>
                <w:rFonts w:ascii="Calibri" w:hAnsi="Calibri" w:cs="Calibri"/>
                <w:color w:val="000000"/>
                <w:sz w:val="20"/>
                <w:szCs w:val="20"/>
              </w:rPr>
              <w:t>2009</w:t>
            </w:r>
          </w:p>
        </w:tc>
        <w:tc>
          <w:tcPr>
            <w:tcW w:w="7947" w:type="dxa"/>
          </w:tcPr>
          <w:p w14:paraId="60115159" w14:textId="32FAE440" w:rsidR="00900E6E" w:rsidRPr="00900E6E" w:rsidRDefault="00900E6E" w:rsidP="007B6703">
            <w:pPr>
              <w:rPr>
                <w:sz w:val="20"/>
                <w:szCs w:val="20"/>
              </w:rPr>
            </w:pPr>
            <w:r w:rsidRPr="00900E6E">
              <w:rPr>
                <w:rFonts w:ascii="Calibri" w:hAnsi="Calibri" w:cs="Calibri"/>
                <w:color w:val="000000"/>
                <w:sz w:val="20"/>
                <w:szCs w:val="20"/>
              </w:rPr>
              <w:t>includes behavioral and emotional participation in the classroom and requires a conceptualization of its opposite, which we term disaffection</w:t>
            </w:r>
          </w:p>
        </w:tc>
      </w:tr>
      <w:tr w:rsidR="00900E6E" w14:paraId="45B61733" w14:textId="77777777" w:rsidTr="007B6703">
        <w:tc>
          <w:tcPr>
            <w:tcW w:w="1403" w:type="dxa"/>
          </w:tcPr>
          <w:p w14:paraId="7F29CAC9" w14:textId="75A4D4A5" w:rsidR="00900E6E" w:rsidRPr="00BF3903" w:rsidRDefault="00900E6E" w:rsidP="007B6703">
            <w:pPr>
              <w:rPr>
                <w:rFonts w:ascii="Calibri" w:hAnsi="Calibri" w:cs="Calibri"/>
                <w:color w:val="000000"/>
                <w:sz w:val="20"/>
                <w:szCs w:val="20"/>
              </w:rPr>
            </w:pPr>
            <w:proofErr w:type="spellStart"/>
            <w:r w:rsidRPr="00BF3903">
              <w:rPr>
                <w:rFonts w:ascii="Calibri" w:hAnsi="Calibri" w:cs="Calibri"/>
                <w:color w:val="000000"/>
                <w:sz w:val="20"/>
                <w:szCs w:val="20"/>
              </w:rPr>
              <w:lastRenderedPageBreak/>
              <w:t>Unrau</w:t>
            </w:r>
            <w:proofErr w:type="spellEnd"/>
            <w:r w:rsidRPr="00BF3903">
              <w:rPr>
                <w:rFonts w:ascii="Calibri" w:hAnsi="Calibri" w:cs="Calibri"/>
                <w:color w:val="000000"/>
                <w:sz w:val="20"/>
                <w:szCs w:val="20"/>
              </w:rPr>
              <w:t> </w:t>
            </w:r>
            <w:r>
              <w:rPr>
                <w:rFonts w:ascii="Calibri" w:hAnsi="Calibri" w:cs="Calibri"/>
                <w:color w:val="000000"/>
                <w:sz w:val="20"/>
                <w:szCs w:val="20"/>
              </w:rPr>
              <w:t>2014</w:t>
            </w:r>
          </w:p>
        </w:tc>
        <w:tc>
          <w:tcPr>
            <w:tcW w:w="7947" w:type="dxa"/>
          </w:tcPr>
          <w:p w14:paraId="01556FFE" w14:textId="51A3C838" w:rsidR="00900E6E" w:rsidRPr="00900E6E" w:rsidRDefault="00900E6E" w:rsidP="007B6703">
            <w:pPr>
              <w:rPr>
                <w:sz w:val="20"/>
                <w:szCs w:val="20"/>
              </w:rPr>
            </w:pPr>
            <w:r w:rsidRPr="00900E6E">
              <w:rPr>
                <w:rFonts w:ascii="Calibri" w:hAnsi="Calibri" w:cs="Calibri"/>
                <w:color w:val="000000"/>
                <w:sz w:val="20"/>
                <w:szCs w:val="20"/>
              </w:rPr>
              <w:t>defined in terms of the actions (both observable and unobservable) associated with a person’s reading activities</w:t>
            </w:r>
            <w:r w:rsidR="00C02F61">
              <w:rPr>
                <w:rFonts w:ascii="Calibri" w:hAnsi="Calibri" w:cs="Calibri"/>
                <w:color w:val="000000"/>
                <w:sz w:val="20"/>
                <w:szCs w:val="20"/>
              </w:rPr>
              <w:t>. T</w:t>
            </w:r>
            <w:r w:rsidRPr="00900E6E">
              <w:rPr>
                <w:rFonts w:ascii="Calibri" w:hAnsi="Calibri" w:cs="Calibri"/>
                <w:color w:val="000000"/>
                <w:sz w:val="20"/>
                <w:szCs w:val="20"/>
              </w:rPr>
              <w:t>his definition of reading engagement maintains a multidimensional perspective, with affective, behavioral, and cognitive components.</w:t>
            </w:r>
          </w:p>
        </w:tc>
      </w:tr>
      <w:tr w:rsidR="00900E6E" w14:paraId="17747962" w14:textId="77777777" w:rsidTr="007B6703">
        <w:tc>
          <w:tcPr>
            <w:tcW w:w="1403" w:type="dxa"/>
          </w:tcPr>
          <w:p w14:paraId="14FE76F0" w14:textId="6A615561" w:rsidR="00900E6E" w:rsidRPr="00BF3903" w:rsidRDefault="00900E6E" w:rsidP="007B6703">
            <w:pPr>
              <w:rPr>
                <w:rFonts w:ascii="Calibri" w:hAnsi="Calibri" w:cs="Calibri"/>
                <w:color w:val="000000"/>
                <w:sz w:val="20"/>
                <w:szCs w:val="20"/>
              </w:rPr>
            </w:pPr>
            <w:r w:rsidRPr="00BF3903">
              <w:rPr>
                <w:rFonts w:ascii="Calibri" w:hAnsi="Calibri" w:cs="Calibri"/>
                <w:color w:val="000000"/>
                <w:sz w:val="20"/>
                <w:szCs w:val="20"/>
              </w:rPr>
              <w:t>Wang</w:t>
            </w:r>
            <w:r>
              <w:rPr>
                <w:rFonts w:ascii="Calibri" w:hAnsi="Calibri" w:cs="Calibri"/>
                <w:color w:val="000000"/>
                <w:sz w:val="20"/>
                <w:szCs w:val="20"/>
              </w:rPr>
              <w:t xml:space="preserve"> 2017</w:t>
            </w:r>
          </w:p>
        </w:tc>
        <w:tc>
          <w:tcPr>
            <w:tcW w:w="7947" w:type="dxa"/>
          </w:tcPr>
          <w:p w14:paraId="01258538" w14:textId="1344F46C" w:rsidR="00900E6E" w:rsidRPr="00900E6E" w:rsidRDefault="00900E6E" w:rsidP="007B6703">
            <w:pPr>
              <w:rPr>
                <w:sz w:val="20"/>
                <w:szCs w:val="20"/>
              </w:rPr>
            </w:pPr>
            <w:r w:rsidRPr="00900E6E">
              <w:rPr>
                <w:rFonts w:ascii="Calibri" w:hAnsi="Calibri" w:cs="Calibri"/>
                <w:color w:val="000000"/>
                <w:sz w:val="20"/>
                <w:szCs w:val="20"/>
              </w:rPr>
              <w:t>behavioral, emotional, cognitive, and social indicators. engagement and disengagement in school emerged as two related, but potentially distinct constructs</w:t>
            </w:r>
          </w:p>
        </w:tc>
      </w:tr>
    </w:tbl>
    <w:p w14:paraId="4BB0B0AA" w14:textId="77777777" w:rsidR="00DC5B5C" w:rsidRDefault="00DC5B5C"/>
    <w:p w14:paraId="547647F1" w14:textId="77777777" w:rsidR="00DC5B5C" w:rsidRDefault="00DC5B5C" w:rsidP="00DC5B5C">
      <w:r>
        <w:t>Customer engagement (n = 11)</w:t>
      </w:r>
    </w:p>
    <w:tbl>
      <w:tblPr>
        <w:tblStyle w:val="TableGrid"/>
        <w:tblW w:w="0" w:type="auto"/>
        <w:tblLook w:val="04A0" w:firstRow="1" w:lastRow="0" w:firstColumn="1" w:lastColumn="0" w:noHBand="0" w:noVBand="1"/>
      </w:tblPr>
      <w:tblGrid>
        <w:gridCol w:w="1484"/>
        <w:gridCol w:w="7866"/>
      </w:tblGrid>
      <w:tr w:rsidR="00DC5B5C" w:rsidRPr="00335DC7" w14:paraId="03B1415A" w14:textId="77777777" w:rsidTr="00754BC3">
        <w:tc>
          <w:tcPr>
            <w:tcW w:w="1484" w:type="dxa"/>
          </w:tcPr>
          <w:p w14:paraId="58B2CEC0" w14:textId="3908DD6F" w:rsidR="00DC5B5C" w:rsidRPr="00335DC7" w:rsidRDefault="00B63F48" w:rsidP="00942E78">
            <w:pPr>
              <w:rPr>
                <w:b/>
                <w:sz w:val="20"/>
                <w:szCs w:val="20"/>
              </w:rPr>
            </w:pPr>
            <w:r>
              <w:rPr>
                <w:b/>
                <w:sz w:val="20"/>
                <w:szCs w:val="20"/>
              </w:rPr>
              <w:t>Study</w:t>
            </w:r>
          </w:p>
        </w:tc>
        <w:tc>
          <w:tcPr>
            <w:tcW w:w="7866" w:type="dxa"/>
          </w:tcPr>
          <w:p w14:paraId="5EB292A9" w14:textId="77777777" w:rsidR="00DC5B5C" w:rsidRPr="00335DC7" w:rsidRDefault="00DC5B5C" w:rsidP="00942E78">
            <w:pPr>
              <w:rPr>
                <w:b/>
                <w:sz w:val="20"/>
                <w:szCs w:val="20"/>
              </w:rPr>
            </w:pPr>
            <w:r w:rsidRPr="00335DC7">
              <w:rPr>
                <w:b/>
                <w:sz w:val="20"/>
                <w:szCs w:val="20"/>
              </w:rPr>
              <w:t>Used definition</w:t>
            </w:r>
          </w:p>
        </w:tc>
      </w:tr>
      <w:tr w:rsidR="00754BC3" w:rsidRPr="00335DC7" w14:paraId="6C56039E" w14:textId="77777777" w:rsidTr="00754BC3">
        <w:tc>
          <w:tcPr>
            <w:tcW w:w="1484" w:type="dxa"/>
            <w:vAlign w:val="bottom"/>
          </w:tcPr>
          <w:p w14:paraId="03BA5EB0" w14:textId="4B7CF2AB" w:rsidR="00754BC3" w:rsidRPr="00335DC7" w:rsidRDefault="00754BC3" w:rsidP="00754BC3">
            <w:pPr>
              <w:rPr>
                <w:sz w:val="20"/>
                <w:szCs w:val="20"/>
              </w:rPr>
            </w:pPr>
            <w:r w:rsidRPr="00DB66E9">
              <w:rPr>
                <w:rFonts w:cstheme="minorHAnsi"/>
                <w:color w:val="000000"/>
                <w:sz w:val="20"/>
                <w:szCs w:val="20"/>
              </w:rPr>
              <w:t>Abdul-Ghani</w:t>
            </w:r>
            <w:r>
              <w:rPr>
                <w:rFonts w:cstheme="minorHAnsi"/>
                <w:color w:val="000000"/>
                <w:sz w:val="20"/>
                <w:szCs w:val="20"/>
              </w:rPr>
              <w:t xml:space="preserve"> 2018</w:t>
            </w:r>
          </w:p>
        </w:tc>
        <w:tc>
          <w:tcPr>
            <w:tcW w:w="7866" w:type="dxa"/>
            <w:vAlign w:val="bottom"/>
          </w:tcPr>
          <w:p w14:paraId="1FCF3CA3" w14:textId="307826E4" w:rsidR="00754BC3" w:rsidRPr="00754BC3" w:rsidRDefault="00D3705B" w:rsidP="00754BC3">
            <w:pPr>
              <w:rPr>
                <w:sz w:val="20"/>
                <w:szCs w:val="20"/>
              </w:rPr>
            </w:pPr>
            <w:r>
              <w:rPr>
                <w:rFonts w:ascii="Calibri" w:hAnsi="Calibri" w:cs="Calibri"/>
                <w:color w:val="000000"/>
                <w:sz w:val="20"/>
                <w:szCs w:val="20"/>
              </w:rPr>
              <w:t>It’s a motivational construct that prompts ongoing participation in the consumption of a product. It</w:t>
            </w:r>
            <w:r w:rsidR="00EA26EC">
              <w:rPr>
                <w:rFonts w:ascii="Calibri" w:hAnsi="Calibri" w:cs="Calibri"/>
                <w:color w:val="000000"/>
                <w:sz w:val="20"/>
                <w:szCs w:val="20"/>
              </w:rPr>
              <w:t>’</w:t>
            </w:r>
            <w:r>
              <w:rPr>
                <w:rFonts w:ascii="Calibri" w:hAnsi="Calibri" w:cs="Calibri"/>
                <w:color w:val="000000"/>
                <w:sz w:val="20"/>
                <w:szCs w:val="20"/>
              </w:rPr>
              <w:t xml:space="preserve">s </w:t>
            </w:r>
            <w:r w:rsidR="00754BC3" w:rsidRPr="00754BC3">
              <w:rPr>
                <w:rFonts w:ascii="Calibri" w:hAnsi="Calibri" w:cs="Calibri"/>
                <w:color w:val="000000"/>
                <w:sz w:val="20"/>
                <w:szCs w:val="20"/>
              </w:rPr>
              <w:t>a multidimensional construct comprised of cognitive and affective reactions to the consumption experience; identification with, and motivation to repeat, the consumption experience.</w:t>
            </w:r>
          </w:p>
        </w:tc>
      </w:tr>
      <w:tr w:rsidR="00754BC3" w:rsidRPr="00335DC7" w14:paraId="1F15D81C" w14:textId="77777777" w:rsidTr="00754BC3">
        <w:tc>
          <w:tcPr>
            <w:tcW w:w="1484" w:type="dxa"/>
            <w:vAlign w:val="bottom"/>
          </w:tcPr>
          <w:p w14:paraId="0550839A" w14:textId="13765F2B" w:rsidR="00754BC3" w:rsidRPr="00335DC7" w:rsidRDefault="00754BC3" w:rsidP="00754BC3">
            <w:pPr>
              <w:rPr>
                <w:sz w:val="20"/>
                <w:szCs w:val="20"/>
              </w:rPr>
            </w:pPr>
            <w:r w:rsidRPr="00DB66E9">
              <w:rPr>
                <w:rFonts w:cstheme="minorHAnsi"/>
                <w:color w:val="000000"/>
                <w:sz w:val="20"/>
                <w:szCs w:val="20"/>
              </w:rPr>
              <w:t>Bowden </w:t>
            </w:r>
            <w:r>
              <w:rPr>
                <w:rFonts w:cstheme="minorHAnsi"/>
                <w:color w:val="000000"/>
                <w:sz w:val="20"/>
                <w:szCs w:val="20"/>
              </w:rPr>
              <w:t>2009</w:t>
            </w:r>
          </w:p>
        </w:tc>
        <w:tc>
          <w:tcPr>
            <w:tcW w:w="7866" w:type="dxa"/>
            <w:vAlign w:val="bottom"/>
          </w:tcPr>
          <w:p w14:paraId="7CD55474" w14:textId="4B1EFA2C" w:rsidR="00754BC3" w:rsidRPr="00754BC3" w:rsidRDefault="00754BC3" w:rsidP="00754BC3">
            <w:pPr>
              <w:rPr>
                <w:sz w:val="20"/>
                <w:szCs w:val="20"/>
              </w:rPr>
            </w:pPr>
            <w:r w:rsidRPr="00754BC3">
              <w:rPr>
                <w:rFonts w:ascii="Calibri" w:hAnsi="Calibri" w:cs="Calibri"/>
                <w:color w:val="000000"/>
                <w:sz w:val="20"/>
                <w:szCs w:val="20"/>
              </w:rPr>
              <w:t xml:space="preserve">The process of engagement traces the temporal development of loyalty by mapping the relationships between the constructs of calculative commitment, affective commitment, involvement, and trust as customers progress from being new to a service brand to becoming repeat purchasers of a specific service brand. </w:t>
            </w:r>
          </w:p>
        </w:tc>
      </w:tr>
      <w:tr w:rsidR="00754BC3" w:rsidRPr="00335DC7" w14:paraId="3C47F3D7" w14:textId="77777777" w:rsidTr="00754BC3">
        <w:tc>
          <w:tcPr>
            <w:tcW w:w="1484" w:type="dxa"/>
            <w:vAlign w:val="bottom"/>
          </w:tcPr>
          <w:p w14:paraId="33B7DE13" w14:textId="3F2DAE51" w:rsidR="00754BC3" w:rsidRPr="00335DC7" w:rsidRDefault="00754BC3" w:rsidP="00754BC3">
            <w:pPr>
              <w:rPr>
                <w:sz w:val="20"/>
                <w:szCs w:val="20"/>
              </w:rPr>
            </w:pPr>
            <w:r w:rsidRPr="00DB66E9">
              <w:rPr>
                <w:rFonts w:cstheme="minorHAnsi"/>
                <w:color w:val="000000"/>
                <w:sz w:val="20"/>
                <w:szCs w:val="20"/>
              </w:rPr>
              <w:t>Brodie </w:t>
            </w:r>
            <w:r>
              <w:rPr>
                <w:rFonts w:cstheme="minorHAnsi"/>
                <w:color w:val="000000"/>
                <w:sz w:val="20"/>
                <w:szCs w:val="20"/>
              </w:rPr>
              <w:t>2011</w:t>
            </w:r>
          </w:p>
        </w:tc>
        <w:tc>
          <w:tcPr>
            <w:tcW w:w="7866" w:type="dxa"/>
            <w:vAlign w:val="bottom"/>
          </w:tcPr>
          <w:p w14:paraId="2FCF3C45" w14:textId="5DC38CCB" w:rsidR="00754BC3" w:rsidRPr="00754BC3" w:rsidRDefault="00754BC3" w:rsidP="00754BC3">
            <w:pPr>
              <w:rPr>
                <w:sz w:val="20"/>
                <w:szCs w:val="20"/>
              </w:rPr>
            </w:pPr>
            <w:r w:rsidRPr="00754BC3">
              <w:rPr>
                <w:rFonts w:ascii="Calibri" w:hAnsi="Calibri" w:cs="Calibri"/>
                <w:color w:val="000000"/>
                <w:sz w:val="20"/>
                <w:szCs w:val="20"/>
              </w:rPr>
              <w:t xml:space="preserve">a psychological state </w:t>
            </w:r>
            <w:r w:rsidR="007F0FD3">
              <w:rPr>
                <w:rFonts w:ascii="Calibri" w:hAnsi="Calibri" w:cs="Calibri"/>
                <w:color w:val="000000"/>
                <w:sz w:val="20"/>
                <w:szCs w:val="20"/>
              </w:rPr>
              <w:t>and</w:t>
            </w:r>
            <w:r w:rsidRPr="00754BC3">
              <w:rPr>
                <w:rFonts w:ascii="Calibri" w:hAnsi="Calibri" w:cs="Calibri"/>
                <w:color w:val="000000"/>
                <w:sz w:val="20"/>
                <w:szCs w:val="20"/>
              </w:rPr>
              <w:t xml:space="preserve"> multidimensional concept subject to a context- and/or stakeholder-specific expression of relevant cognitive, emotional and/or behavioral dimensions.</w:t>
            </w:r>
          </w:p>
        </w:tc>
      </w:tr>
      <w:tr w:rsidR="00754BC3" w:rsidRPr="00335DC7" w14:paraId="26DE9A0F" w14:textId="77777777" w:rsidTr="00754BC3">
        <w:tc>
          <w:tcPr>
            <w:tcW w:w="1484" w:type="dxa"/>
            <w:vAlign w:val="bottom"/>
          </w:tcPr>
          <w:p w14:paraId="00D964B5" w14:textId="56852E05" w:rsidR="00754BC3" w:rsidRPr="00335DC7" w:rsidRDefault="00754BC3" w:rsidP="00754BC3">
            <w:pPr>
              <w:rPr>
                <w:sz w:val="20"/>
                <w:szCs w:val="20"/>
              </w:rPr>
            </w:pPr>
            <w:r w:rsidRPr="00DB66E9">
              <w:rPr>
                <w:rFonts w:cstheme="minorHAnsi"/>
                <w:color w:val="000000"/>
                <w:sz w:val="20"/>
                <w:szCs w:val="20"/>
              </w:rPr>
              <w:t>Dhanesh </w:t>
            </w:r>
            <w:r>
              <w:rPr>
                <w:rFonts w:cstheme="minorHAnsi"/>
                <w:color w:val="000000"/>
                <w:sz w:val="20"/>
                <w:szCs w:val="20"/>
              </w:rPr>
              <w:t>2017</w:t>
            </w:r>
          </w:p>
        </w:tc>
        <w:tc>
          <w:tcPr>
            <w:tcW w:w="7866" w:type="dxa"/>
            <w:vAlign w:val="bottom"/>
          </w:tcPr>
          <w:p w14:paraId="2EF923C9" w14:textId="6A88FB1D" w:rsidR="00754BC3" w:rsidRPr="00754BC3" w:rsidRDefault="00754BC3" w:rsidP="00754BC3">
            <w:pPr>
              <w:rPr>
                <w:sz w:val="20"/>
                <w:szCs w:val="20"/>
              </w:rPr>
            </w:pPr>
            <w:r w:rsidRPr="00754BC3">
              <w:rPr>
                <w:rFonts w:ascii="Calibri" w:hAnsi="Calibri" w:cs="Calibri"/>
                <w:color w:val="000000"/>
                <w:sz w:val="20"/>
                <w:szCs w:val="20"/>
              </w:rPr>
              <w:t>an affective, cognitive, and behavioral state wherein publics and organizations who share mutual interests in salient topics interact along continua that range from passive to active and from control to collaboration, and is aimed at goal attainment, adjustment, and adaptation for both publics and organizations.</w:t>
            </w:r>
          </w:p>
        </w:tc>
      </w:tr>
      <w:tr w:rsidR="00754BC3" w:rsidRPr="00335DC7" w14:paraId="1D050F67" w14:textId="77777777" w:rsidTr="00754BC3">
        <w:tc>
          <w:tcPr>
            <w:tcW w:w="1484" w:type="dxa"/>
            <w:vAlign w:val="bottom"/>
          </w:tcPr>
          <w:p w14:paraId="6614ACE0" w14:textId="4E43526D" w:rsidR="00754BC3" w:rsidRPr="00335DC7" w:rsidRDefault="00754BC3" w:rsidP="00754BC3">
            <w:pPr>
              <w:rPr>
                <w:sz w:val="20"/>
                <w:szCs w:val="20"/>
              </w:rPr>
            </w:pPr>
            <w:proofErr w:type="spellStart"/>
            <w:r w:rsidRPr="00DB66E9">
              <w:rPr>
                <w:rFonts w:cstheme="minorHAnsi"/>
                <w:color w:val="000000"/>
                <w:sz w:val="20"/>
                <w:szCs w:val="20"/>
              </w:rPr>
              <w:t>Graffigna</w:t>
            </w:r>
            <w:proofErr w:type="spellEnd"/>
            <w:r w:rsidRPr="00DB66E9">
              <w:rPr>
                <w:rFonts w:cstheme="minorHAnsi"/>
                <w:color w:val="000000"/>
                <w:sz w:val="20"/>
                <w:szCs w:val="20"/>
              </w:rPr>
              <w:t> </w:t>
            </w:r>
            <w:r>
              <w:rPr>
                <w:rFonts w:cstheme="minorHAnsi"/>
                <w:color w:val="000000"/>
                <w:sz w:val="20"/>
                <w:szCs w:val="20"/>
              </w:rPr>
              <w:t>2015</w:t>
            </w:r>
          </w:p>
        </w:tc>
        <w:tc>
          <w:tcPr>
            <w:tcW w:w="7866" w:type="dxa"/>
            <w:vAlign w:val="bottom"/>
          </w:tcPr>
          <w:p w14:paraId="4238EDBC" w14:textId="24166965" w:rsidR="00754BC3" w:rsidRPr="00754BC3" w:rsidRDefault="00754BC3" w:rsidP="00754BC3">
            <w:pPr>
              <w:rPr>
                <w:sz w:val="20"/>
                <w:szCs w:val="20"/>
              </w:rPr>
            </w:pPr>
            <w:r w:rsidRPr="00754BC3">
              <w:rPr>
                <w:rFonts w:ascii="Calibri" w:hAnsi="Calibri" w:cs="Calibri"/>
                <w:color w:val="000000"/>
                <w:sz w:val="20"/>
                <w:szCs w:val="20"/>
              </w:rPr>
              <w:t>a dynamic process that evolves in three progressive relational phases: friendship, intimacy and symbiosis.</w:t>
            </w:r>
          </w:p>
        </w:tc>
      </w:tr>
      <w:tr w:rsidR="00754BC3" w:rsidRPr="00335DC7" w14:paraId="083F12CD" w14:textId="77777777" w:rsidTr="00754BC3">
        <w:tc>
          <w:tcPr>
            <w:tcW w:w="1484" w:type="dxa"/>
            <w:vAlign w:val="bottom"/>
          </w:tcPr>
          <w:p w14:paraId="2DFFCF4F" w14:textId="07BE0CEC" w:rsidR="00754BC3" w:rsidRPr="00335DC7" w:rsidRDefault="00754BC3" w:rsidP="00754BC3">
            <w:pPr>
              <w:rPr>
                <w:sz w:val="20"/>
                <w:szCs w:val="20"/>
              </w:rPr>
            </w:pPr>
            <w:proofErr w:type="spellStart"/>
            <w:r w:rsidRPr="00DB66E9">
              <w:rPr>
                <w:rFonts w:cstheme="minorHAnsi"/>
                <w:color w:val="000000"/>
                <w:sz w:val="20"/>
                <w:szCs w:val="20"/>
              </w:rPr>
              <w:t>Hollebeek</w:t>
            </w:r>
            <w:proofErr w:type="spellEnd"/>
            <w:r w:rsidRPr="00DB66E9">
              <w:rPr>
                <w:rFonts w:cstheme="minorHAnsi"/>
                <w:color w:val="000000"/>
                <w:sz w:val="20"/>
                <w:szCs w:val="20"/>
              </w:rPr>
              <w:t> </w:t>
            </w:r>
            <w:r>
              <w:rPr>
                <w:rFonts w:cstheme="minorHAnsi"/>
                <w:color w:val="000000"/>
                <w:sz w:val="20"/>
                <w:szCs w:val="20"/>
              </w:rPr>
              <w:t>2011</w:t>
            </w:r>
          </w:p>
        </w:tc>
        <w:tc>
          <w:tcPr>
            <w:tcW w:w="7866" w:type="dxa"/>
            <w:vAlign w:val="bottom"/>
          </w:tcPr>
          <w:p w14:paraId="49C0E5DC" w14:textId="2ADB576C" w:rsidR="00754BC3" w:rsidRPr="00754BC3" w:rsidRDefault="00754BC3" w:rsidP="00754BC3">
            <w:pPr>
              <w:rPr>
                <w:sz w:val="20"/>
                <w:szCs w:val="20"/>
              </w:rPr>
            </w:pPr>
            <w:r w:rsidRPr="00754BC3">
              <w:rPr>
                <w:rFonts w:ascii="Calibri" w:hAnsi="Calibri" w:cs="Calibri"/>
                <w:color w:val="000000"/>
                <w:sz w:val="20"/>
                <w:szCs w:val="20"/>
              </w:rPr>
              <w:t>the level of a customer’s cognitive, emotional and behavioral investment in specific brand interactions, which are displayed by applying particular levels of brand-related concentration, positive affect and energy (time/effort) in specific brand interactions</w:t>
            </w:r>
          </w:p>
        </w:tc>
      </w:tr>
      <w:tr w:rsidR="00754BC3" w:rsidRPr="00335DC7" w14:paraId="6F7C7B25" w14:textId="77777777" w:rsidTr="00754BC3">
        <w:tc>
          <w:tcPr>
            <w:tcW w:w="1484" w:type="dxa"/>
            <w:vAlign w:val="bottom"/>
          </w:tcPr>
          <w:p w14:paraId="4224D903" w14:textId="21026DBD" w:rsidR="00754BC3" w:rsidRPr="00335DC7" w:rsidRDefault="00754BC3" w:rsidP="00754BC3">
            <w:pPr>
              <w:rPr>
                <w:sz w:val="20"/>
                <w:szCs w:val="20"/>
              </w:rPr>
            </w:pPr>
            <w:proofErr w:type="spellStart"/>
            <w:r w:rsidRPr="00DB66E9">
              <w:rPr>
                <w:rFonts w:cstheme="minorHAnsi"/>
                <w:color w:val="000000"/>
                <w:sz w:val="20"/>
                <w:szCs w:val="20"/>
              </w:rPr>
              <w:t>Hollebeek</w:t>
            </w:r>
            <w:proofErr w:type="spellEnd"/>
            <w:r w:rsidRPr="00DB66E9">
              <w:rPr>
                <w:rFonts w:cstheme="minorHAnsi"/>
                <w:color w:val="000000"/>
                <w:sz w:val="20"/>
                <w:szCs w:val="20"/>
              </w:rPr>
              <w:t> </w:t>
            </w:r>
            <w:r>
              <w:rPr>
                <w:rFonts w:cstheme="minorHAnsi"/>
                <w:color w:val="000000"/>
                <w:sz w:val="20"/>
                <w:szCs w:val="20"/>
              </w:rPr>
              <w:t>2014</w:t>
            </w:r>
          </w:p>
        </w:tc>
        <w:tc>
          <w:tcPr>
            <w:tcW w:w="7866" w:type="dxa"/>
            <w:vAlign w:val="bottom"/>
          </w:tcPr>
          <w:p w14:paraId="1AA60E3A" w14:textId="28F37C26" w:rsidR="00754BC3" w:rsidRPr="00754BC3" w:rsidRDefault="00754BC3" w:rsidP="00754BC3">
            <w:pPr>
              <w:rPr>
                <w:sz w:val="20"/>
                <w:szCs w:val="20"/>
              </w:rPr>
            </w:pPr>
            <w:r w:rsidRPr="00754BC3">
              <w:rPr>
                <w:rFonts w:ascii="Calibri" w:hAnsi="Calibri" w:cs="Calibri"/>
                <w:color w:val="000000"/>
                <w:sz w:val="20"/>
                <w:szCs w:val="20"/>
              </w:rPr>
              <w:t xml:space="preserve">a consumer's positively </w:t>
            </w:r>
            <w:r w:rsidR="00060854" w:rsidRPr="00754BC3">
              <w:rPr>
                <w:rFonts w:ascii="Calibri" w:hAnsi="Calibri" w:cs="Calibri"/>
                <w:color w:val="000000"/>
                <w:sz w:val="20"/>
                <w:szCs w:val="20"/>
              </w:rPr>
              <w:t>valanced</w:t>
            </w:r>
            <w:r w:rsidRPr="00754BC3">
              <w:rPr>
                <w:rFonts w:ascii="Calibri" w:hAnsi="Calibri" w:cs="Calibri"/>
                <w:color w:val="000000"/>
                <w:sz w:val="20"/>
                <w:szCs w:val="20"/>
              </w:rPr>
              <w:t xml:space="preserve"> brand-related cognitive, emotional and behavioral activity during or related to focal consumer/brand interactions</w:t>
            </w:r>
          </w:p>
        </w:tc>
      </w:tr>
      <w:tr w:rsidR="00754BC3" w:rsidRPr="00335DC7" w14:paraId="6F2541B2" w14:textId="77777777" w:rsidTr="00754BC3">
        <w:tc>
          <w:tcPr>
            <w:tcW w:w="1484" w:type="dxa"/>
            <w:vAlign w:val="bottom"/>
          </w:tcPr>
          <w:p w14:paraId="158D1D80" w14:textId="7538A161" w:rsidR="00754BC3" w:rsidRPr="00335DC7" w:rsidRDefault="00754BC3" w:rsidP="00754BC3">
            <w:pPr>
              <w:rPr>
                <w:sz w:val="20"/>
                <w:szCs w:val="20"/>
              </w:rPr>
            </w:pPr>
            <w:proofErr w:type="spellStart"/>
            <w:r w:rsidRPr="00DB66E9">
              <w:rPr>
                <w:rFonts w:cstheme="minorHAnsi"/>
                <w:color w:val="000000"/>
                <w:sz w:val="20"/>
                <w:szCs w:val="20"/>
              </w:rPr>
              <w:t>Kulta</w:t>
            </w:r>
            <w:proofErr w:type="spellEnd"/>
            <w:r w:rsidRPr="00DB66E9">
              <w:rPr>
                <w:rFonts w:cstheme="minorHAnsi"/>
                <w:color w:val="000000"/>
                <w:sz w:val="20"/>
                <w:szCs w:val="20"/>
              </w:rPr>
              <w:t> </w:t>
            </w:r>
            <w:r>
              <w:rPr>
                <w:rFonts w:cstheme="minorHAnsi"/>
                <w:color w:val="000000"/>
                <w:sz w:val="20"/>
                <w:szCs w:val="20"/>
              </w:rPr>
              <w:t>2016</w:t>
            </w:r>
          </w:p>
        </w:tc>
        <w:tc>
          <w:tcPr>
            <w:tcW w:w="7866" w:type="dxa"/>
            <w:vAlign w:val="bottom"/>
          </w:tcPr>
          <w:p w14:paraId="61B17012" w14:textId="57E0D812" w:rsidR="00754BC3" w:rsidRPr="00754BC3" w:rsidRDefault="00754BC3" w:rsidP="00754BC3">
            <w:pPr>
              <w:rPr>
                <w:sz w:val="20"/>
                <w:szCs w:val="20"/>
              </w:rPr>
            </w:pPr>
            <w:r w:rsidRPr="00754BC3">
              <w:rPr>
                <w:rFonts w:ascii="Calibri" w:hAnsi="Calibri" w:cs="Calibri"/>
                <w:color w:val="000000"/>
                <w:sz w:val="20"/>
                <w:szCs w:val="20"/>
              </w:rPr>
              <w:t>a multidimensional concept including behavioral, emotional, and cognitive dimensions.</w:t>
            </w:r>
          </w:p>
        </w:tc>
      </w:tr>
      <w:tr w:rsidR="00754BC3" w:rsidRPr="00335DC7" w14:paraId="53334FC3" w14:textId="77777777" w:rsidTr="00754BC3">
        <w:tc>
          <w:tcPr>
            <w:tcW w:w="1484" w:type="dxa"/>
            <w:vAlign w:val="bottom"/>
          </w:tcPr>
          <w:p w14:paraId="03563DBB" w14:textId="18940F82" w:rsidR="00754BC3" w:rsidRPr="00335DC7" w:rsidRDefault="00754BC3" w:rsidP="00754BC3">
            <w:pPr>
              <w:rPr>
                <w:sz w:val="20"/>
                <w:szCs w:val="20"/>
              </w:rPr>
            </w:pPr>
            <w:proofErr w:type="spellStart"/>
            <w:r w:rsidRPr="00DB66E9">
              <w:rPr>
                <w:rFonts w:cstheme="minorHAnsi"/>
                <w:color w:val="000000"/>
                <w:sz w:val="20"/>
                <w:szCs w:val="20"/>
              </w:rPr>
              <w:t>Mittler</w:t>
            </w:r>
            <w:proofErr w:type="spellEnd"/>
            <w:r>
              <w:rPr>
                <w:rFonts w:cstheme="minorHAnsi"/>
                <w:color w:val="000000"/>
                <w:sz w:val="20"/>
                <w:szCs w:val="20"/>
              </w:rPr>
              <w:t xml:space="preserve"> 2013</w:t>
            </w:r>
          </w:p>
        </w:tc>
        <w:tc>
          <w:tcPr>
            <w:tcW w:w="7866" w:type="dxa"/>
            <w:vAlign w:val="bottom"/>
          </w:tcPr>
          <w:p w14:paraId="1E8AF059" w14:textId="67A73698" w:rsidR="00754BC3" w:rsidRPr="00754BC3" w:rsidRDefault="00754BC3" w:rsidP="00754BC3">
            <w:pPr>
              <w:rPr>
                <w:sz w:val="20"/>
                <w:szCs w:val="20"/>
              </w:rPr>
            </w:pPr>
            <w:r w:rsidRPr="00754BC3">
              <w:rPr>
                <w:rFonts w:ascii="Calibri" w:hAnsi="Calibri" w:cs="Calibri"/>
                <w:color w:val="000000"/>
                <w:sz w:val="20"/>
                <w:szCs w:val="20"/>
              </w:rPr>
              <w:t xml:space="preserve">the performance of specific behaviors (“engaged behaviors”) and/or an individual’s capacity and motivation to perform these behaviors (“activation”). </w:t>
            </w:r>
          </w:p>
        </w:tc>
      </w:tr>
      <w:tr w:rsidR="00754BC3" w:rsidRPr="00335DC7" w14:paraId="1B4BE035" w14:textId="77777777" w:rsidTr="00754BC3">
        <w:tc>
          <w:tcPr>
            <w:tcW w:w="1484" w:type="dxa"/>
            <w:vAlign w:val="bottom"/>
          </w:tcPr>
          <w:p w14:paraId="7287C5FA" w14:textId="0323BF14" w:rsidR="00754BC3" w:rsidRPr="00335DC7" w:rsidRDefault="00754BC3" w:rsidP="00754BC3">
            <w:pPr>
              <w:rPr>
                <w:sz w:val="20"/>
                <w:szCs w:val="20"/>
              </w:rPr>
            </w:pPr>
            <w:proofErr w:type="spellStart"/>
            <w:r w:rsidRPr="00DB66E9">
              <w:rPr>
                <w:rFonts w:cstheme="minorHAnsi"/>
                <w:color w:val="000000"/>
                <w:sz w:val="20"/>
                <w:szCs w:val="20"/>
              </w:rPr>
              <w:t>Solem</w:t>
            </w:r>
            <w:proofErr w:type="spellEnd"/>
            <w:r w:rsidRPr="00DB66E9">
              <w:rPr>
                <w:rFonts w:cstheme="minorHAnsi"/>
                <w:color w:val="000000"/>
                <w:sz w:val="20"/>
                <w:szCs w:val="20"/>
              </w:rPr>
              <w:t> </w:t>
            </w:r>
            <w:r>
              <w:rPr>
                <w:rFonts w:cstheme="minorHAnsi"/>
                <w:color w:val="000000"/>
                <w:sz w:val="20"/>
                <w:szCs w:val="20"/>
              </w:rPr>
              <w:t>2016</w:t>
            </w:r>
          </w:p>
        </w:tc>
        <w:tc>
          <w:tcPr>
            <w:tcW w:w="7866" w:type="dxa"/>
            <w:vAlign w:val="bottom"/>
          </w:tcPr>
          <w:p w14:paraId="5DC2F55D" w14:textId="2DA0C846" w:rsidR="00754BC3" w:rsidRPr="00754BC3" w:rsidRDefault="00754BC3" w:rsidP="00754BC3">
            <w:pPr>
              <w:rPr>
                <w:sz w:val="20"/>
                <w:szCs w:val="20"/>
              </w:rPr>
            </w:pPr>
            <w:r w:rsidRPr="00754BC3">
              <w:rPr>
                <w:rFonts w:ascii="Calibri" w:hAnsi="Calibri" w:cs="Calibri"/>
                <w:color w:val="000000"/>
                <w:sz w:val="20"/>
                <w:szCs w:val="20"/>
              </w:rPr>
              <w:t xml:space="preserve">a customer’s motivational and positive state of mind, </w:t>
            </w:r>
            <w:r w:rsidR="00060854" w:rsidRPr="00754BC3">
              <w:rPr>
                <w:rFonts w:ascii="Calibri" w:hAnsi="Calibri" w:cs="Calibri"/>
                <w:color w:val="000000"/>
                <w:sz w:val="20"/>
                <w:szCs w:val="20"/>
              </w:rPr>
              <w:t>characterized</w:t>
            </w:r>
            <w:r w:rsidRPr="00754BC3">
              <w:rPr>
                <w:rFonts w:ascii="Calibri" w:hAnsi="Calibri" w:cs="Calibri"/>
                <w:color w:val="000000"/>
                <w:sz w:val="20"/>
                <w:szCs w:val="20"/>
              </w:rPr>
              <w:t xml:space="preserve"> by physical, emotional and cognitive investments in brand relationships.</w:t>
            </w:r>
          </w:p>
        </w:tc>
      </w:tr>
      <w:tr w:rsidR="00E74A68" w:rsidRPr="00335DC7" w14:paraId="24FAE021" w14:textId="77777777" w:rsidTr="00754BC3">
        <w:tc>
          <w:tcPr>
            <w:tcW w:w="1484" w:type="dxa"/>
            <w:vAlign w:val="bottom"/>
          </w:tcPr>
          <w:p w14:paraId="6993F5D9" w14:textId="11409F51" w:rsidR="00E74A68" w:rsidRPr="00DB66E9" w:rsidRDefault="00E74A68" w:rsidP="00754BC3">
            <w:pPr>
              <w:rPr>
                <w:rFonts w:cstheme="minorHAnsi"/>
                <w:color w:val="000000"/>
                <w:sz w:val="20"/>
                <w:szCs w:val="20"/>
              </w:rPr>
            </w:pPr>
            <w:r>
              <w:rPr>
                <w:rFonts w:cstheme="minorHAnsi"/>
                <w:color w:val="000000"/>
                <w:sz w:val="20"/>
                <w:szCs w:val="20"/>
              </w:rPr>
              <w:t>Tan 2018</w:t>
            </w:r>
          </w:p>
        </w:tc>
        <w:tc>
          <w:tcPr>
            <w:tcW w:w="7866" w:type="dxa"/>
            <w:vAlign w:val="bottom"/>
          </w:tcPr>
          <w:p w14:paraId="6C4B6F54" w14:textId="37B5C922" w:rsidR="00E74A68" w:rsidRPr="00754BC3" w:rsidRDefault="00E36FE6" w:rsidP="00754BC3">
            <w:pPr>
              <w:rPr>
                <w:rFonts w:ascii="Calibri" w:hAnsi="Calibri" w:cs="Calibri"/>
                <w:color w:val="000000"/>
                <w:sz w:val="20"/>
                <w:szCs w:val="20"/>
              </w:rPr>
            </w:pPr>
            <w:r>
              <w:rPr>
                <w:rFonts w:ascii="Calibri" w:hAnsi="Calibri" w:cs="Calibri"/>
                <w:color w:val="000000"/>
                <w:sz w:val="20"/>
                <w:szCs w:val="20"/>
              </w:rPr>
              <w:t>Unclear</w:t>
            </w:r>
          </w:p>
        </w:tc>
      </w:tr>
      <w:tr w:rsidR="00754BC3" w:rsidRPr="00335DC7" w14:paraId="4CAF6B1F" w14:textId="77777777" w:rsidTr="00754BC3">
        <w:tc>
          <w:tcPr>
            <w:tcW w:w="1484" w:type="dxa"/>
            <w:vAlign w:val="bottom"/>
          </w:tcPr>
          <w:p w14:paraId="48E5088D" w14:textId="0D66155F" w:rsidR="00754BC3" w:rsidRPr="00335DC7" w:rsidRDefault="00754BC3" w:rsidP="00754BC3">
            <w:pPr>
              <w:rPr>
                <w:sz w:val="20"/>
                <w:szCs w:val="20"/>
              </w:rPr>
            </w:pPr>
            <w:r w:rsidRPr="00DB66E9">
              <w:rPr>
                <w:rFonts w:cstheme="minorHAnsi"/>
                <w:color w:val="000000"/>
                <w:sz w:val="20"/>
                <w:szCs w:val="20"/>
              </w:rPr>
              <w:t>Yoshida </w:t>
            </w:r>
            <w:r>
              <w:rPr>
                <w:rFonts w:cstheme="minorHAnsi"/>
                <w:color w:val="000000"/>
                <w:sz w:val="20"/>
                <w:szCs w:val="20"/>
              </w:rPr>
              <w:t>2014</w:t>
            </w:r>
          </w:p>
        </w:tc>
        <w:tc>
          <w:tcPr>
            <w:tcW w:w="7866" w:type="dxa"/>
            <w:vAlign w:val="bottom"/>
          </w:tcPr>
          <w:p w14:paraId="1585E503" w14:textId="726E0E7C" w:rsidR="00754BC3" w:rsidRPr="00754BC3" w:rsidRDefault="00754BC3" w:rsidP="00754BC3">
            <w:pPr>
              <w:rPr>
                <w:sz w:val="20"/>
                <w:szCs w:val="20"/>
              </w:rPr>
            </w:pPr>
            <w:r w:rsidRPr="00754BC3">
              <w:rPr>
                <w:rFonts w:ascii="Calibri" w:hAnsi="Calibri" w:cs="Calibri"/>
                <w:color w:val="000000"/>
                <w:sz w:val="20"/>
                <w:szCs w:val="20"/>
              </w:rPr>
              <w:t>a sport consumer’s extra</w:t>
            </w:r>
            <w:r w:rsidR="00060854">
              <w:rPr>
                <w:rFonts w:ascii="Calibri" w:hAnsi="Calibri" w:cs="Calibri"/>
                <w:color w:val="000000"/>
                <w:sz w:val="20"/>
                <w:szCs w:val="20"/>
              </w:rPr>
              <w:t>-</w:t>
            </w:r>
            <w:r w:rsidRPr="00754BC3">
              <w:rPr>
                <w:rFonts w:ascii="Calibri" w:hAnsi="Calibri" w:cs="Calibri"/>
                <w:color w:val="000000"/>
                <w:sz w:val="20"/>
                <w:szCs w:val="20"/>
              </w:rPr>
              <w:t>role behaviors in non</w:t>
            </w:r>
            <w:r w:rsidR="00060854">
              <w:rPr>
                <w:rFonts w:ascii="Calibri" w:hAnsi="Calibri" w:cs="Calibri"/>
                <w:color w:val="000000"/>
                <w:sz w:val="20"/>
                <w:szCs w:val="20"/>
              </w:rPr>
              <w:t>-</w:t>
            </w:r>
            <w:r w:rsidRPr="00754BC3">
              <w:rPr>
                <w:rFonts w:ascii="Calibri" w:hAnsi="Calibri" w:cs="Calibri"/>
                <w:color w:val="000000"/>
                <w:sz w:val="20"/>
                <w:szCs w:val="20"/>
              </w:rPr>
              <w:t>transactional exchanges to benefit his or her favorite sport team, the team’s management, and other fans</w:t>
            </w:r>
            <w:r w:rsidR="00060854">
              <w:rPr>
                <w:rFonts w:ascii="Calibri" w:hAnsi="Calibri" w:cs="Calibri"/>
                <w:color w:val="000000"/>
                <w:sz w:val="20"/>
                <w:szCs w:val="20"/>
              </w:rPr>
              <w:t xml:space="preserve">; </w:t>
            </w:r>
            <w:r w:rsidRPr="00754BC3">
              <w:rPr>
                <w:rFonts w:ascii="Calibri" w:hAnsi="Calibri" w:cs="Calibri"/>
                <w:color w:val="000000"/>
                <w:sz w:val="20"/>
                <w:szCs w:val="20"/>
              </w:rPr>
              <w:t>a multidimensional, behavioral construct composed of management cooperation, prosocial behavior, and performance tolerance</w:t>
            </w:r>
            <w:r w:rsidR="00060854">
              <w:rPr>
                <w:rFonts w:ascii="Calibri" w:hAnsi="Calibri" w:cs="Calibri"/>
                <w:color w:val="000000"/>
                <w:sz w:val="20"/>
                <w:szCs w:val="20"/>
              </w:rPr>
              <w:t>.</w:t>
            </w:r>
          </w:p>
        </w:tc>
      </w:tr>
    </w:tbl>
    <w:p w14:paraId="00AD6599" w14:textId="77777777" w:rsidR="00DC5B5C" w:rsidRDefault="00DC5B5C" w:rsidP="00DC5B5C"/>
    <w:p w14:paraId="171F5030" w14:textId="77777777" w:rsidR="00DC5B5C" w:rsidRDefault="00DC5B5C" w:rsidP="00DC5B5C">
      <w:r>
        <w:t>Health engagement (n = 11)</w:t>
      </w:r>
    </w:p>
    <w:tbl>
      <w:tblPr>
        <w:tblStyle w:val="TableGrid"/>
        <w:tblW w:w="0" w:type="auto"/>
        <w:tblLook w:val="04A0" w:firstRow="1" w:lastRow="0" w:firstColumn="1" w:lastColumn="0" w:noHBand="0" w:noVBand="1"/>
      </w:tblPr>
      <w:tblGrid>
        <w:gridCol w:w="1562"/>
        <w:gridCol w:w="7788"/>
      </w:tblGrid>
      <w:tr w:rsidR="00DC5B5C" w:rsidRPr="00335DC7" w14:paraId="4787F4F9" w14:textId="77777777" w:rsidTr="005A3EAB">
        <w:tc>
          <w:tcPr>
            <w:tcW w:w="1562" w:type="dxa"/>
          </w:tcPr>
          <w:p w14:paraId="2753FE5B" w14:textId="15528B15" w:rsidR="00DC5B5C" w:rsidRPr="00335DC7" w:rsidRDefault="00B63F48" w:rsidP="00942E78">
            <w:pPr>
              <w:rPr>
                <w:b/>
                <w:sz w:val="20"/>
                <w:szCs w:val="20"/>
              </w:rPr>
            </w:pPr>
            <w:r>
              <w:rPr>
                <w:b/>
                <w:sz w:val="20"/>
                <w:szCs w:val="20"/>
              </w:rPr>
              <w:t>Study</w:t>
            </w:r>
          </w:p>
        </w:tc>
        <w:tc>
          <w:tcPr>
            <w:tcW w:w="7788" w:type="dxa"/>
          </w:tcPr>
          <w:p w14:paraId="5C51C1E2" w14:textId="77777777" w:rsidR="00DC5B5C" w:rsidRPr="00335DC7" w:rsidRDefault="00DC5B5C" w:rsidP="00942E78">
            <w:pPr>
              <w:rPr>
                <w:b/>
                <w:sz w:val="20"/>
                <w:szCs w:val="20"/>
              </w:rPr>
            </w:pPr>
            <w:r w:rsidRPr="00335DC7">
              <w:rPr>
                <w:b/>
                <w:sz w:val="20"/>
                <w:szCs w:val="20"/>
              </w:rPr>
              <w:t>Used definition</w:t>
            </w:r>
          </w:p>
        </w:tc>
      </w:tr>
      <w:tr w:rsidR="005A3EAB" w:rsidRPr="00335DC7" w14:paraId="34EB5F95" w14:textId="77777777" w:rsidTr="005A3EAB">
        <w:tc>
          <w:tcPr>
            <w:tcW w:w="1562" w:type="dxa"/>
            <w:vAlign w:val="bottom"/>
          </w:tcPr>
          <w:p w14:paraId="25EB1EA2" w14:textId="680F002C" w:rsidR="005A3EAB" w:rsidRPr="00335DC7" w:rsidRDefault="005A3EAB" w:rsidP="005A3EAB">
            <w:pPr>
              <w:rPr>
                <w:sz w:val="20"/>
                <w:szCs w:val="20"/>
              </w:rPr>
            </w:pPr>
            <w:r w:rsidRPr="00341031">
              <w:rPr>
                <w:rFonts w:ascii="Calibri" w:hAnsi="Calibri" w:cs="Calibri"/>
                <w:color w:val="000000"/>
                <w:sz w:val="20"/>
                <w:szCs w:val="20"/>
              </w:rPr>
              <w:t>Bright </w:t>
            </w:r>
            <w:r>
              <w:rPr>
                <w:rFonts w:ascii="Calibri" w:hAnsi="Calibri" w:cs="Calibri"/>
                <w:color w:val="000000"/>
                <w:sz w:val="20"/>
                <w:szCs w:val="20"/>
              </w:rPr>
              <w:t>2015</w:t>
            </w:r>
          </w:p>
        </w:tc>
        <w:tc>
          <w:tcPr>
            <w:tcW w:w="7788" w:type="dxa"/>
            <w:vAlign w:val="bottom"/>
          </w:tcPr>
          <w:p w14:paraId="4802F7DB" w14:textId="3405F48B" w:rsidR="005A3EAB" w:rsidRPr="005A3EAB" w:rsidRDefault="005A3EAB" w:rsidP="005A3EAB">
            <w:pPr>
              <w:rPr>
                <w:sz w:val="20"/>
                <w:szCs w:val="20"/>
              </w:rPr>
            </w:pPr>
            <w:r w:rsidRPr="005A3EAB">
              <w:rPr>
                <w:rFonts w:ascii="Calibri" w:hAnsi="Calibri" w:cs="Calibri"/>
                <w:color w:val="000000"/>
                <w:sz w:val="20"/>
                <w:szCs w:val="20"/>
              </w:rPr>
              <w:t>a co-constructed process and state. It incorporates a process of gradually connecting with each other and/or a therapeutic program, which enables the individual to become an active, committed and invested collaborator in healthcare.</w:t>
            </w:r>
          </w:p>
        </w:tc>
      </w:tr>
      <w:tr w:rsidR="005A3EAB" w:rsidRPr="00335DC7" w14:paraId="569BA490" w14:textId="77777777" w:rsidTr="005A3EAB">
        <w:tc>
          <w:tcPr>
            <w:tcW w:w="1562" w:type="dxa"/>
            <w:vAlign w:val="bottom"/>
          </w:tcPr>
          <w:p w14:paraId="50ECC282" w14:textId="2286969E" w:rsidR="005A3EAB" w:rsidRPr="00335DC7" w:rsidRDefault="005A3EAB" w:rsidP="005A3EAB">
            <w:pPr>
              <w:rPr>
                <w:sz w:val="20"/>
                <w:szCs w:val="20"/>
              </w:rPr>
            </w:pPr>
            <w:r w:rsidRPr="00341031">
              <w:rPr>
                <w:rFonts w:ascii="Calibri" w:hAnsi="Calibri" w:cs="Calibri"/>
                <w:color w:val="000000"/>
                <w:sz w:val="20"/>
                <w:szCs w:val="20"/>
              </w:rPr>
              <w:t>Cohen-Mansfield</w:t>
            </w:r>
            <w:r>
              <w:rPr>
                <w:rFonts w:ascii="Calibri" w:hAnsi="Calibri" w:cs="Calibri"/>
                <w:color w:val="000000"/>
                <w:sz w:val="20"/>
                <w:szCs w:val="20"/>
              </w:rPr>
              <w:t xml:space="preserve"> 2009</w:t>
            </w:r>
          </w:p>
        </w:tc>
        <w:tc>
          <w:tcPr>
            <w:tcW w:w="7788" w:type="dxa"/>
            <w:vAlign w:val="bottom"/>
          </w:tcPr>
          <w:p w14:paraId="25EED630" w14:textId="24714E39" w:rsidR="005A3EAB" w:rsidRPr="005A3EAB" w:rsidRDefault="005A3EAB" w:rsidP="005A3EAB">
            <w:pPr>
              <w:rPr>
                <w:sz w:val="20"/>
                <w:szCs w:val="20"/>
              </w:rPr>
            </w:pPr>
            <w:r w:rsidRPr="005A3EAB">
              <w:rPr>
                <w:rFonts w:ascii="Calibri" w:hAnsi="Calibri" w:cs="Calibri"/>
                <w:color w:val="000000"/>
                <w:sz w:val="20"/>
                <w:szCs w:val="20"/>
              </w:rPr>
              <w:t>the act of being occupied or involved with an external stimulus</w:t>
            </w:r>
          </w:p>
        </w:tc>
      </w:tr>
      <w:tr w:rsidR="005A3EAB" w:rsidRPr="00335DC7" w14:paraId="45CF020F" w14:textId="77777777" w:rsidTr="005A3EAB">
        <w:tc>
          <w:tcPr>
            <w:tcW w:w="1562" w:type="dxa"/>
            <w:vAlign w:val="bottom"/>
          </w:tcPr>
          <w:p w14:paraId="48E6FEE5" w14:textId="204CDDD4" w:rsidR="005A3EAB" w:rsidRPr="00335DC7" w:rsidRDefault="005A3EAB" w:rsidP="005A3EAB">
            <w:pPr>
              <w:rPr>
                <w:sz w:val="20"/>
                <w:szCs w:val="20"/>
              </w:rPr>
            </w:pPr>
            <w:r w:rsidRPr="00341031">
              <w:rPr>
                <w:rFonts w:ascii="Calibri" w:hAnsi="Calibri" w:cs="Calibri"/>
                <w:color w:val="000000"/>
                <w:sz w:val="20"/>
                <w:szCs w:val="20"/>
              </w:rPr>
              <w:lastRenderedPageBreak/>
              <w:t>Cohen-Mansfield</w:t>
            </w:r>
            <w:r>
              <w:rPr>
                <w:rFonts w:ascii="Calibri" w:hAnsi="Calibri" w:cs="Calibri"/>
                <w:color w:val="000000"/>
                <w:sz w:val="20"/>
                <w:szCs w:val="20"/>
              </w:rPr>
              <w:t xml:space="preserve"> 2017</w:t>
            </w:r>
          </w:p>
        </w:tc>
        <w:tc>
          <w:tcPr>
            <w:tcW w:w="7788" w:type="dxa"/>
            <w:vAlign w:val="bottom"/>
          </w:tcPr>
          <w:p w14:paraId="60CD7A05" w14:textId="29D2ACE9" w:rsidR="005A3EAB" w:rsidRPr="005A3EAB" w:rsidRDefault="005A3EAB" w:rsidP="005A3EAB">
            <w:pPr>
              <w:rPr>
                <w:sz w:val="20"/>
                <w:szCs w:val="20"/>
              </w:rPr>
            </w:pPr>
            <w:r w:rsidRPr="005A3EAB">
              <w:rPr>
                <w:rFonts w:ascii="Calibri" w:hAnsi="Calibri" w:cs="Calibri"/>
                <w:color w:val="000000"/>
                <w:sz w:val="20"/>
                <w:szCs w:val="20"/>
              </w:rPr>
              <w:t>the act of being occupied or involved with an external stimulus</w:t>
            </w:r>
          </w:p>
        </w:tc>
      </w:tr>
      <w:tr w:rsidR="005A3EAB" w:rsidRPr="00335DC7" w14:paraId="24D15F73" w14:textId="77777777" w:rsidTr="005A3EAB">
        <w:tc>
          <w:tcPr>
            <w:tcW w:w="1562" w:type="dxa"/>
            <w:vAlign w:val="bottom"/>
          </w:tcPr>
          <w:p w14:paraId="4A1C29FF" w14:textId="3FE6CADC" w:rsidR="005A3EAB" w:rsidRPr="00335DC7" w:rsidRDefault="005A3EAB" w:rsidP="005A3EAB">
            <w:pPr>
              <w:rPr>
                <w:sz w:val="20"/>
                <w:szCs w:val="20"/>
              </w:rPr>
            </w:pPr>
            <w:proofErr w:type="spellStart"/>
            <w:r w:rsidRPr="00341031">
              <w:rPr>
                <w:rFonts w:ascii="Calibri" w:hAnsi="Calibri" w:cs="Calibri"/>
                <w:color w:val="000000"/>
                <w:sz w:val="20"/>
                <w:szCs w:val="20"/>
              </w:rPr>
              <w:t>Graffigna</w:t>
            </w:r>
            <w:proofErr w:type="spellEnd"/>
            <w:r>
              <w:rPr>
                <w:rFonts w:ascii="Calibri" w:hAnsi="Calibri" w:cs="Calibri"/>
                <w:color w:val="000000"/>
                <w:sz w:val="20"/>
                <w:szCs w:val="20"/>
              </w:rPr>
              <w:t xml:space="preserve"> 2018</w:t>
            </w:r>
          </w:p>
        </w:tc>
        <w:tc>
          <w:tcPr>
            <w:tcW w:w="7788" w:type="dxa"/>
            <w:vAlign w:val="bottom"/>
          </w:tcPr>
          <w:p w14:paraId="35840570" w14:textId="3E3FD2D5" w:rsidR="005A3EAB" w:rsidRPr="005A3EAB" w:rsidRDefault="005A3EAB" w:rsidP="005A3EAB">
            <w:pPr>
              <w:rPr>
                <w:sz w:val="20"/>
                <w:szCs w:val="20"/>
              </w:rPr>
            </w:pPr>
            <w:r w:rsidRPr="005A3EAB">
              <w:rPr>
                <w:rFonts w:ascii="Calibri" w:hAnsi="Calibri" w:cs="Calibri"/>
                <w:color w:val="000000"/>
                <w:sz w:val="20"/>
                <w:szCs w:val="20"/>
              </w:rPr>
              <w:t>a developmental process involving a recovered patient’s capacity to plan realistic life projects (</w:t>
            </w:r>
            <w:proofErr w:type="spellStart"/>
            <w:r w:rsidRPr="005A3EAB">
              <w:rPr>
                <w:rFonts w:ascii="Calibri" w:hAnsi="Calibri" w:cs="Calibri"/>
                <w:color w:val="000000"/>
                <w:sz w:val="20"/>
                <w:szCs w:val="20"/>
              </w:rPr>
              <w:t>ie</w:t>
            </w:r>
            <w:proofErr w:type="spellEnd"/>
            <w:r w:rsidRPr="005A3EAB">
              <w:rPr>
                <w:rFonts w:ascii="Calibri" w:hAnsi="Calibri" w:cs="Calibri"/>
                <w:color w:val="000000"/>
                <w:sz w:val="20"/>
                <w:szCs w:val="20"/>
              </w:rPr>
              <w:t>, meaningful life aims that the patient might generate unless living with the disease condition) and to be goal oriented – even if living with a disease. The process of involves four developmental phases, namely, blackout, arousal, adhesion, and eudaimonic project.</w:t>
            </w:r>
          </w:p>
        </w:tc>
      </w:tr>
      <w:tr w:rsidR="005A3EAB" w:rsidRPr="00335DC7" w14:paraId="421D300D" w14:textId="77777777" w:rsidTr="005A3EAB">
        <w:tc>
          <w:tcPr>
            <w:tcW w:w="1562" w:type="dxa"/>
            <w:vAlign w:val="bottom"/>
          </w:tcPr>
          <w:p w14:paraId="6DAAC564" w14:textId="14012048" w:rsidR="005A3EAB" w:rsidRPr="00335DC7" w:rsidRDefault="005A3EAB" w:rsidP="005A3EAB">
            <w:pPr>
              <w:rPr>
                <w:sz w:val="20"/>
                <w:szCs w:val="20"/>
              </w:rPr>
            </w:pPr>
            <w:r w:rsidRPr="00341031">
              <w:rPr>
                <w:rFonts w:ascii="Calibri" w:hAnsi="Calibri" w:cs="Calibri"/>
                <w:color w:val="000000"/>
                <w:sz w:val="20"/>
                <w:szCs w:val="20"/>
              </w:rPr>
              <w:t>Higgins </w:t>
            </w:r>
            <w:r>
              <w:rPr>
                <w:rFonts w:ascii="Calibri" w:hAnsi="Calibri" w:cs="Calibri"/>
                <w:color w:val="000000"/>
                <w:sz w:val="20"/>
                <w:szCs w:val="20"/>
              </w:rPr>
              <w:t>2017</w:t>
            </w:r>
          </w:p>
        </w:tc>
        <w:tc>
          <w:tcPr>
            <w:tcW w:w="7788" w:type="dxa"/>
            <w:vAlign w:val="bottom"/>
          </w:tcPr>
          <w:p w14:paraId="4B6378C6" w14:textId="446718B2" w:rsidR="005A3EAB" w:rsidRPr="005A3EAB" w:rsidRDefault="005A3EAB" w:rsidP="005A3EAB">
            <w:pPr>
              <w:rPr>
                <w:sz w:val="20"/>
                <w:szCs w:val="20"/>
              </w:rPr>
            </w:pPr>
            <w:r w:rsidRPr="005A3EAB">
              <w:rPr>
                <w:rFonts w:ascii="Calibri" w:hAnsi="Calibri" w:cs="Calibri"/>
                <w:color w:val="000000"/>
                <w:sz w:val="20"/>
                <w:szCs w:val="20"/>
              </w:rPr>
              <w:t>patient engagement is a developmental process involving a recovered patient’s capacity to plan realistic life projects (</w:t>
            </w:r>
            <w:proofErr w:type="spellStart"/>
            <w:r w:rsidRPr="005A3EAB">
              <w:rPr>
                <w:rFonts w:ascii="Calibri" w:hAnsi="Calibri" w:cs="Calibri"/>
                <w:color w:val="000000"/>
                <w:sz w:val="20"/>
                <w:szCs w:val="20"/>
              </w:rPr>
              <w:t>ie</w:t>
            </w:r>
            <w:proofErr w:type="spellEnd"/>
            <w:r w:rsidRPr="005A3EAB">
              <w:rPr>
                <w:rFonts w:ascii="Calibri" w:hAnsi="Calibri" w:cs="Calibri"/>
                <w:color w:val="000000"/>
                <w:sz w:val="20"/>
                <w:szCs w:val="20"/>
              </w:rPr>
              <w:t>, meaningful life aims that the patient might generate unless living with the disease condition) and to be goal oriented – even if living with a disease. The process of patient engagement as described by the PHE model involves four developmental phases, namely, blackout, arousal, adhesion, and eudaimonic project.</w:t>
            </w:r>
          </w:p>
        </w:tc>
      </w:tr>
      <w:tr w:rsidR="005A3EAB" w:rsidRPr="00335DC7" w14:paraId="15C854DA" w14:textId="77777777" w:rsidTr="005A3EAB">
        <w:tc>
          <w:tcPr>
            <w:tcW w:w="1562" w:type="dxa"/>
            <w:vAlign w:val="bottom"/>
          </w:tcPr>
          <w:p w14:paraId="0778D14F" w14:textId="0A403324" w:rsidR="005A3EAB" w:rsidRPr="00335DC7" w:rsidRDefault="005A3EAB" w:rsidP="005A3EAB">
            <w:pPr>
              <w:rPr>
                <w:sz w:val="20"/>
                <w:szCs w:val="20"/>
              </w:rPr>
            </w:pPr>
            <w:proofErr w:type="spellStart"/>
            <w:r w:rsidRPr="00341031">
              <w:rPr>
                <w:rFonts w:ascii="Calibri" w:hAnsi="Calibri" w:cs="Calibri"/>
                <w:color w:val="000000"/>
                <w:sz w:val="20"/>
                <w:szCs w:val="20"/>
              </w:rPr>
              <w:t>Macgowan</w:t>
            </w:r>
            <w:proofErr w:type="spellEnd"/>
            <w:r w:rsidRPr="00341031">
              <w:rPr>
                <w:rFonts w:ascii="Calibri" w:hAnsi="Calibri" w:cs="Calibri"/>
                <w:color w:val="000000"/>
                <w:sz w:val="20"/>
                <w:szCs w:val="20"/>
              </w:rPr>
              <w:t> </w:t>
            </w:r>
            <w:r>
              <w:rPr>
                <w:rFonts w:ascii="Calibri" w:hAnsi="Calibri" w:cs="Calibri"/>
                <w:color w:val="000000"/>
                <w:sz w:val="20"/>
                <w:szCs w:val="20"/>
              </w:rPr>
              <w:t>2006</w:t>
            </w:r>
          </w:p>
        </w:tc>
        <w:tc>
          <w:tcPr>
            <w:tcW w:w="7788" w:type="dxa"/>
            <w:vAlign w:val="bottom"/>
          </w:tcPr>
          <w:p w14:paraId="4102717B" w14:textId="7D054E77" w:rsidR="005A3EAB" w:rsidRPr="005A3EAB" w:rsidRDefault="00A92D55" w:rsidP="005A3EAB">
            <w:pPr>
              <w:rPr>
                <w:sz w:val="20"/>
                <w:szCs w:val="20"/>
              </w:rPr>
            </w:pPr>
            <w:r>
              <w:rPr>
                <w:rFonts w:ascii="Calibri" w:hAnsi="Calibri" w:cs="Calibri"/>
                <w:color w:val="000000"/>
                <w:sz w:val="20"/>
                <w:szCs w:val="20"/>
              </w:rPr>
              <w:t>Consists of seven domains</w:t>
            </w:r>
            <w:r w:rsidR="005A3EAB" w:rsidRPr="005A3EAB">
              <w:rPr>
                <w:rFonts w:ascii="Calibri" w:hAnsi="Calibri" w:cs="Calibri"/>
                <w:color w:val="000000"/>
                <w:sz w:val="20"/>
                <w:szCs w:val="20"/>
              </w:rPr>
              <w:t>: attendance, contributing, relating to group worker, relating with group members, contracting with the group service, working on own problems, working on other group members' problems</w:t>
            </w:r>
          </w:p>
        </w:tc>
      </w:tr>
      <w:tr w:rsidR="005A3EAB" w:rsidRPr="00335DC7" w14:paraId="21E6CFF0" w14:textId="77777777" w:rsidTr="005A3EAB">
        <w:tc>
          <w:tcPr>
            <w:tcW w:w="1562" w:type="dxa"/>
            <w:vAlign w:val="bottom"/>
          </w:tcPr>
          <w:p w14:paraId="45CDCBF9" w14:textId="5BF69C68" w:rsidR="005A3EAB" w:rsidRPr="00335DC7" w:rsidRDefault="005A3EAB" w:rsidP="005A3EAB">
            <w:pPr>
              <w:rPr>
                <w:sz w:val="20"/>
                <w:szCs w:val="20"/>
              </w:rPr>
            </w:pPr>
            <w:r w:rsidRPr="00341031">
              <w:rPr>
                <w:rFonts w:ascii="Calibri" w:hAnsi="Calibri" w:cs="Calibri"/>
                <w:color w:val="000000"/>
                <w:sz w:val="20"/>
                <w:szCs w:val="20"/>
              </w:rPr>
              <w:t>McAllister </w:t>
            </w:r>
            <w:r>
              <w:rPr>
                <w:rFonts w:ascii="Calibri" w:hAnsi="Calibri" w:cs="Calibri"/>
                <w:color w:val="000000"/>
                <w:sz w:val="20"/>
                <w:szCs w:val="20"/>
              </w:rPr>
              <w:t>2002</w:t>
            </w:r>
          </w:p>
        </w:tc>
        <w:tc>
          <w:tcPr>
            <w:tcW w:w="7788" w:type="dxa"/>
            <w:vAlign w:val="bottom"/>
          </w:tcPr>
          <w:p w14:paraId="0316EF4B" w14:textId="4FA0389F" w:rsidR="005A3EAB" w:rsidRPr="005A3EAB" w:rsidRDefault="005A3EAB" w:rsidP="005A3EAB">
            <w:pPr>
              <w:rPr>
                <w:sz w:val="20"/>
                <w:szCs w:val="20"/>
              </w:rPr>
            </w:pPr>
            <w:r w:rsidRPr="005A3EAB">
              <w:rPr>
                <w:rFonts w:ascii="Calibri" w:hAnsi="Calibri" w:cs="Calibri"/>
                <w:color w:val="000000"/>
                <w:sz w:val="20"/>
                <w:szCs w:val="20"/>
              </w:rPr>
              <w:t>a newly constructed concept reflecting the degree of cognitive and emotional involvement with cancer risk in individuals from these families, and models the psychosocial process of engaging with cancer risk</w:t>
            </w:r>
          </w:p>
        </w:tc>
      </w:tr>
      <w:tr w:rsidR="005A3EAB" w:rsidRPr="00335DC7" w14:paraId="631C1F8F" w14:textId="77777777" w:rsidTr="005A3EAB">
        <w:tc>
          <w:tcPr>
            <w:tcW w:w="1562" w:type="dxa"/>
            <w:vAlign w:val="bottom"/>
          </w:tcPr>
          <w:p w14:paraId="2EC3ECCD" w14:textId="1EDB21B1" w:rsidR="005A3EAB" w:rsidRPr="00335DC7" w:rsidRDefault="005A3EAB" w:rsidP="005A3EAB">
            <w:pPr>
              <w:rPr>
                <w:sz w:val="20"/>
                <w:szCs w:val="20"/>
              </w:rPr>
            </w:pPr>
            <w:r w:rsidRPr="00341031">
              <w:rPr>
                <w:rFonts w:ascii="Calibri" w:hAnsi="Calibri" w:cs="Calibri"/>
                <w:color w:val="000000"/>
                <w:sz w:val="20"/>
                <w:szCs w:val="20"/>
              </w:rPr>
              <w:t>Norris </w:t>
            </w:r>
            <w:r>
              <w:rPr>
                <w:rFonts w:ascii="Calibri" w:hAnsi="Calibri" w:cs="Calibri"/>
                <w:color w:val="000000"/>
                <w:sz w:val="20"/>
                <w:szCs w:val="20"/>
              </w:rPr>
              <w:t>2017</w:t>
            </w:r>
          </w:p>
        </w:tc>
        <w:tc>
          <w:tcPr>
            <w:tcW w:w="7788" w:type="dxa"/>
            <w:vAlign w:val="bottom"/>
          </w:tcPr>
          <w:p w14:paraId="2D60514F" w14:textId="35ED658A" w:rsidR="005A3EAB" w:rsidRPr="005A3EAB" w:rsidRDefault="005A3EAB" w:rsidP="005A3EAB">
            <w:pPr>
              <w:rPr>
                <w:sz w:val="20"/>
                <w:szCs w:val="20"/>
              </w:rPr>
            </w:pPr>
            <w:r w:rsidRPr="005A3EAB">
              <w:rPr>
                <w:rFonts w:ascii="Calibri" w:hAnsi="Calibri" w:cs="Calibri"/>
                <w:color w:val="000000"/>
                <w:sz w:val="20"/>
                <w:szCs w:val="20"/>
              </w:rPr>
              <w:t>an active and committed decision-making about a meaningful problem through respectful interactions and dialog where everyone’s voice is considered</w:t>
            </w:r>
          </w:p>
        </w:tc>
      </w:tr>
      <w:tr w:rsidR="005A3EAB" w:rsidRPr="00335DC7" w14:paraId="669814C5" w14:textId="77777777" w:rsidTr="005A3EAB">
        <w:tc>
          <w:tcPr>
            <w:tcW w:w="1562" w:type="dxa"/>
            <w:vAlign w:val="bottom"/>
          </w:tcPr>
          <w:p w14:paraId="48F3A550" w14:textId="57A849F5" w:rsidR="005A3EAB" w:rsidRPr="00335DC7" w:rsidRDefault="005A3EAB" w:rsidP="005A3EAB">
            <w:pPr>
              <w:rPr>
                <w:sz w:val="20"/>
                <w:szCs w:val="20"/>
              </w:rPr>
            </w:pPr>
            <w:proofErr w:type="spellStart"/>
            <w:r w:rsidRPr="00341031">
              <w:rPr>
                <w:rFonts w:ascii="Calibri" w:hAnsi="Calibri" w:cs="Calibri"/>
                <w:color w:val="000000"/>
                <w:sz w:val="20"/>
                <w:szCs w:val="20"/>
              </w:rPr>
              <w:t>Pullmann</w:t>
            </w:r>
            <w:proofErr w:type="spellEnd"/>
            <w:r w:rsidRPr="00341031">
              <w:rPr>
                <w:rFonts w:ascii="Calibri" w:hAnsi="Calibri" w:cs="Calibri"/>
                <w:color w:val="000000"/>
                <w:sz w:val="20"/>
                <w:szCs w:val="20"/>
              </w:rPr>
              <w:t> </w:t>
            </w:r>
            <w:r>
              <w:rPr>
                <w:rFonts w:ascii="Calibri" w:hAnsi="Calibri" w:cs="Calibri"/>
                <w:color w:val="000000"/>
                <w:sz w:val="20"/>
                <w:szCs w:val="20"/>
              </w:rPr>
              <w:t>2013</w:t>
            </w:r>
          </w:p>
        </w:tc>
        <w:tc>
          <w:tcPr>
            <w:tcW w:w="7788" w:type="dxa"/>
            <w:vAlign w:val="bottom"/>
          </w:tcPr>
          <w:p w14:paraId="4619CB46" w14:textId="72F463CE" w:rsidR="005A3EAB" w:rsidRPr="005A3EAB" w:rsidRDefault="005A3EAB" w:rsidP="005A3EAB">
            <w:pPr>
              <w:rPr>
                <w:sz w:val="20"/>
                <w:szCs w:val="20"/>
              </w:rPr>
            </w:pPr>
            <w:r w:rsidRPr="005A3EAB">
              <w:rPr>
                <w:rFonts w:ascii="Calibri" w:hAnsi="Calibri" w:cs="Calibri"/>
                <w:color w:val="000000"/>
                <w:sz w:val="20"/>
                <w:szCs w:val="20"/>
              </w:rPr>
              <w:t>CARES definition: Conduct, Attitudes, Relationships, Empowerment, and Social Context</w:t>
            </w:r>
          </w:p>
        </w:tc>
      </w:tr>
      <w:tr w:rsidR="005A3EAB" w:rsidRPr="00335DC7" w14:paraId="7D744EF7" w14:textId="77777777" w:rsidTr="005A3EAB">
        <w:tc>
          <w:tcPr>
            <w:tcW w:w="1562" w:type="dxa"/>
            <w:vAlign w:val="bottom"/>
          </w:tcPr>
          <w:p w14:paraId="7361A952" w14:textId="6E2A20DB" w:rsidR="005A3EAB" w:rsidRPr="00335DC7" w:rsidRDefault="005A3EAB" w:rsidP="005A3EAB">
            <w:pPr>
              <w:rPr>
                <w:sz w:val="20"/>
                <w:szCs w:val="20"/>
              </w:rPr>
            </w:pPr>
            <w:r w:rsidRPr="00341031">
              <w:rPr>
                <w:rFonts w:ascii="Calibri" w:hAnsi="Calibri" w:cs="Calibri"/>
                <w:color w:val="000000"/>
                <w:sz w:val="20"/>
                <w:szCs w:val="20"/>
              </w:rPr>
              <w:t>Staudt </w:t>
            </w:r>
            <w:r>
              <w:rPr>
                <w:rFonts w:ascii="Calibri" w:hAnsi="Calibri" w:cs="Calibri"/>
                <w:color w:val="000000"/>
                <w:sz w:val="20"/>
                <w:szCs w:val="20"/>
              </w:rPr>
              <w:t>2007</w:t>
            </w:r>
          </w:p>
        </w:tc>
        <w:tc>
          <w:tcPr>
            <w:tcW w:w="7788" w:type="dxa"/>
            <w:vAlign w:val="bottom"/>
          </w:tcPr>
          <w:p w14:paraId="04A9B43E" w14:textId="2AB89B9D" w:rsidR="005A3EAB" w:rsidRPr="005A3EAB" w:rsidRDefault="005A3EAB" w:rsidP="005A3EAB">
            <w:pPr>
              <w:rPr>
                <w:sz w:val="20"/>
                <w:szCs w:val="20"/>
              </w:rPr>
            </w:pPr>
            <w:r w:rsidRPr="005A3EAB">
              <w:rPr>
                <w:rFonts w:ascii="Calibri" w:hAnsi="Calibri" w:cs="Calibri"/>
                <w:color w:val="000000"/>
                <w:sz w:val="20"/>
                <w:szCs w:val="20"/>
              </w:rPr>
              <w:t xml:space="preserve">No specific </w:t>
            </w:r>
            <w:r w:rsidR="007632D1" w:rsidRPr="005A3EAB">
              <w:rPr>
                <w:rFonts w:ascii="Calibri" w:hAnsi="Calibri" w:cs="Calibri"/>
                <w:color w:val="000000"/>
                <w:sz w:val="20"/>
                <w:szCs w:val="20"/>
              </w:rPr>
              <w:t>definition</w:t>
            </w:r>
            <w:r w:rsidRPr="005A3EAB">
              <w:rPr>
                <w:rFonts w:ascii="Calibri" w:hAnsi="Calibri" w:cs="Calibri"/>
                <w:color w:val="000000"/>
                <w:sz w:val="20"/>
                <w:szCs w:val="20"/>
              </w:rPr>
              <w:t xml:space="preserve"> chosen, but most of the definitions of engagement (and related terms) include behaviors (session</w:t>
            </w:r>
            <w:r w:rsidR="00800E59">
              <w:rPr>
                <w:rFonts w:ascii="Calibri" w:hAnsi="Calibri" w:cs="Calibri"/>
                <w:color w:val="000000"/>
                <w:sz w:val="20"/>
                <w:szCs w:val="20"/>
              </w:rPr>
              <w:t xml:space="preserve"> </w:t>
            </w:r>
            <w:r w:rsidRPr="005A3EAB">
              <w:rPr>
                <w:rFonts w:ascii="Calibri" w:hAnsi="Calibri" w:cs="Calibri"/>
                <w:color w:val="000000"/>
                <w:sz w:val="20"/>
                <w:szCs w:val="20"/>
              </w:rPr>
              <w:t xml:space="preserve">attendance, homework completion) and either explicitly </w:t>
            </w:r>
            <w:r w:rsidR="00800E59">
              <w:rPr>
                <w:rFonts w:ascii="Calibri" w:hAnsi="Calibri" w:cs="Calibri"/>
                <w:color w:val="000000"/>
                <w:sz w:val="20"/>
                <w:szCs w:val="20"/>
              </w:rPr>
              <w:t>r</w:t>
            </w:r>
            <w:r w:rsidRPr="005A3EAB">
              <w:rPr>
                <w:rFonts w:ascii="Calibri" w:hAnsi="Calibri" w:cs="Calibri"/>
                <w:color w:val="000000"/>
                <w:sz w:val="20"/>
                <w:szCs w:val="20"/>
              </w:rPr>
              <w:t>eference, or allude to, an attitudinal</w:t>
            </w:r>
            <w:r w:rsidR="00800E59">
              <w:rPr>
                <w:rFonts w:ascii="Calibri" w:hAnsi="Calibri" w:cs="Calibri"/>
                <w:color w:val="000000"/>
                <w:sz w:val="20"/>
                <w:szCs w:val="20"/>
              </w:rPr>
              <w:t xml:space="preserve"> c</w:t>
            </w:r>
            <w:r w:rsidRPr="005A3EAB">
              <w:rPr>
                <w:rFonts w:ascii="Calibri" w:hAnsi="Calibri" w:cs="Calibri"/>
                <w:color w:val="000000"/>
                <w:sz w:val="20"/>
                <w:szCs w:val="20"/>
              </w:rPr>
              <w:t>omponent.</w:t>
            </w:r>
          </w:p>
        </w:tc>
      </w:tr>
      <w:tr w:rsidR="005A3EAB" w:rsidRPr="00335DC7" w14:paraId="364B922C" w14:textId="77777777" w:rsidTr="005A3EAB">
        <w:tc>
          <w:tcPr>
            <w:tcW w:w="1562" w:type="dxa"/>
            <w:vAlign w:val="bottom"/>
          </w:tcPr>
          <w:p w14:paraId="72064C85" w14:textId="613B5E21" w:rsidR="005A3EAB" w:rsidRPr="00335DC7" w:rsidRDefault="005A3EAB" w:rsidP="005A3EAB">
            <w:pPr>
              <w:rPr>
                <w:sz w:val="20"/>
                <w:szCs w:val="20"/>
              </w:rPr>
            </w:pPr>
            <w:proofErr w:type="spellStart"/>
            <w:r w:rsidRPr="00341031">
              <w:rPr>
                <w:rFonts w:ascii="Calibri" w:hAnsi="Calibri" w:cs="Calibri"/>
                <w:color w:val="000000"/>
                <w:sz w:val="20"/>
                <w:szCs w:val="20"/>
              </w:rPr>
              <w:t>Yasui</w:t>
            </w:r>
            <w:proofErr w:type="spellEnd"/>
            <w:r>
              <w:rPr>
                <w:rFonts w:ascii="Calibri" w:hAnsi="Calibri" w:cs="Calibri"/>
                <w:color w:val="000000"/>
                <w:sz w:val="20"/>
                <w:szCs w:val="20"/>
              </w:rPr>
              <w:t xml:space="preserve"> 2017</w:t>
            </w:r>
          </w:p>
        </w:tc>
        <w:tc>
          <w:tcPr>
            <w:tcW w:w="7788" w:type="dxa"/>
            <w:vAlign w:val="bottom"/>
          </w:tcPr>
          <w:p w14:paraId="76B26EA4" w14:textId="42575083" w:rsidR="005A3EAB" w:rsidRPr="005A3EAB" w:rsidRDefault="005A3EAB" w:rsidP="005A3EAB">
            <w:pPr>
              <w:rPr>
                <w:sz w:val="20"/>
                <w:szCs w:val="20"/>
              </w:rPr>
            </w:pPr>
            <w:r w:rsidRPr="005A3EAB">
              <w:rPr>
                <w:rFonts w:ascii="Calibri" w:hAnsi="Calibri" w:cs="Calibri"/>
                <w:color w:val="000000"/>
                <w:sz w:val="20"/>
                <w:szCs w:val="20"/>
              </w:rPr>
              <w:t xml:space="preserve">No specific </w:t>
            </w:r>
            <w:r w:rsidR="00800E59" w:rsidRPr="005A3EAB">
              <w:rPr>
                <w:rFonts w:ascii="Calibri" w:hAnsi="Calibri" w:cs="Calibri"/>
                <w:color w:val="000000"/>
                <w:sz w:val="20"/>
                <w:szCs w:val="20"/>
              </w:rPr>
              <w:t>definition</w:t>
            </w:r>
            <w:r w:rsidRPr="005A3EAB">
              <w:rPr>
                <w:rFonts w:ascii="Calibri" w:hAnsi="Calibri" w:cs="Calibri"/>
                <w:color w:val="000000"/>
                <w:sz w:val="20"/>
                <w:szCs w:val="20"/>
              </w:rPr>
              <w:t xml:space="preserve"> chosen, but main</w:t>
            </w:r>
            <w:r w:rsidR="00800E59">
              <w:rPr>
                <w:rFonts w:ascii="Calibri" w:hAnsi="Calibri" w:cs="Calibri"/>
                <w:color w:val="000000"/>
                <w:sz w:val="20"/>
                <w:szCs w:val="20"/>
              </w:rPr>
              <w:t>l</w:t>
            </w:r>
            <w:r w:rsidRPr="005A3EAB">
              <w:rPr>
                <w:rFonts w:ascii="Calibri" w:hAnsi="Calibri" w:cs="Calibri"/>
                <w:color w:val="000000"/>
                <w:sz w:val="20"/>
                <w:szCs w:val="20"/>
              </w:rPr>
              <w:t>y seen as a process</w:t>
            </w:r>
          </w:p>
        </w:tc>
      </w:tr>
    </w:tbl>
    <w:p w14:paraId="0C3380EC" w14:textId="77777777" w:rsidR="00DC5B5C" w:rsidRDefault="00DC5B5C" w:rsidP="00DC5B5C"/>
    <w:p w14:paraId="2EE59688" w14:textId="2F1F940E" w:rsidR="00DC5B5C" w:rsidRDefault="00DC5B5C" w:rsidP="00DC5B5C">
      <w:r>
        <w:t>Societ</w:t>
      </w:r>
      <w:r w:rsidR="0052752E">
        <w:t>al</w:t>
      </w:r>
      <w:r>
        <w:t xml:space="preserve"> engagement (n = 10)</w:t>
      </w:r>
    </w:p>
    <w:tbl>
      <w:tblPr>
        <w:tblStyle w:val="TableGrid"/>
        <w:tblW w:w="0" w:type="auto"/>
        <w:tblLook w:val="04A0" w:firstRow="1" w:lastRow="0" w:firstColumn="1" w:lastColumn="0" w:noHBand="0" w:noVBand="1"/>
      </w:tblPr>
      <w:tblGrid>
        <w:gridCol w:w="1291"/>
        <w:gridCol w:w="8059"/>
      </w:tblGrid>
      <w:tr w:rsidR="00DC5B5C" w:rsidRPr="00335DC7" w14:paraId="3BC7800D" w14:textId="77777777" w:rsidTr="00E3076C">
        <w:tc>
          <w:tcPr>
            <w:tcW w:w="1291" w:type="dxa"/>
          </w:tcPr>
          <w:p w14:paraId="38CCAD1C" w14:textId="6EADD532" w:rsidR="00DC5B5C" w:rsidRPr="00335DC7" w:rsidRDefault="00B63F48" w:rsidP="00942E78">
            <w:pPr>
              <w:rPr>
                <w:b/>
                <w:sz w:val="20"/>
                <w:szCs w:val="20"/>
              </w:rPr>
            </w:pPr>
            <w:r>
              <w:rPr>
                <w:b/>
                <w:sz w:val="20"/>
                <w:szCs w:val="20"/>
              </w:rPr>
              <w:t>Study</w:t>
            </w:r>
          </w:p>
        </w:tc>
        <w:tc>
          <w:tcPr>
            <w:tcW w:w="8059" w:type="dxa"/>
          </w:tcPr>
          <w:p w14:paraId="1F19CC83" w14:textId="77777777" w:rsidR="00DC5B5C" w:rsidRPr="00335DC7" w:rsidRDefault="00DC5B5C" w:rsidP="00942E78">
            <w:pPr>
              <w:rPr>
                <w:b/>
                <w:sz w:val="20"/>
                <w:szCs w:val="20"/>
              </w:rPr>
            </w:pPr>
            <w:r w:rsidRPr="00335DC7">
              <w:rPr>
                <w:b/>
                <w:sz w:val="20"/>
                <w:szCs w:val="20"/>
              </w:rPr>
              <w:t>Used definition</w:t>
            </w:r>
          </w:p>
        </w:tc>
      </w:tr>
      <w:tr w:rsidR="00650856" w:rsidRPr="00335DC7" w14:paraId="29D2649E" w14:textId="77777777" w:rsidTr="00E3076C">
        <w:tc>
          <w:tcPr>
            <w:tcW w:w="1291" w:type="dxa"/>
            <w:vAlign w:val="bottom"/>
          </w:tcPr>
          <w:p w14:paraId="159B6218" w14:textId="14683A64" w:rsidR="00650856" w:rsidRPr="00335DC7" w:rsidRDefault="00650856" w:rsidP="00650856">
            <w:pPr>
              <w:rPr>
                <w:sz w:val="20"/>
                <w:szCs w:val="20"/>
              </w:rPr>
            </w:pPr>
            <w:proofErr w:type="spellStart"/>
            <w:r w:rsidRPr="00D65788">
              <w:rPr>
                <w:rFonts w:ascii="Calibri" w:hAnsi="Calibri" w:cs="Calibri"/>
                <w:color w:val="000000"/>
                <w:sz w:val="20"/>
                <w:szCs w:val="20"/>
              </w:rPr>
              <w:t>Arvanitidis</w:t>
            </w:r>
            <w:proofErr w:type="spellEnd"/>
            <w:r>
              <w:rPr>
                <w:rFonts w:ascii="Calibri" w:hAnsi="Calibri" w:cs="Calibri"/>
                <w:color w:val="000000"/>
                <w:sz w:val="20"/>
                <w:szCs w:val="20"/>
              </w:rPr>
              <w:t xml:space="preserve"> 2017</w:t>
            </w:r>
          </w:p>
        </w:tc>
        <w:tc>
          <w:tcPr>
            <w:tcW w:w="8059" w:type="dxa"/>
          </w:tcPr>
          <w:p w14:paraId="050EF4CF" w14:textId="7080186A" w:rsidR="00650856" w:rsidRPr="00650856" w:rsidRDefault="00445C7F" w:rsidP="00650856">
            <w:pPr>
              <w:rPr>
                <w:sz w:val="20"/>
                <w:szCs w:val="20"/>
              </w:rPr>
            </w:pPr>
            <w:r>
              <w:rPr>
                <w:sz w:val="20"/>
                <w:szCs w:val="20"/>
              </w:rPr>
              <w:t>H</w:t>
            </w:r>
            <w:r w:rsidR="00A52E20" w:rsidRPr="00A52E20">
              <w:rPr>
                <w:sz w:val="20"/>
                <w:szCs w:val="20"/>
              </w:rPr>
              <w:t>ow “an active citizen participates in the life of a community in order to improve conditions for others or to help shape the community’s future” (Adler &amp; Goggin, 2005, p. 241); including wide ranging activities undertaken alone or in concert with others designed to identify and address issues of public concern.</w:t>
            </w:r>
          </w:p>
        </w:tc>
      </w:tr>
      <w:tr w:rsidR="00650856" w:rsidRPr="00335DC7" w14:paraId="08E59DE5" w14:textId="77777777" w:rsidTr="00E3076C">
        <w:tc>
          <w:tcPr>
            <w:tcW w:w="1291" w:type="dxa"/>
            <w:vAlign w:val="bottom"/>
          </w:tcPr>
          <w:p w14:paraId="7E28C893" w14:textId="7D94D79B" w:rsidR="00650856" w:rsidRPr="00335DC7" w:rsidRDefault="00650856" w:rsidP="00650856">
            <w:pPr>
              <w:rPr>
                <w:sz w:val="20"/>
                <w:szCs w:val="20"/>
              </w:rPr>
            </w:pPr>
            <w:r w:rsidRPr="00D65788">
              <w:rPr>
                <w:rFonts w:ascii="Calibri" w:hAnsi="Calibri" w:cs="Calibri"/>
                <w:color w:val="000000"/>
                <w:sz w:val="20"/>
                <w:szCs w:val="20"/>
              </w:rPr>
              <w:t>Cortés-</w:t>
            </w:r>
            <w:proofErr w:type="spellStart"/>
            <w:r w:rsidRPr="00D65788">
              <w:rPr>
                <w:rFonts w:ascii="Calibri" w:hAnsi="Calibri" w:cs="Calibri"/>
                <w:color w:val="000000"/>
                <w:sz w:val="20"/>
                <w:szCs w:val="20"/>
              </w:rPr>
              <w:t>Cediel</w:t>
            </w:r>
            <w:proofErr w:type="spellEnd"/>
            <w:r>
              <w:rPr>
                <w:rFonts w:ascii="Calibri" w:hAnsi="Calibri" w:cs="Calibri"/>
                <w:color w:val="000000"/>
                <w:sz w:val="20"/>
                <w:szCs w:val="20"/>
              </w:rPr>
              <w:t xml:space="preserve"> 2018</w:t>
            </w:r>
          </w:p>
        </w:tc>
        <w:tc>
          <w:tcPr>
            <w:tcW w:w="8059" w:type="dxa"/>
          </w:tcPr>
          <w:p w14:paraId="7DA39DB1" w14:textId="2892F131" w:rsidR="00650856" w:rsidRPr="00650856" w:rsidRDefault="00650856" w:rsidP="00650856">
            <w:pPr>
              <w:rPr>
                <w:sz w:val="20"/>
                <w:szCs w:val="20"/>
              </w:rPr>
            </w:pPr>
            <w:r w:rsidRPr="00650856">
              <w:rPr>
                <w:sz w:val="20"/>
                <w:szCs w:val="20"/>
              </w:rPr>
              <w:t>a cycle with various phases, where one can perform particular mechanisms to stimulate the citizens’ participation at different levels.</w:t>
            </w:r>
          </w:p>
        </w:tc>
      </w:tr>
      <w:tr w:rsidR="00650856" w:rsidRPr="00335DC7" w14:paraId="2968BF18" w14:textId="77777777" w:rsidTr="00E3076C">
        <w:tc>
          <w:tcPr>
            <w:tcW w:w="1291" w:type="dxa"/>
            <w:vAlign w:val="bottom"/>
          </w:tcPr>
          <w:p w14:paraId="6BC17B04" w14:textId="522047E0" w:rsidR="00650856" w:rsidRPr="00335DC7" w:rsidRDefault="00650856" w:rsidP="00650856">
            <w:pPr>
              <w:rPr>
                <w:sz w:val="20"/>
                <w:szCs w:val="20"/>
              </w:rPr>
            </w:pPr>
            <w:r w:rsidRPr="00D65788">
              <w:rPr>
                <w:rFonts w:ascii="Calibri" w:hAnsi="Calibri" w:cs="Calibri"/>
                <w:color w:val="000000"/>
                <w:sz w:val="20"/>
                <w:szCs w:val="20"/>
              </w:rPr>
              <w:t>Eder</w:t>
            </w:r>
            <w:r>
              <w:rPr>
                <w:rFonts w:ascii="Calibri" w:hAnsi="Calibri" w:cs="Calibri"/>
                <w:color w:val="000000"/>
                <w:sz w:val="20"/>
                <w:szCs w:val="20"/>
              </w:rPr>
              <w:t xml:space="preserve"> 2018</w:t>
            </w:r>
          </w:p>
        </w:tc>
        <w:tc>
          <w:tcPr>
            <w:tcW w:w="8059" w:type="dxa"/>
          </w:tcPr>
          <w:p w14:paraId="78993A91" w14:textId="5556B20C" w:rsidR="00650856" w:rsidRPr="00650856" w:rsidRDefault="00650856" w:rsidP="00650856">
            <w:pPr>
              <w:rPr>
                <w:sz w:val="20"/>
                <w:szCs w:val="20"/>
              </w:rPr>
            </w:pPr>
            <w:r w:rsidRPr="00650856">
              <w:rPr>
                <w:sz w:val="20"/>
                <w:szCs w:val="20"/>
              </w:rPr>
              <w:t>None chosen</w:t>
            </w:r>
            <w:r w:rsidR="00A52E20">
              <w:rPr>
                <w:sz w:val="20"/>
                <w:szCs w:val="20"/>
              </w:rPr>
              <w:t xml:space="preserve">, but this </w:t>
            </w:r>
            <w:r w:rsidR="00760C5F">
              <w:rPr>
                <w:sz w:val="20"/>
                <w:szCs w:val="20"/>
              </w:rPr>
              <w:t xml:space="preserve">definition was </w:t>
            </w:r>
            <w:r w:rsidRPr="00650856">
              <w:rPr>
                <w:sz w:val="20"/>
                <w:szCs w:val="20"/>
              </w:rPr>
              <w:t>used most frequently</w:t>
            </w:r>
            <w:r w:rsidR="00760C5F">
              <w:rPr>
                <w:sz w:val="20"/>
                <w:szCs w:val="20"/>
              </w:rPr>
              <w:t xml:space="preserve"> by the stakeholders</w:t>
            </w:r>
            <w:r w:rsidRPr="00650856">
              <w:rPr>
                <w:sz w:val="20"/>
                <w:szCs w:val="20"/>
              </w:rPr>
              <w:t>: the process of working collaboratively with and through groups of people affiliated by geographic proximity, special interest, or similar situations to address issues affecting the well-being of those people. . . . It often involves partnerships and coalitions that help mobilize resources and influence systems, change relationships among partners, and serve as catalysts for changing policies, programs, and practices.</w:t>
            </w:r>
          </w:p>
        </w:tc>
      </w:tr>
      <w:tr w:rsidR="00650856" w:rsidRPr="00335DC7" w14:paraId="566FB4AF" w14:textId="77777777" w:rsidTr="00E3076C">
        <w:tc>
          <w:tcPr>
            <w:tcW w:w="1291" w:type="dxa"/>
            <w:vAlign w:val="bottom"/>
          </w:tcPr>
          <w:p w14:paraId="27F21016" w14:textId="3B722BE0" w:rsidR="00650856" w:rsidRPr="00335DC7" w:rsidRDefault="00650856" w:rsidP="00650856">
            <w:pPr>
              <w:rPr>
                <w:sz w:val="20"/>
                <w:szCs w:val="20"/>
              </w:rPr>
            </w:pPr>
            <w:r w:rsidRPr="00D65788">
              <w:rPr>
                <w:rFonts w:ascii="Calibri" w:hAnsi="Calibri" w:cs="Calibri"/>
                <w:color w:val="000000"/>
                <w:sz w:val="20"/>
                <w:szCs w:val="20"/>
              </w:rPr>
              <w:t>Halpin </w:t>
            </w:r>
            <w:r>
              <w:rPr>
                <w:rFonts w:ascii="Calibri" w:hAnsi="Calibri" w:cs="Calibri"/>
                <w:color w:val="000000"/>
                <w:sz w:val="20"/>
                <w:szCs w:val="20"/>
              </w:rPr>
              <w:t>2017</w:t>
            </w:r>
          </w:p>
        </w:tc>
        <w:tc>
          <w:tcPr>
            <w:tcW w:w="8059" w:type="dxa"/>
          </w:tcPr>
          <w:p w14:paraId="0C5FE8B9" w14:textId="04B57CE6" w:rsidR="00650856" w:rsidRPr="00650856" w:rsidRDefault="00A65D11" w:rsidP="00650856">
            <w:pPr>
              <w:rPr>
                <w:sz w:val="20"/>
                <w:szCs w:val="20"/>
              </w:rPr>
            </w:pPr>
            <w:r>
              <w:rPr>
                <w:sz w:val="20"/>
                <w:szCs w:val="20"/>
              </w:rPr>
              <w:t>Unclear</w:t>
            </w:r>
          </w:p>
        </w:tc>
      </w:tr>
      <w:tr w:rsidR="00650856" w:rsidRPr="00335DC7" w14:paraId="15E0C2CC" w14:textId="77777777" w:rsidTr="00E3076C">
        <w:tc>
          <w:tcPr>
            <w:tcW w:w="1291" w:type="dxa"/>
            <w:vAlign w:val="bottom"/>
          </w:tcPr>
          <w:p w14:paraId="604975E4" w14:textId="2609FF80" w:rsidR="00650856" w:rsidRPr="00335DC7" w:rsidRDefault="00650856" w:rsidP="00650856">
            <w:pPr>
              <w:rPr>
                <w:sz w:val="20"/>
                <w:szCs w:val="20"/>
              </w:rPr>
            </w:pPr>
            <w:r w:rsidRPr="00D65788">
              <w:rPr>
                <w:rFonts w:ascii="Calibri" w:hAnsi="Calibri" w:cs="Calibri"/>
                <w:color w:val="000000"/>
                <w:sz w:val="20"/>
                <w:szCs w:val="20"/>
              </w:rPr>
              <w:t>Kemp </w:t>
            </w:r>
            <w:r>
              <w:rPr>
                <w:rFonts w:ascii="Calibri" w:hAnsi="Calibri" w:cs="Calibri"/>
                <w:color w:val="000000"/>
                <w:sz w:val="20"/>
                <w:szCs w:val="20"/>
              </w:rPr>
              <w:t>2015</w:t>
            </w:r>
          </w:p>
        </w:tc>
        <w:tc>
          <w:tcPr>
            <w:tcW w:w="8059" w:type="dxa"/>
          </w:tcPr>
          <w:p w14:paraId="7D3C85AA" w14:textId="1675121B" w:rsidR="00650856" w:rsidRPr="00650856" w:rsidRDefault="00650856" w:rsidP="00650856">
            <w:pPr>
              <w:rPr>
                <w:sz w:val="20"/>
                <w:szCs w:val="20"/>
              </w:rPr>
            </w:pPr>
            <w:r w:rsidRPr="00650856">
              <w:rPr>
                <w:sz w:val="20"/>
                <w:szCs w:val="20"/>
              </w:rPr>
              <w:t>the feelings, cognitions, behavioral, social, and connective/relational responses evoked by artistic experiences</w:t>
            </w:r>
          </w:p>
        </w:tc>
      </w:tr>
      <w:tr w:rsidR="00650856" w:rsidRPr="00335DC7" w14:paraId="03825201" w14:textId="77777777" w:rsidTr="00E3076C">
        <w:tc>
          <w:tcPr>
            <w:tcW w:w="1291" w:type="dxa"/>
            <w:vAlign w:val="bottom"/>
          </w:tcPr>
          <w:p w14:paraId="1CF09640" w14:textId="35F506B2" w:rsidR="00650856" w:rsidRPr="00335DC7" w:rsidRDefault="00650856" w:rsidP="00650856">
            <w:pPr>
              <w:rPr>
                <w:sz w:val="20"/>
                <w:szCs w:val="20"/>
              </w:rPr>
            </w:pPr>
            <w:r w:rsidRPr="00D65788">
              <w:rPr>
                <w:rFonts w:ascii="Calibri" w:hAnsi="Calibri" w:cs="Calibri"/>
                <w:color w:val="000000"/>
                <w:sz w:val="20"/>
                <w:szCs w:val="20"/>
              </w:rPr>
              <w:t>Nguyen </w:t>
            </w:r>
            <w:r>
              <w:rPr>
                <w:rFonts w:ascii="Calibri" w:hAnsi="Calibri" w:cs="Calibri"/>
                <w:color w:val="000000"/>
                <w:sz w:val="20"/>
                <w:szCs w:val="20"/>
              </w:rPr>
              <w:t>2016</w:t>
            </w:r>
          </w:p>
        </w:tc>
        <w:tc>
          <w:tcPr>
            <w:tcW w:w="8059" w:type="dxa"/>
          </w:tcPr>
          <w:p w14:paraId="54C0CCEC" w14:textId="7813B7E6" w:rsidR="00650856" w:rsidRPr="00650856" w:rsidRDefault="00650856" w:rsidP="00650856">
            <w:pPr>
              <w:rPr>
                <w:sz w:val="20"/>
                <w:szCs w:val="20"/>
              </w:rPr>
            </w:pPr>
            <w:r w:rsidRPr="00650856">
              <w:rPr>
                <w:sz w:val="20"/>
                <w:szCs w:val="20"/>
              </w:rPr>
              <w:t>the magnitude, temporal intensity, diversity, and recency of tangible effort online users voluntarily devote to what is requested in a community crowdsourcing initiative</w:t>
            </w:r>
          </w:p>
        </w:tc>
      </w:tr>
      <w:tr w:rsidR="00650856" w:rsidRPr="00335DC7" w14:paraId="06E39FB6" w14:textId="77777777" w:rsidTr="00E3076C">
        <w:tc>
          <w:tcPr>
            <w:tcW w:w="1291" w:type="dxa"/>
            <w:vAlign w:val="bottom"/>
          </w:tcPr>
          <w:p w14:paraId="489E64E4" w14:textId="726B0216" w:rsidR="00650856" w:rsidRPr="00D65788" w:rsidRDefault="00650856" w:rsidP="00650856">
            <w:pPr>
              <w:rPr>
                <w:rFonts w:ascii="Calibri" w:hAnsi="Calibri" w:cs="Calibri"/>
                <w:color w:val="000000"/>
                <w:sz w:val="20"/>
                <w:szCs w:val="20"/>
              </w:rPr>
            </w:pPr>
            <w:proofErr w:type="spellStart"/>
            <w:r w:rsidRPr="00D65788">
              <w:rPr>
                <w:rFonts w:ascii="Calibri" w:hAnsi="Calibri" w:cs="Calibri"/>
                <w:color w:val="000000"/>
                <w:sz w:val="20"/>
                <w:szCs w:val="20"/>
              </w:rPr>
              <w:t>Nicotera</w:t>
            </w:r>
            <w:proofErr w:type="spellEnd"/>
            <w:r>
              <w:rPr>
                <w:rFonts w:ascii="Calibri" w:hAnsi="Calibri" w:cs="Calibri"/>
                <w:color w:val="000000"/>
                <w:sz w:val="20"/>
                <w:szCs w:val="20"/>
              </w:rPr>
              <w:t xml:space="preserve"> 2010</w:t>
            </w:r>
          </w:p>
        </w:tc>
        <w:tc>
          <w:tcPr>
            <w:tcW w:w="8059" w:type="dxa"/>
          </w:tcPr>
          <w:p w14:paraId="7F915E82" w14:textId="6EA77A0E" w:rsidR="00650856" w:rsidRPr="00650856" w:rsidRDefault="00650856" w:rsidP="00650856">
            <w:pPr>
              <w:rPr>
                <w:sz w:val="20"/>
                <w:szCs w:val="20"/>
              </w:rPr>
            </w:pPr>
            <w:r w:rsidRPr="00650856">
              <w:rPr>
                <w:sz w:val="20"/>
                <w:szCs w:val="20"/>
              </w:rPr>
              <w:t xml:space="preserve">A sense of connection to and responsibility for others with whom one shares a geographic locality (Atkins &amp; Hart, 2003) combined with collaboration and participation (Flanagan, 2003; Lerner, Fisher &amp; Weinberg, 2000; Lerner et al.2003; Pittman et al., 2003) that foster connection and responsibility across multicultural differences (Flanagan 2003; Lerner et al., 2003; </w:t>
            </w:r>
            <w:proofErr w:type="spellStart"/>
            <w:r w:rsidRPr="00650856">
              <w:rPr>
                <w:sz w:val="20"/>
                <w:szCs w:val="20"/>
              </w:rPr>
              <w:t>Torney-Purta</w:t>
            </w:r>
            <w:proofErr w:type="spellEnd"/>
            <w:r w:rsidRPr="00650856">
              <w:rPr>
                <w:sz w:val="20"/>
                <w:szCs w:val="20"/>
              </w:rPr>
              <w:t>, 2002).</w:t>
            </w:r>
          </w:p>
        </w:tc>
      </w:tr>
      <w:tr w:rsidR="00650856" w:rsidRPr="00335DC7" w14:paraId="39EA2137" w14:textId="77777777" w:rsidTr="00E3076C">
        <w:tc>
          <w:tcPr>
            <w:tcW w:w="1291" w:type="dxa"/>
            <w:vAlign w:val="bottom"/>
          </w:tcPr>
          <w:p w14:paraId="3990A2CA" w14:textId="140E99AF" w:rsidR="00650856" w:rsidRPr="00335DC7" w:rsidRDefault="00650856" w:rsidP="00650856">
            <w:pPr>
              <w:rPr>
                <w:sz w:val="20"/>
                <w:szCs w:val="20"/>
              </w:rPr>
            </w:pPr>
            <w:r w:rsidRPr="00D65788">
              <w:rPr>
                <w:rFonts w:ascii="Calibri" w:hAnsi="Calibri" w:cs="Calibri"/>
                <w:color w:val="000000"/>
                <w:sz w:val="20"/>
                <w:szCs w:val="20"/>
              </w:rPr>
              <w:t>Pontes</w:t>
            </w:r>
            <w:r>
              <w:rPr>
                <w:rFonts w:ascii="Calibri" w:hAnsi="Calibri" w:cs="Calibri"/>
                <w:color w:val="000000"/>
                <w:sz w:val="20"/>
                <w:szCs w:val="20"/>
              </w:rPr>
              <w:t xml:space="preserve"> 2018</w:t>
            </w:r>
          </w:p>
        </w:tc>
        <w:tc>
          <w:tcPr>
            <w:tcW w:w="8059" w:type="dxa"/>
          </w:tcPr>
          <w:p w14:paraId="7CC20296" w14:textId="2A025809" w:rsidR="00650856" w:rsidRPr="00650856" w:rsidRDefault="00650856" w:rsidP="00650856">
            <w:pPr>
              <w:rPr>
                <w:sz w:val="20"/>
                <w:szCs w:val="20"/>
              </w:rPr>
            </w:pPr>
            <w:r w:rsidRPr="00650856">
              <w:rPr>
                <w:sz w:val="20"/>
                <w:szCs w:val="20"/>
              </w:rPr>
              <w:t>having interest in, paying attention to, having knowledge or opinions about, being  conscious of, proactive about and constantly informed about politics</w:t>
            </w:r>
          </w:p>
        </w:tc>
      </w:tr>
      <w:tr w:rsidR="00650856" w:rsidRPr="00335DC7" w14:paraId="4C66483F" w14:textId="77777777" w:rsidTr="00E3076C">
        <w:tc>
          <w:tcPr>
            <w:tcW w:w="1291" w:type="dxa"/>
            <w:vAlign w:val="bottom"/>
          </w:tcPr>
          <w:p w14:paraId="66090409" w14:textId="0F2A78D6" w:rsidR="00650856" w:rsidRPr="00335DC7" w:rsidRDefault="00650856" w:rsidP="00650856">
            <w:pPr>
              <w:rPr>
                <w:sz w:val="20"/>
                <w:szCs w:val="20"/>
              </w:rPr>
            </w:pPr>
            <w:proofErr w:type="spellStart"/>
            <w:r w:rsidRPr="00D65788">
              <w:rPr>
                <w:rFonts w:ascii="Calibri" w:hAnsi="Calibri" w:cs="Calibri"/>
                <w:color w:val="000000"/>
                <w:sz w:val="20"/>
                <w:szCs w:val="20"/>
              </w:rPr>
              <w:t>Sallnow</w:t>
            </w:r>
            <w:proofErr w:type="spellEnd"/>
            <w:r>
              <w:rPr>
                <w:rFonts w:ascii="Calibri" w:hAnsi="Calibri" w:cs="Calibri"/>
                <w:color w:val="000000"/>
                <w:sz w:val="20"/>
                <w:szCs w:val="20"/>
              </w:rPr>
              <w:t xml:space="preserve"> 2014</w:t>
            </w:r>
          </w:p>
        </w:tc>
        <w:tc>
          <w:tcPr>
            <w:tcW w:w="8059" w:type="dxa"/>
          </w:tcPr>
          <w:p w14:paraId="02ECAAEF" w14:textId="56C16BF0" w:rsidR="00650856" w:rsidRPr="00650856" w:rsidRDefault="00650856" w:rsidP="00650856">
            <w:pPr>
              <w:rPr>
                <w:sz w:val="20"/>
                <w:szCs w:val="20"/>
              </w:rPr>
            </w:pPr>
            <w:r w:rsidRPr="00650856">
              <w:rPr>
                <w:sz w:val="20"/>
                <w:szCs w:val="20"/>
              </w:rPr>
              <w:t xml:space="preserve">a process which enables communities and services to work together to understand, build capacity and address issues to improve their experience of end-of-life and bereavement and their related </w:t>
            </w:r>
            <w:proofErr w:type="spellStart"/>
            <w:r w:rsidRPr="00650856">
              <w:rPr>
                <w:sz w:val="20"/>
                <w:szCs w:val="20"/>
              </w:rPr>
              <w:t>well being</w:t>
            </w:r>
            <w:proofErr w:type="spellEnd"/>
            <w:r w:rsidRPr="00650856">
              <w:rPr>
                <w:sz w:val="20"/>
                <w:szCs w:val="20"/>
              </w:rPr>
              <w:t>. It exists on a spectrum of engagement that extends from informing through to empowering, depending on a range of factors such as the degree of participation from the local community and the intention of the work. Community engagement activities by end-of-life care services go beyond working in the community to working with the community to improve its experience of end-of-life care.</w:t>
            </w:r>
          </w:p>
        </w:tc>
      </w:tr>
      <w:tr w:rsidR="00650856" w:rsidRPr="00335DC7" w14:paraId="21C260AD" w14:textId="77777777" w:rsidTr="00E3076C">
        <w:tc>
          <w:tcPr>
            <w:tcW w:w="1291" w:type="dxa"/>
            <w:vAlign w:val="bottom"/>
          </w:tcPr>
          <w:p w14:paraId="0AEE864A" w14:textId="6B6A6E4D" w:rsidR="00650856" w:rsidRPr="00335DC7" w:rsidRDefault="00650856" w:rsidP="00650856">
            <w:pPr>
              <w:rPr>
                <w:sz w:val="20"/>
                <w:szCs w:val="20"/>
              </w:rPr>
            </w:pPr>
            <w:r w:rsidRPr="00D65788">
              <w:rPr>
                <w:rFonts w:ascii="Calibri" w:hAnsi="Calibri" w:cs="Calibri"/>
                <w:color w:val="000000"/>
                <w:sz w:val="20"/>
                <w:szCs w:val="20"/>
              </w:rPr>
              <w:t>Taylor </w:t>
            </w:r>
            <w:r>
              <w:rPr>
                <w:rFonts w:ascii="Calibri" w:hAnsi="Calibri" w:cs="Calibri"/>
                <w:color w:val="000000"/>
                <w:sz w:val="20"/>
                <w:szCs w:val="20"/>
              </w:rPr>
              <w:t>2014</w:t>
            </w:r>
          </w:p>
        </w:tc>
        <w:tc>
          <w:tcPr>
            <w:tcW w:w="8059" w:type="dxa"/>
          </w:tcPr>
          <w:p w14:paraId="7BA2707D" w14:textId="7A7BF04D" w:rsidR="00650856" w:rsidRPr="00650856" w:rsidRDefault="00650856" w:rsidP="00650856">
            <w:pPr>
              <w:rPr>
                <w:sz w:val="20"/>
                <w:szCs w:val="20"/>
              </w:rPr>
            </w:pPr>
            <w:r w:rsidRPr="00650856">
              <w:rPr>
                <w:sz w:val="20"/>
                <w:szCs w:val="20"/>
              </w:rPr>
              <w:t>a two-way, relational, give-and-take between organizations and stakeholders</w:t>
            </w:r>
            <w:r w:rsidR="00335264">
              <w:rPr>
                <w:sz w:val="20"/>
                <w:szCs w:val="20"/>
              </w:rPr>
              <w:t>/</w:t>
            </w:r>
            <w:r w:rsidRPr="00650856">
              <w:rPr>
                <w:sz w:val="20"/>
                <w:szCs w:val="20"/>
              </w:rPr>
              <w:t>publics with the intended goal of (a) improving understanding among interactants; (b) making decisions that benefit all parties involved, not simply the organization; and (c) fostering a fully functioning society (Heath, 2006), where decisions are made based on informed participative interactions that involve stakeholders.</w:t>
            </w:r>
          </w:p>
        </w:tc>
      </w:tr>
    </w:tbl>
    <w:p w14:paraId="39038AAA" w14:textId="77777777" w:rsidR="00DC5B5C" w:rsidRDefault="00DC5B5C" w:rsidP="00DC5B5C"/>
    <w:p w14:paraId="57EB6FFA" w14:textId="59C9DE39" w:rsidR="00DC5B5C" w:rsidRDefault="00DC5B5C" w:rsidP="00DC5B5C">
      <w:r>
        <w:t xml:space="preserve">Work engagement (n= </w:t>
      </w:r>
      <w:r w:rsidR="003D61AC">
        <w:t>9</w:t>
      </w:r>
      <w:r>
        <w:t>)</w:t>
      </w:r>
    </w:p>
    <w:tbl>
      <w:tblPr>
        <w:tblStyle w:val="TableGrid"/>
        <w:tblW w:w="0" w:type="auto"/>
        <w:tblLook w:val="04A0" w:firstRow="1" w:lastRow="0" w:firstColumn="1" w:lastColumn="0" w:noHBand="0" w:noVBand="1"/>
      </w:tblPr>
      <w:tblGrid>
        <w:gridCol w:w="1603"/>
        <w:gridCol w:w="7747"/>
      </w:tblGrid>
      <w:tr w:rsidR="00DC5B5C" w:rsidRPr="00335DC7" w14:paraId="23659088" w14:textId="77777777" w:rsidTr="00A51532">
        <w:tc>
          <w:tcPr>
            <w:tcW w:w="1603" w:type="dxa"/>
          </w:tcPr>
          <w:p w14:paraId="7E33A9F3" w14:textId="23DB6C73" w:rsidR="00DC5B5C" w:rsidRPr="00335DC7" w:rsidRDefault="00B63F48" w:rsidP="00942E78">
            <w:pPr>
              <w:rPr>
                <w:b/>
                <w:sz w:val="20"/>
                <w:szCs w:val="20"/>
              </w:rPr>
            </w:pPr>
            <w:r>
              <w:rPr>
                <w:b/>
                <w:sz w:val="20"/>
                <w:szCs w:val="20"/>
              </w:rPr>
              <w:t>Study</w:t>
            </w:r>
          </w:p>
        </w:tc>
        <w:tc>
          <w:tcPr>
            <w:tcW w:w="7747" w:type="dxa"/>
          </w:tcPr>
          <w:p w14:paraId="1F0BD135" w14:textId="77777777" w:rsidR="00DC5B5C" w:rsidRPr="00335DC7" w:rsidRDefault="00DC5B5C" w:rsidP="00942E78">
            <w:pPr>
              <w:rPr>
                <w:b/>
                <w:sz w:val="20"/>
                <w:szCs w:val="20"/>
              </w:rPr>
            </w:pPr>
            <w:r w:rsidRPr="00335DC7">
              <w:rPr>
                <w:b/>
                <w:sz w:val="20"/>
                <w:szCs w:val="20"/>
              </w:rPr>
              <w:t>Used definition</w:t>
            </w:r>
          </w:p>
        </w:tc>
      </w:tr>
      <w:tr w:rsidR="00AD391A" w:rsidRPr="00335DC7" w14:paraId="4FF3F94A" w14:textId="77777777" w:rsidTr="006D3309">
        <w:tc>
          <w:tcPr>
            <w:tcW w:w="1603" w:type="dxa"/>
            <w:vAlign w:val="bottom"/>
          </w:tcPr>
          <w:p w14:paraId="211DA316" w14:textId="4A6D5844" w:rsidR="00AD391A" w:rsidRPr="00335DC7" w:rsidRDefault="00AD391A" w:rsidP="00AD391A">
            <w:pPr>
              <w:rPr>
                <w:sz w:val="20"/>
                <w:szCs w:val="20"/>
              </w:rPr>
            </w:pPr>
            <w:r w:rsidRPr="002A284C">
              <w:rPr>
                <w:rFonts w:ascii="Calibri" w:hAnsi="Calibri" w:cs="Calibri"/>
                <w:color w:val="000000"/>
                <w:sz w:val="20"/>
                <w:szCs w:val="20"/>
              </w:rPr>
              <w:t>Bakker</w:t>
            </w:r>
            <w:r>
              <w:rPr>
                <w:rFonts w:ascii="Calibri" w:hAnsi="Calibri" w:cs="Calibri"/>
                <w:color w:val="000000"/>
                <w:sz w:val="20"/>
                <w:szCs w:val="20"/>
              </w:rPr>
              <w:t xml:space="preserve"> 2008</w:t>
            </w:r>
          </w:p>
        </w:tc>
        <w:tc>
          <w:tcPr>
            <w:tcW w:w="7747" w:type="dxa"/>
            <w:vAlign w:val="bottom"/>
          </w:tcPr>
          <w:p w14:paraId="090640E3" w14:textId="7A8626C6" w:rsidR="00AD391A" w:rsidRPr="00AD391A" w:rsidRDefault="00AD391A" w:rsidP="00AD391A">
            <w:pPr>
              <w:rPr>
                <w:sz w:val="20"/>
                <w:szCs w:val="20"/>
              </w:rPr>
            </w:pPr>
            <w:r>
              <w:rPr>
                <w:rFonts w:ascii="Calibri" w:hAnsi="Calibri" w:cs="Calibri"/>
                <w:color w:val="000000"/>
                <w:sz w:val="20"/>
                <w:szCs w:val="20"/>
              </w:rPr>
              <w:t>A</w:t>
            </w:r>
            <w:r w:rsidRPr="00AD391A">
              <w:rPr>
                <w:rFonts w:ascii="Calibri" w:hAnsi="Calibri" w:cs="Calibri"/>
                <w:color w:val="000000"/>
                <w:sz w:val="20"/>
                <w:szCs w:val="20"/>
              </w:rPr>
              <w:t xml:space="preserve"> specific, well</w:t>
            </w:r>
            <w:r>
              <w:rPr>
                <w:rFonts w:ascii="Calibri" w:hAnsi="Calibri" w:cs="Calibri"/>
                <w:color w:val="000000"/>
                <w:sz w:val="20"/>
                <w:szCs w:val="20"/>
              </w:rPr>
              <w:t xml:space="preserve"> </w:t>
            </w:r>
            <w:r w:rsidRPr="00AD391A">
              <w:rPr>
                <w:rFonts w:ascii="Calibri" w:hAnsi="Calibri" w:cs="Calibri"/>
                <w:color w:val="000000"/>
                <w:sz w:val="20"/>
                <w:szCs w:val="20"/>
              </w:rPr>
              <w:t>defined, and properly operationalized psychological state that is open to empirical research and practical application</w:t>
            </w:r>
            <w:r>
              <w:rPr>
                <w:rFonts w:ascii="Calibri" w:hAnsi="Calibri" w:cs="Calibri"/>
                <w:color w:val="000000"/>
                <w:sz w:val="20"/>
                <w:szCs w:val="20"/>
              </w:rPr>
              <w:t>:</w:t>
            </w:r>
            <w:r w:rsidRPr="00AD391A">
              <w:rPr>
                <w:rFonts w:ascii="Calibri" w:hAnsi="Calibri" w:cs="Calibri"/>
                <w:color w:val="000000"/>
                <w:sz w:val="20"/>
                <w:szCs w:val="20"/>
              </w:rPr>
              <w:t xml:space="preserve"> a positive, fulfilling, work-related state of mind that is characterized by </w:t>
            </w:r>
            <w:proofErr w:type="spellStart"/>
            <w:r w:rsidRPr="00AD391A">
              <w:rPr>
                <w:rFonts w:ascii="Calibri" w:hAnsi="Calibri" w:cs="Calibri"/>
                <w:color w:val="000000"/>
                <w:sz w:val="20"/>
                <w:szCs w:val="20"/>
              </w:rPr>
              <w:t>vigour</w:t>
            </w:r>
            <w:proofErr w:type="spellEnd"/>
            <w:r w:rsidRPr="00AD391A">
              <w:rPr>
                <w:rFonts w:ascii="Calibri" w:hAnsi="Calibri" w:cs="Calibri"/>
                <w:color w:val="000000"/>
                <w:sz w:val="20"/>
                <w:szCs w:val="20"/>
              </w:rPr>
              <w:t>, dedication, and absorption</w:t>
            </w:r>
          </w:p>
        </w:tc>
      </w:tr>
      <w:tr w:rsidR="00AD391A" w:rsidRPr="00335DC7" w14:paraId="67240AAF" w14:textId="77777777" w:rsidTr="006D3309">
        <w:tc>
          <w:tcPr>
            <w:tcW w:w="1603" w:type="dxa"/>
            <w:vAlign w:val="bottom"/>
          </w:tcPr>
          <w:p w14:paraId="492E3078" w14:textId="5FE00A55" w:rsidR="00AD391A" w:rsidRPr="00335DC7" w:rsidRDefault="00AD391A" w:rsidP="00AD391A">
            <w:pPr>
              <w:rPr>
                <w:sz w:val="20"/>
                <w:szCs w:val="20"/>
              </w:rPr>
            </w:pPr>
            <w:proofErr w:type="spellStart"/>
            <w:r w:rsidRPr="002A284C">
              <w:rPr>
                <w:rFonts w:ascii="Calibri" w:hAnsi="Calibri" w:cs="Calibri"/>
                <w:color w:val="000000"/>
                <w:sz w:val="20"/>
                <w:szCs w:val="20"/>
              </w:rPr>
              <w:t>Bargagliotti</w:t>
            </w:r>
            <w:proofErr w:type="spellEnd"/>
            <w:r w:rsidRPr="002A284C">
              <w:rPr>
                <w:rFonts w:ascii="Calibri" w:hAnsi="Calibri" w:cs="Calibri"/>
                <w:color w:val="000000"/>
                <w:sz w:val="20"/>
                <w:szCs w:val="20"/>
              </w:rPr>
              <w:t> </w:t>
            </w:r>
            <w:r>
              <w:rPr>
                <w:rFonts w:ascii="Calibri" w:hAnsi="Calibri" w:cs="Calibri"/>
                <w:color w:val="000000"/>
                <w:sz w:val="20"/>
                <w:szCs w:val="20"/>
              </w:rPr>
              <w:t>2012</w:t>
            </w:r>
          </w:p>
        </w:tc>
        <w:tc>
          <w:tcPr>
            <w:tcW w:w="7747" w:type="dxa"/>
            <w:vAlign w:val="bottom"/>
          </w:tcPr>
          <w:p w14:paraId="0C064224" w14:textId="75E18B26" w:rsidR="00AD391A" w:rsidRPr="00AD391A" w:rsidRDefault="00AD391A" w:rsidP="00AD391A">
            <w:pPr>
              <w:rPr>
                <w:sz w:val="20"/>
                <w:szCs w:val="20"/>
              </w:rPr>
            </w:pPr>
            <w:r w:rsidRPr="00AD391A">
              <w:rPr>
                <w:rFonts w:ascii="Calibri" w:hAnsi="Calibri" w:cs="Calibri"/>
                <w:color w:val="000000"/>
                <w:sz w:val="20"/>
                <w:szCs w:val="20"/>
              </w:rPr>
              <w:t xml:space="preserve">Work engagement is a positive, fulfilling state of mind about work that is characterized by </w:t>
            </w:r>
            <w:proofErr w:type="spellStart"/>
            <w:r w:rsidRPr="00AD391A">
              <w:rPr>
                <w:rFonts w:ascii="Calibri" w:hAnsi="Calibri" w:cs="Calibri"/>
                <w:color w:val="000000"/>
                <w:sz w:val="20"/>
                <w:szCs w:val="20"/>
              </w:rPr>
              <w:t>vigour</w:t>
            </w:r>
            <w:proofErr w:type="spellEnd"/>
            <w:r w:rsidRPr="00AD391A">
              <w:rPr>
                <w:rFonts w:ascii="Calibri" w:hAnsi="Calibri" w:cs="Calibri"/>
                <w:color w:val="000000"/>
                <w:sz w:val="20"/>
                <w:szCs w:val="20"/>
              </w:rPr>
              <w:t>, dedication and absorption. In nursing, work engagement is the dedicated, absorbing, vigorous nursing practice that emerges from settings of autonomy and trust and results in safer, cost effective patient outcomes.</w:t>
            </w:r>
          </w:p>
        </w:tc>
      </w:tr>
      <w:tr w:rsidR="00AD391A" w:rsidRPr="00335DC7" w14:paraId="21B24B5B" w14:textId="77777777" w:rsidTr="006D3309">
        <w:tc>
          <w:tcPr>
            <w:tcW w:w="1603" w:type="dxa"/>
            <w:vAlign w:val="bottom"/>
          </w:tcPr>
          <w:p w14:paraId="6ED90245" w14:textId="30F952B8" w:rsidR="00AD391A" w:rsidRPr="00335DC7" w:rsidRDefault="00AD391A" w:rsidP="00AD391A">
            <w:pPr>
              <w:rPr>
                <w:sz w:val="20"/>
                <w:szCs w:val="20"/>
              </w:rPr>
            </w:pPr>
            <w:r w:rsidRPr="002A284C">
              <w:rPr>
                <w:rFonts w:ascii="Calibri" w:hAnsi="Calibri" w:cs="Calibri"/>
                <w:color w:val="000000"/>
                <w:sz w:val="20"/>
                <w:szCs w:val="20"/>
              </w:rPr>
              <w:t>Green Jr</w:t>
            </w:r>
            <w:r>
              <w:rPr>
                <w:rFonts w:ascii="Calibri" w:hAnsi="Calibri" w:cs="Calibri"/>
                <w:color w:val="000000"/>
                <w:sz w:val="20"/>
                <w:szCs w:val="20"/>
              </w:rPr>
              <w:t xml:space="preserve"> 2017</w:t>
            </w:r>
          </w:p>
        </w:tc>
        <w:tc>
          <w:tcPr>
            <w:tcW w:w="7747" w:type="dxa"/>
            <w:vAlign w:val="bottom"/>
          </w:tcPr>
          <w:p w14:paraId="1638F240" w14:textId="691E49E0" w:rsidR="00AD391A" w:rsidRPr="00AD391A" w:rsidRDefault="00AD391A" w:rsidP="00AD391A">
            <w:pPr>
              <w:rPr>
                <w:sz w:val="20"/>
                <w:szCs w:val="20"/>
              </w:rPr>
            </w:pPr>
            <w:r w:rsidRPr="00AD391A">
              <w:rPr>
                <w:rFonts w:ascii="Calibri" w:hAnsi="Calibri" w:cs="Calibri"/>
                <w:color w:val="000000"/>
                <w:sz w:val="20"/>
                <w:szCs w:val="20"/>
              </w:rPr>
              <w:t>First, we identified the key attribute of energy. Second, we identified that positive emotional experiences are the source of the energy so key to the sustenance of work engagement. Finally, we argued that work engagement has been systematically theorized or empirically demonstrated as a behavioral phenomenon—an experience leading to important positive organizational</w:t>
            </w:r>
            <w:r w:rsidR="004E01C0">
              <w:rPr>
                <w:rFonts w:ascii="Calibri" w:hAnsi="Calibri" w:cs="Calibri"/>
                <w:color w:val="000000"/>
                <w:sz w:val="20"/>
                <w:szCs w:val="20"/>
              </w:rPr>
              <w:t xml:space="preserve"> </w:t>
            </w:r>
            <w:r w:rsidRPr="00AD391A">
              <w:rPr>
                <w:rFonts w:ascii="Calibri" w:hAnsi="Calibri" w:cs="Calibri"/>
                <w:color w:val="000000"/>
                <w:sz w:val="20"/>
                <w:szCs w:val="20"/>
              </w:rPr>
              <w:t>outcomes.</w:t>
            </w:r>
          </w:p>
        </w:tc>
      </w:tr>
      <w:tr w:rsidR="00AD391A" w:rsidRPr="00335DC7" w14:paraId="5D2E9EFB" w14:textId="77777777" w:rsidTr="006D3309">
        <w:tc>
          <w:tcPr>
            <w:tcW w:w="1603" w:type="dxa"/>
            <w:vAlign w:val="bottom"/>
          </w:tcPr>
          <w:p w14:paraId="260F5D56" w14:textId="67E72FA3" w:rsidR="00AD391A" w:rsidRPr="00335DC7" w:rsidRDefault="00AD391A" w:rsidP="00AD391A">
            <w:pPr>
              <w:rPr>
                <w:sz w:val="20"/>
                <w:szCs w:val="20"/>
              </w:rPr>
            </w:pPr>
            <w:r w:rsidRPr="002A284C">
              <w:rPr>
                <w:rFonts w:ascii="Calibri" w:hAnsi="Calibri" w:cs="Calibri"/>
                <w:color w:val="000000"/>
                <w:sz w:val="20"/>
                <w:szCs w:val="20"/>
              </w:rPr>
              <w:t>Gupta</w:t>
            </w:r>
            <w:r>
              <w:rPr>
                <w:rFonts w:ascii="Calibri" w:hAnsi="Calibri" w:cs="Calibri"/>
                <w:color w:val="000000"/>
                <w:sz w:val="20"/>
                <w:szCs w:val="20"/>
              </w:rPr>
              <w:t xml:space="preserve"> 2018</w:t>
            </w:r>
          </w:p>
        </w:tc>
        <w:tc>
          <w:tcPr>
            <w:tcW w:w="7747" w:type="dxa"/>
            <w:vAlign w:val="bottom"/>
          </w:tcPr>
          <w:p w14:paraId="367C64AA" w14:textId="630196E3" w:rsidR="00AD391A" w:rsidRPr="00AD391A" w:rsidRDefault="00F37AFC" w:rsidP="00AD391A">
            <w:pPr>
              <w:rPr>
                <w:sz w:val="20"/>
                <w:szCs w:val="20"/>
              </w:rPr>
            </w:pPr>
            <w:r>
              <w:rPr>
                <w:rFonts w:ascii="Calibri" w:hAnsi="Calibri" w:cs="Calibri"/>
                <w:color w:val="000000"/>
                <w:sz w:val="20"/>
                <w:szCs w:val="20"/>
              </w:rPr>
              <w:t>None chosen</w:t>
            </w:r>
          </w:p>
        </w:tc>
      </w:tr>
      <w:tr w:rsidR="003D61AC" w:rsidRPr="00335DC7" w14:paraId="24A0B622" w14:textId="77777777" w:rsidTr="006D3309">
        <w:tc>
          <w:tcPr>
            <w:tcW w:w="1603" w:type="dxa"/>
            <w:vAlign w:val="bottom"/>
          </w:tcPr>
          <w:p w14:paraId="2ABC1A9B" w14:textId="5067BE12" w:rsidR="003D61AC" w:rsidRPr="002A284C" w:rsidRDefault="003D61AC" w:rsidP="00AD391A">
            <w:pPr>
              <w:rPr>
                <w:rFonts w:ascii="Calibri" w:hAnsi="Calibri" w:cs="Calibri"/>
                <w:color w:val="000000"/>
                <w:sz w:val="20"/>
                <w:szCs w:val="20"/>
              </w:rPr>
            </w:pPr>
            <w:r>
              <w:rPr>
                <w:rFonts w:ascii="Calibri" w:hAnsi="Calibri" w:cs="Calibri"/>
                <w:color w:val="000000"/>
                <w:sz w:val="20"/>
                <w:szCs w:val="20"/>
              </w:rPr>
              <w:t>Kahn 1990</w:t>
            </w:r>
          </w:p>
        </w:tc>
        <w:tc>
          <w:tcPr>
            <w:tcW w:w="7747" w:type="dxa"/>
            <w:vAlign w:val="bottom"/>
          </w:tcPr>
          <w:p w14:paraId="0D558374" w14:textId="50962748" w:rsidR="003D61AC" w:rsidRDefault="003F010C" w:rsidP="004C25F7">
            <w:pPr>
              <w:rPr>
                <w:rFonts w:ascii="Calibri" w:hAnsi="Calibri" w:cs="Calibri"/>
                <w:color w:val="000000"/>
                <w:sz w:val="20"/>
                <w:szCs w:val="20"/>
              </w:rPr>
            </w:pPr>
            <w:r w:rsidRPr="003F010C">
              <w:rPr>
                <w:rFonts w:ascii="Calibri" w:hAnsi="Calibri" w:cs="Calibri"/>
                <w:color w:val="000000"/>
                <w:sz w:val="20"/>
                <w:szCs w:val="20"/>
              </w:rPr>
              <w:t xml:space="preserve">the harnessing of </w:t>
            </w:r>
            <w:proofErr w:type="spellStart"/>
            <w:r w:rsidRPr="003F010C">
              <w:rPr>
                <w:rFonts w:ascii="Calibri" w:hAnsi="Calibri" w:cs="Calibri"/>
                <w:color w:val="000000"/>
                <w:sz w:val="20"/>
                <w:szCs w:val="20"/>
              </w:rPr>
              <w:t>organisation</w:t>
            </w:r>
            <w:proofErr w:type="spellEnd"/>
            <w:r w:rsidRPr="003F010C">
              <w:rPr>
                <w:rFonts w:ascii="Calibri" w:hAnsi="Calibri" w:cs="Calibri"/>
                <w:color w:val="000000"/>
                <w:sz w:val="20"/>
                <w:szCs w:val="20"/>
              </w:rPr>
              <w:t xml:space="preserve"> members' selves to their work roles; in engagement, people employ and express themselves physically, cognitively, and emotionally during role performances</w:t>
            </w:r>
            <w:r w:rsidR="00BE164E">
              <w:rPr>
                <w:rFonts w:ascii="Calibri" w:hAnsi="Calibri" w:cs="Calibri"/>
                <w:color w:val="000000"/>
                <w:sz w:val="20"/>
                <w:szCs w:val="20"/>
              </w:rPr>
              <w:t>.</w:t>
            </w:r>
            <w:bookmarkStart w:id="0" w:name="_GoBack"/>
            <w:bookmarkEnd w:id="0"/>
          </w:p>
        </w:tc>
      </w:tr>
      <w:tr w:rsidR="00AD391A" w:rsidRPr="00335DC7" w14:paraId="00032A57" w14:textId="77777777" w:rsidTr="006D3309">
        <w:tc>
          <w:tcPr>
            <w:tcW w:w="1603" w:type="dxa"/>
            <w:vAlign w:val="bottom"/>
          </w:tcPr>
          <w:p w14:paraId="35D6FB55" w14:textId="2B1B7567" w:rsidR="00AD391A" w:rsidRPr="00335DC7" w:rsidRDefault="00AD391A" w:rsidP="00AD391A">
            <w:pPr>
              <w:rPr>
                <w:sz w:val="20"/>
                <w:szCs w:val="20"/>
              </w:rPr>
            </w:pPr>
            <w:r w:rsidRPr="002A284C">
              <w:rPr>
                <w:rFonts w:ascii="Calibri" w:hAnsi="Calibri" w:cs="Calibri"/>
                <w:color w:val="000000"/>
                <w:sz w:val="20"/>
                <w:szCs w:val="20"/>
              </w:rPr>
              <w:t>Schaufeli </w:t>
            </w:r>
            <w:r>
              <w:rPr>
                <w:rFonts w:ascii="Calibri" w:hAnsi="Calibri" w:cs="Calibri"/>
                <w:color w:val="000000"/>
                <w:sz w:val="20"/>
                <w:szCs w:val="20"/>
              </w:rPr>
              <w:t>2011</w:t>
            </w:r>
          </w:p>
        </w:tc>
        <w:tc>
          <w:tcPr>
            <w:tcW w:w="7747" w:type="dxa"/>
            <w:vAlign w:val="bottom"/>
          </w:tcPr>
          <w:p w14:paraId="1374B9A8" w14:textId="17A7207A" w:rsidR="00AD391A" w:rsidRPr="00AD391A" w:rsidRDefault="0011105B" w:rsidP="00AD391A">
            <w:pPr>
              <w:rPr>
                <w:sz w:val="20"/>
                <w:szCs w:val="20"/>
              </w:rPr>
            </w:pPr>
            <w:r>
              <w:rPr>
                <w:rFonts w:ascii="Calibri" w:hAnsi="Calibri" w:cs="Calibri"/>
                <w:color w:val="000000"/>
                <w:sz w:val="20"/>
                <w:szCs w:val="20"/>
              </w:rPr>
              <w:t>Unclear, but “</w:t>
            </w:r>
            <w:r w:rsidR="00AD391A" w:rsidRPr="00AD391A">
              <w:rPr>
                <w:rFonts w:ascii="Calibri" w:hAnsi="Calibri" w:cs="Calibri"/>
                <w:color w:val="000000"/>
                <w:sz w:val="20"/>
                <w:szCs w:val="20"/>
              </w:rPr>
              <w:t xml:space="preserve">Given the operational definition of work engagement as implied by the UWES, we agree with the lead article that </w:t>
            </w:r>
            <w:proofErr w:type="spellStart"/>
            <w:r w:rsidR="00AD391A" w:rsidRPr="00AD391A">
              <w:rPr>
                <w:rFonts w:ascii="Calibri" w:hAnsi="Calibri" w:cs="Calibri"/>
                <w:color w:val="000000"/>
                <w:sz w:val="20"/>
                <w:szCs w:val="20"/>
              </w:rPr>
              <w:t>vigour</w:t>
            </w:r>
            <w:proofErr w:type="spellEnd"/>
            <w:r w:rsidR="00AD391A" w:rsidRPr="00AD391A">
              <w:rPr>
                <w:rFonts w:ascii="Calibri" w:hAnsi="Calibri" w:cs="Calibri"/>
                <w:color w:val="000000"/>
                <w:sz w:val="20"/>
                <w:szCs w:val="20"/>
              </w:rPr>
              <w:t xml:space="preserve"> and dedication constitute its core dimensions.</w:t>
            </w:r>
            <w:r>
              <w:rPr>
                <w:rFonts w:ascii="Calibri" w:hAnsi="Calibri" w:cs="Calibri"/>
                <w:color w:val="000000"/>
                <w:sz w:val="20"/>
                <w:szCs w:val="20"/>
              </w:rPr>
              <w:t>”</w:t>
            </w:r>
          </w:p>
        </w:tc>
      </w:tr>
      <w:tr w:rsidR="00AD391A" w:rsidRPr="00335DC7" w14:paraId="0D5F2903" w14:textId="77777777" w:rsidTr="006D3309">
        <w:tc>
          <w:tcPr>
            <w:tcW w:w="1603" w:type="dxa"/>
            <w:vAlign w:val="bottom"/>
          </w:tcPr>
          <w:p w14:paraId="0A6686AE" w14:textId="5773CD8D" w:rsidR="00AD391A" w:rsidRPr="00335DC7" w:rsidRDefault="00AD391A" w:rsidP="00AD391A">
            <w:pPr>
              <w:rPr>
                <w:sz w:val="20"/>
                <w:szCs w:val="20"/>
              </w:rPr>
            </w:pPr>
            <w:r w:rsidRPr="002A284C">
              <w:rPr>
                <w:rFonts w:ascii="Calibri" w:hAnsi="Calibri" w:cs="Calibri"/>
                <w:color w:val="000000"/>
                <w:sz w:val="20"/>
                <w:szCs w:val="20"/>
              </w:rPr>
              <w:t>Shuck </w:t>
            </w:r>
            <w:r>
              <w:rPr>
                <w:rFonts w:ascii="Calibri" w:hAnsi="Calibri" w:cs="Calibri"/>
                <w:color w:val="000000"/>
                <w:sz w:val="20"/>
                <w:szCs w:val="20"/>
              </w:rPr>
              <w:t>2017</w:t>
            </w:r>
          </w:p>
        </w:tc>
        <w:tc>
          <w:tcPr>
            <w:tcW w:w="7747" w:type="dxa"/>
            <w:vAlign w:val="bottom"/>
          </w:tcPr>
          <w:p w14:paraId="1A496973" w14:textId="76CA0093" w:rsidR="00AD391A" w:rsidRPr="00AD391A" w:rsidRDefault="00AD391A" w:rsidP="00AD391A">
            <w:pPr>
              <w:rPr>
                <w:sz w:val="20"/>
                <w:szCs w:val="20"/>
              </w:rPr>
            </w:pPr>
            <w:r w:rsidRPr="00AD391A">
              <w:rPr>
                <w:rFonts w:ascii="Calibri" w:hAnsi="Calibri" w:cs="Calibri"/>
                <w:color w:val="000000"/>
                <w:sz w:val="20"/>
                <w:szCs w:val="20"/>
              </w:rPr>
              <w:t>a positive, active, work-related psychological state operationalized by the maintenance, intensity, and direction of cognitive, emotional, and behavioral energy. To be sure that we have been as clear as possible, employee engagement is a unique framework. That is our ardent position. Conceptually speaking, it is not synonymous with anything else, nor is it empirically redundant</w:t>
            </w:r>
          </w:p>
        </w:tc>
      </w:tr>
      <w:tr w:rsidR="00AD391A" w:rsidRPr="00335DC7" w14:paraId="3001310A" w14:textId="77777777" w:rsidTr="006D3309">
        <w:tc>
          <w:tcPr>
            <w:tcW w:w="1603" w:type="dxa"/>
            <w:vAlign w:val="bottom"/>
          </w:tcPr>
          <w:p w14:paraId="16B50F77" w14:textId="10A191F6" w:rsidR="00AD391A" w:rsidRPr="00335DC7" w:rsidRDefault="00AD391A" w:rsidP="00AD391A">
            <w:pPr>
              <w:rPr>
                <w:sz w:val="20"/>
                <w:szCs w:val="20"/>
              </w:rPr>
            </w:pPr>
            <w:proofErr w:type="spellStart"/>
            <w:r w:rsidRPr="002A284C">
              <w:rPr>
                <w:rFonts w:ascii="Calibri" w:hAnsi="Calibri" w:cs="Calibri"/>
                <w:color w:val="000000"/>
                <w:sz w:val="20"/>
                <w:szCs w:val="20"/>
              </w:rPr>
              <w:t>Sonnentag</w:t>
            </w:r>
            <w:proofErr w:type="spellEnd"/>
            <w:r w:rsidRPr="002A284C">
              <w:rPr>
                <w:rFonts w:ascii="Calibri" w:hAnsi="Calibri" w:cs="Calibri"/>
                <w:color w:val="000000"/>
                <w:sz w:val="20"/>
                <w:szCs w:val="20"/>
              </w:rPr>
              <w:t> </w:t>
            </w:r>
            <w:r>
              <w:rPr>
                <w:rFonts w:ascii="Calibri" w:hAnsi="Calibri" w:cs="Calibri"/>
                <w:color w:val="000000"/>
                <w:sz w:val="20"/>
                <w:szCs w:val="20"/>
              </w:rPr>
              <w:t>2017</w:t>
            </w:r>
          </w:p>
        </w:tc>
        <w:tc>
          <w:tcPr>
            <w:tcW w:w="7747" w:type="dxa"/>
            <w:vAlign w:val="bottom"/>
          </w:tcPr>
          <w:p w14:paraId="3B1F04A0" w14:textId="4B51E551" w:rsidR="00AD391A" w:rsidRPr="00AD391A" w:rsidRDefault="00AD391A" w:rsidP="00AD391A">
            <w:pPr>
              <w:rPr>
                <w:sz w:val="20"/>
                <w:szCs w:val="20"/>
              </w:rPr>
            </w:pPr>
            <w:r w:rsidRPr="00AD391A">
              <w:rPr>
                <w:rFonts w:ascii="Calibri" w:hAnsi="Calibri" w:cs="Calibri"/>
                <w:color w:val="000000"/>
                <w:sz w:val="20"/>
                <w:szCs w:val="20"/>
              </w:rPr>
              <w:t>the experience of vigor, dedication and absorption</w:t>
            </w:r>
            <w:r w:rsidR="00AA02EF">
              <w:rPr>
                <w:rFonts w:ascii="Calibri" w:hAnsi="Calibri" w:cs="Calibri"/>
                <w:color w:val="000000"/>
                <w:sz w:val="20"/>
                <w:szCs w:val="20"/>
              </w:rPr>
              <w:t xml:space="preserve"> (</w:t>
            </w:r>
            <w:r w:rsidRPr="00AD391A">
              <w:rPr>
                <w:rFonts w:ascii="Calibri" w:hAnsi="Calibri" w:cs="Calibri"/>
                <w:color w:val="000000"/>
                <w:sz w:val="20"/>
                <w:szCs w:val="20"/>
              </w:rPr>
              <w:t>Schaufeli &amp; Bakker, 2004</w:t>
            </w:r>
            <w:r w:rsidR="00AA02EF">
              <w:rPr>
                <w:rFonts w:ascii="Calibri" w:hAnsi="Calibri" w:cs="Calibri"/>
                <w:color w:val="000000"/>
                <w:sz w:val="20"/>
                <w:szCs w:val="20"/>
              </w:rPr>
              <w:t>)</w:t>
            </w:r>
            <w:r w:rsidRPr="00AD391A">
              <w:rPr>
                <w:rFonts w:ascii="Calibri" w:hAnsi="Calibri" w:cs="Calibri"/>
                <w:color w:val="000000"/>
                <w:sz w:val="20"/>
                <w:szCs w:val="20"/>
              </w:rPr>
              <w:t>.</w:t>
            </w:r>
            <w:r w:rsidR="00917D30">
              <w:rPr>
                <w:rFonts w:ascii="Calibri" w:hAnsi="Calibri" w:cs="Calibri"/>
                <w:color w:val="000000"/>
                <w:sz w:val="20"/>
                <w:szCs w:val="20"/>
              </w:rPr>
              <w:t xml:space="preserve"> A</w:t>
            </w:r>
            <w:r w:rsidRPr="00AD391A">
              <w:rPr>
                <w:rFonts w:ascii="Calibri" w:hAnsi="Calibri" w:cs="Calibri"/>
                <w:color w:val="000000"/>
                <w:sz w:val="20"/>
                <w:szCs w:val="20"/>
              </w:rPr>
              <w:t xml:space="preserve"> task-specific approach to work engagement</w:t>
            </w:r>
            <w:r w:rsidR="00917D30">
              <w:rPr>
                <w:rFonts w:ascii="Calibri" w:hAnsi="Calibri" w:cs="Calibri"/>
                <w:color w:val="000000"/>
                <w:sz w:val="20"/>
                <w:szCs w:val="20"/>
              </w:rPr>
              <w:t xml:space="preserve"> </w:t>
            </w:r>
            <w:r w:rsidRPr="00AD391A">
              <w:rPr>
                <w:rFonts w:ascii="Calibri" w:hAnsi="Calibri" w:cs="Calibri"/>
                <w:color w:val="000000"/>
                <w:sz w:val="20"/>
                <w:szCs w:val="20"/>
              </w:rPr>
              <w:t>emphasizes the understanding of engagement as an experience that happens in the process of working, on a day-to-day basis</w:t>
            </w:r>
            <w:r w:rsidR="00917D30">
              <w:rPr>
                <w:rFonts w:ascii="Calibri" w:hAnsi="Calibri" w:cs="Calibri"/>
                <w:color w:val="000000"/>
                <w:sz w:val="20"/>
                <w:szCs w:val="20"/>
              </w:rPr>
              <w:t>.</w:t>
            </w:r>
          </w:p>
        </w:tc>
      </w:tr>
      <w:tr w:rsidR="00AD391A" w:rsidRPr="00335DC7" w14:paraId="39C9BD61" w14:textId="77777777" w:rsidTr="006D3309">
        <w:tc>
          <w:tcPr>
            <w:tcW w:w="1603" w:type="dxa"/>
            <w:vAlign w:val="bottom"/>
          </w:tcPr>
          <w:p w14:paraId="38C307FA" w14:textId="216947E3" w:rsidR="00AD391A" w:rsidRPr="00335DC7" w:rsidRDefault="00AD391A" w:rsidP="00AD391A">
            <w:pPr>
              <w:rPr>
                <w:sz w:val="20"/>
                <w:szCs w:val="20"/>
              </w:rPr>
            </w:pPr>
            <w:r w:rsidRPr="002A284C">
              <w:rPr>
                <w:rFonts w:ascii="Calibri" w:hAnsi="Calibri" w:cs="Calibri"/>
                <w:color w:val="000000"/>
                <w:sz w:val="20"/>
                <w:szCs w:val="20"/>
              </w:rPr>
              <w:t>Welch </w:t>
            </w:r>
            <w:r>
              <w:rPr>
                <w:rFonts w:ascii="Calibri" w:hAnsi="Calibri" w:cs="Calibri"/>
                <w:color w:val="000000"/>
                <w:sz w:val="20"/>
                <w:szCs w:val="20"/>
              </w:rPr>
              <w:t>2011</w:t>
            </w:r>
          </w:p>
        </w:tc>
        <w:tc>
          <w:tcPr>
            <w:tcW w:w="7747" w:type="dxa"/>
            <w:vAlign w:val="bottom"/>
          </w:tcPr>
          <w:p w14:paraId="2D15D644" w14:textId="1FD743EC" w:rsidR="00AD391A" w:rsidRPr="00AD391A" w:rsidRDefault="00AD391A" w:rsidP="00AD391A">
            <w:pPr>
              <w:rPr>
                <w:sz w:val="20"/>
                <w:szCs w:val="20"/>
              </w:rPr>
            </w:pPr>
            <w:r w:rsidRPr="00AD391A">
              <w:rPr>
                <w:rFonts w:ascii="Calibri" w:hAnsi="Calibri" w:cs="Calibri"/>
                <w:color w:val="000000"/>
                <w:sz w:val="20"/>
                <w:szCs w:val="20"/>
              </w:rPr>
              <w:t xml:space="preserve">a dynamic, changeable psychological state which links employees to their </w:t>
            </w:r>
            <w:proofErr w:type="spellStart"/>
            <w:r w:rsidRPr="00AD391A">
              <w:rPr>
                <w:rFonts w:ascii="Calibri" w:hAnsi="Calibri" w:cs="Calibri"/>
                <w:color w:val="000000"/>
                <w:sz w:val="20"/>
                <w:szCs w:val="20"/>
              </w:rPr>
              <w:t>organisations</w:t>
            </w:r>
            <w:proofErr w:type="spellEnd"/>
            <w:r w:rsidRPr="00AD391A">
              <w:rPr>
                <w:rFonts w:ascii="Calibri" w:hAnsi="Calibri" w:cs="Calibri"/>
                <w:color w:val="000000"/>
                <w:sz w:val="20"/>
                <w:szCs w:val="20"/>
              </w:rPr>
              <w:t xml:space="preserve">, manifest in </w:t>
            </w:r>
            <w:proofErr w:type="spellStart"/>
            <w:r w:rsidRPr="00AD391A">
              <w:rPr>
                <w:rFonts w:ascii="Calibri" w:hAnsi="Calibri" w:cs="Calibri"/>
                <w:color w:val="000000"/>
                <w:sz w:val="20"/>
                <w:szCs w:val="20"/>
              </w:rPr>
              <w:t>organisation</w:t>
            </w:r>
            <w:proofErr w:type="spellEnd"/>
            <w:r w:rsidRPr="00AD391A">
              <w:rPr>
                <w:rFonts w:ascii="Calibri" w:hAnsi="Calibri" w:cs="Calibri"/>
                <w:color w:val="000000"/>
                <w:sz w:val="20"/>
                <w:szCs w:val="20"/>
              </w:rPr>
              <w:t xml:space="preserve"> member role performances expressed physically, cognitively and emotionally, and influenced by </w:t>
            </w:r>
            <w:proofErr w:type="spellStart"/>
            <w:r w:rsidRPr="00AD391A">
              <w:rPr>
                <w:rFonts w:ascii="Calibri" w:hAnsi="Calibri" w:cs="Calibri"/>
                <w:color w:val="000000"/>
                <w:sz w:val="20"/>
                <w:szCs w:val="20"/>
              </w:rPr>
              <w:t>organisation</w:t>
            </w:r>
            <w:proofErr w:type="spellEnd"/>
            <w:r w:rsidRPr="00AD391A">
              <w:rPr>
                <w:rFonts w:ascii="Calibri" w:hAnsi="Calibri" w:cs="Calibri"/>
                <w:color w:val="000000"/>
                <w:sz w:val="20"/>
                <w:szCs w:val="20"/>
              </w:rPr>
              <w:t>-level internal communication</w:t>
            </w:r>
          </w:p>
        </w:tc>
      </w:tr>
    </w:tbl>
    <w:p w14:paraId="114DBF8D" w14:textId="77777777" w:rsidR="00DC5B5C" w:rsidRDefault="00DC5B5C" w:rsidP="00DC5B5C"/>
    <w:p w14:paraId="6EBA3184" w14:textId="77777777" w:rsidR="00DC5B5C" w:rsidRDefault="00DC5B5C" w:rsidP="00DC5B5C">
      <w:r>
        <w:t>Digital engagement (n = 8)</w:t>
      </w:r>
    </w:p>
    <w:tbl>
      <w:tblPr>
        <w:tblStyle w:val="TableGrid"/>
        <w:tblW w:w="9586" w:type="dxa"/>
        <w:tblLook w:val="04A0" w:firstRow="1" w:lastRow="0" w:firstColumn="1" w:lastColumn="0" w:noHBand="0" w:noVBand="1"/>
      </w:tblPr>
      <w:tblGrid>
        <w:gridCol w:w="1460"/>
        <w:gridCol w:w="8126"/>
      </w:tblGrid>
      <w:tr w:rsidR="00DC5B5C" w:rsidRPr="00335DC7" w14:paraId="77C6C160" w14:textId="77777777" w:rsidTr="00B4052C">
        <w:tc>
          <w:tcPr>
            <w:tcW w:w="1460" w:type="dxa"/>
          </w:tcPr>
          <w:p w14:paraId="780A7A5E" w14:textId="2317AFE5" w:rsidR="00DC5B5C" w:rsidRPr="00335DC7" w:rsidRDefault="00B63F48" w:rsidP="00942E78">
            <w:pPr>
              <w:rPr>
                <w:b/>
                <w:sz w:val="20"/>
                <w:szCs w:val="20"/>
              </w:rPr>
            </w:pPr>
            <w:r>
              <w:rPr>
                <w:b/>
                <w:sz w:val="20"/>
                <w:szCs w:val="20"/>
              </w:rPr>
              <w:t>Study</w:t>
            </w:r>
          </w:p>
        </w:tc>
        <w:tc>
          <w:tcPr>
            <w:tcW w:w="8126" w:type="dxa"/>
          </w:tcPr>
          <w:p w14:paraId="45054F79" w14:textId="77777777" w:rsidR="00DC5B5C" w:rsidRPr="00335DC7" w:rsidRDefault="00DC5B5C" w:rsidP="00942E78">
            <w:pPr>
              <w:rPr>
                <w:b/>
                <w:sz w:val="20"/>
                <w:szCs w:val="20"/>
              </w:rPr>
            </w:pPr>
            <w:r w:rsidRPr="00335DC7">
              <w:rPr>
                <w:b/>
                <w:sz w:val="20"/>
                <w:szCs w:val="20"/>
              </w:rPr>
              <w:t>Used definition</w:t>
            </w:r>
          </w:p>
        </w:tc>
      </w:tr>
      <w:tr w:rsidR="008D34DF" w:rsidRPr="00335DC7" w14:paraId="39B5779D" w14:textId="77777777" w:rsidTr="00B4052C">
        <w:tc>
          <w:tcPr>
            <w:tcW w:w="1460" w:type="dxa"/>
          </w:tcPr>
          <w:p w14:paraId="1EF579B6" w14:textId="1A1D276F" w:rsidR="008D34DF" w:rsidRPr="00335DC7" w:rsidRDefault="008D34DF" w:rsidP="008D34DF">
            <w:pPr>
              <w:rPr>
                <w:sz w:val="20"/>
                <w:szCs w:val="20"/>
              </w:rPr>
            </w:pPr>
            <w:r w:rsidRPr="00335DC7">
              <w:rPr>
                <w:sz w:val="20"/>
                <w:szCs w:val="20"/>
              </w:rPr>
              <w:t>Bouvier 2014</w:t>
            </w:r>
          </w:p>
        </w:tc>
        <w:tc>
          <w:tcPr>
            <w:tcW w:w="8126" w:type="dxa"/>
            <w:vAlign w:val="bottom"/>
          </w:tcPr>
          <w:p w14:paraId="4A4AFC14" w14:textId="0C78C7CE" w:rsidR="008D34DF" w:rsidRPr="00335DC7" w:rsidRDefault="008D34DF" w:rsidP="008D34DF">
            <w:pPr>
              <w:rPr>
                <w:sz w:val="20"/>
                <w:szCs w:val="20"/>
              </w:rPr>
            </w:pPr>
            <w:r w:rsidRPr="00335DC7">
              <w:rPr>
                <w:rFonts w:ascii="Calibri" w:eastAsia="Times New Roman" w:hAnsi="Calibri" w:cs="Calibri"/>
                <w:color w:val="000000"/>
                <w:sz w:val="20"/>
                <w:szCs w:val="20"/>
                <w:lang w:eastAsia="nl-NL"/>
              </w:rPr>
              <w:t>The willingness to have emotions, affect and thoughts directed towards and aroused by the mediated activity in order to achieve a specific objective</w:t>
            </w:r>
            <w:r w:rsidR="005B2E31">
              <w:rPr>
                <w:rFonts w:ascii="Calibri" w:eastAsia="Times New Roman" w:hAnsi="Calibri" w:cs="Calibri"/>
                <w:color w:val="000000"/>
                <w:sz w:val="20"/>
                <w:szCs w:val="20"/>
                <w:lang w:eastAsia="nl-NL"/>
              </w:rPr>
              <w:t xml:space="preserve"> which is categorized by</w:t>
            </w:r>
            <w:r w:rsidR="005B2E31">
              <w:t xml:space="preserve"> </w:t>
            </w:r>
            <w:r w:rsidR="005B2E31" w:rsidRPr="005B2E31">
              <w:rPr>
                <w:rFonts w:ascii="Calibri" w:eastAsia="Times New Roman" w:hAnsi="Calibri" w:cs="Calibri"/>
                <w:color w:val="000000"/>
                <w:sz w:val="20"/>
                <w:szCs w:val="20"/>
                <w:lang w:eastAsia="nl-NL"/>
              </w:rPr>
              <w:t>environmental</w:t>
            </w:r>
            <w:r w:rsidR="005B2E31">
              <w:rPr>
                <w:rFonts w:ascii="Calibri" w:eastAsia="Times New Roman" w:hAnsi="Calibri" w:cs="Calibri"/>
                <w:color w:val="000000"/>
                <w:sz w:val="20"/>
                <w:szCs w:val="20"/>
                <w:lang w:eastAsia="nl-NL"/>
              </w:rPr>
              <w:t>-</w:t>
            </w:r>
            <w:r w:rsidR="005B2E31" w:rsidRPr="005B2E31">
              <w:rPr>
                <w:rFonts w:ascii="Calibri" w:eastAsia="Times New Roman" w:hAnsi="Calibri" w:cs="Calibri"/>
                <w:color w:val="000000"/>
                <w:sz w:val="20"/>
                <w:szCs w:val="20"/>
                <w:lang w:eastAsia="nl-NL"/>
              </w:rPr>
              <w:t>, social</w:t>
            </w:r>
            <w:r w:rsidR="005B2E31">
              <w:rPr>
                <w:rFonts w:ascii="Calibri" w:eastAsia="Times New Roman" w:hAnsi="Calibri" w:cs="Calibri"/>
                <w:color w:val="000000"/>
                <w:sz w:val="20"/>
                <w:szCs w:val="20"/>
                <w:lang w:eastAsia="nl-NL"/>
              </w:rPr>
              <w:t>-</w:t>
            </w:r>
            <w:r w:rsidR="005B2E31" w:rsidRPr="005B2E31">
              <w:rPr>
                <w:rFonts w:ascii="Calibri" w:eastAsia="Times New Roman" w:hAnsi="Calibri" w:cs="Calibri"/>
                <w:color w:val="000000"/>
                <w:sz w:val="20"/>
                <w:szCs w:val="20"/>
                <w:lang w:eastAsia="nl-NL"/>
              </w:rPr>
              <w:t>, self and action</w:t>
            </w:r>
            <w:r w:rsidR="005B2E31">
              <w:rPr>
                <w:rFonts w:ascii="Calibri" w:eastAsia="Times New Roman" w:hAnsi="Calibri" w:cs="Calibri"/>
                <w:color w:val="000000"/>
                <w:sz w:val="20"/>
                <w:szCs w:val="20"/>
                <w:lang w:eastAsia="nl-NL"/>
              </w:rPr>
              <w:t>- engagement.</w:t>
            </w:r>
          </w:p>
        </w:tc>
      </w:tr>
      <w:tr w:rsidR="008D34DF" w:rsidRPr="00335DC7" w14:paraId="7597AF36" w14:textId="77777777" w:rsidTr="00B4052C">
        <w:tc>
          <w:tcPr>
            <w:tcW w:w="1460" w:type="dxa"/>
          </w:tcPr>
          <w:p w14:paraId="01BA8E8B" w14:textId="6B7E8DE9" w:rsidR="008D34DF" w:rsidRPr="00335DC7" w:rsidRDefault="008D34DF" w:rsidP="008D34DF">
            <w:pPr>
              <w:rPr>
                <w:sz w:val="20"/>
                <w:szCs w:val="20"/>
              </w:rPr>
            </w:pPr>
            <w:r w:rsidRPr="00335DC7">
              <w:rPr>
                <w:sz w:val="20"/>
                <w:szCs w:val="20"/>
              </w:rPr>
              <w:t>Doherty 2018</w:t>
            </w:r>
          </w:p>
        </w:tc>
        <w:tc>
          <w:tcPr>
            <w:tcW w:w="8126" w:type="dxa"/>
            <w:vAlign w:val="bottom"/>
          </w:tcPr>
          <w:p w14:paraId="6CFB0910" w14:textId="541A836F" w:rsidR="008D34DF" w:rsidRPr="00335DC7" w:rsidRDefault="003B536B" w:rsidP="008D34DF">
            <w:pPr>
              <w:rPr>
                <w:sz w:val="20"/>
                <w:szCs w:val="20"/>
              </w:rPr>
            </w:pPr>
            <w:r w:rsidRPr="00335DC7">
              <w:rPr>
                <w:sz w:val="20"/>
                <w:szCs w:val="20"/>
              </w:rPr>
              <w:t>No specific definition used</w:t>
            </w:r>
          </w:p>
        </w:tc>
      </w:tr>
      <w:tr w:rsidR="008D34DF" w:rsidRPr="00335DC7" w14:paraId="3B301A57" w14:textId="77777777" w:rsidTr="00B4052C">
        <w:tc>
          <w:tcPr>
            <w:tcW w:w="1460" w:type="dxa"/>
          </w:tcPr>
          <w:p w14:paraId="572999E2" w14:textId="71171383" w:rsidR="008D34DF" w:rsidRPr="00335DC7" w:rsidRDefault="008D34DF" w:rsidP="008D34DF">
            <w:pPr>
              <w:rPr>
                <w:sz w:val="20"/>
                <w:szCs w:val="20"/>
              </w:rPr>
            </w:pPr>
            <w:proofErr w:type="spellStart"/>
            <w:r w:rsidRPr="00335DC7">
              <w:rPr>
                <w:sz w:val="20"/>
                <w:szCs w:val="20"/>
              </w:rPr>
              <w:t>Dreijing</w:t>
            </w:r>
            <w:proofErr w:type="spellEnd"/>
            <w:r w:rsidRPr="00335DC7">
              <w:rPr>
                <w:sz w:val="20"/>
                <w:szCs w:val="20"/>
              </w:rPr>
              <w:t xml:space="preserve"> 2015</w:t>
            </w:r>
          </w:p>
        </w:tc>
        <w:tc>
          <w:tcPr>
            <w:tcW w:w="8126" w:type="dxa"/>
            <w:vAlign w:val="bottom"/>
          </w:tcPr>
          <w:p w14:paraId="72016943" w14:textId="4A2AA4DA" w:rsidR="008D34DF" w:rsidRPr="00335DC7" w:rsidRDefault="008D34DF" w:rsidP="008D34DF">
            <w:pPr>
              <w:rPr>
                <w:sz w:val="20"/>
                <w:szCs w:val="20"/>
              </w:rPr>
            </w:pPr>
            <w:r w:rsidRPr="00335DC7">
              <w:rPr>
                <w:rFonts w:ascii="Calibri" w:eastAsia="Times New Roman" w:hAnsi="Calibri" w:cs="Calibri"/>
                <w:color w:val="000000"/>
                <w:sz w:val="20"/>
                <w:szCs w:val="20"/>
                <w:lang w:eastAsia="nl-NL"/>
              </w:rPr>
              <w:t>The magnitude of an intrinsically motivated behavior that is initiated by an organism to reach a specific goal.</w:t>
            </w:r>
          </w:p>
        </w:tc>
      </w:tr>
      <w:tr w:rsidR="008D34DF" w:rsidRPr="00335DC7" w14:paraId="317717EF" w14:textId="77777777" w:rsidTr="00B4052C">
        <w:tc>
          <w:tcPr>
            <w:tcW w:w="1460" w:type="dxa"/>
          </w:tcPr>
          <w:p w14:paraId="3F6F3DC4" w14:textId="1D5469C6" w:rsidR="008D34DF" w:rsidRPr="00335DC7" w:rsidRDefault="008D34DF" w:rsidP="008D34DF">
            <w:pPr>
              <w:rPr>
                <w:sz w:val="20"/>
                <w:szCs w:val="20"/>
              </w:rPr>
            </w:pPr>
            <w:proofErr w:type="spellStart"/>
            <w:r w:rsidRPr="00335DC7">
              <w:rPr>
                <w:sz w:val="20"/>
                <w:szCs w:val="20"/>
              </w:rPr>
              <w:t>Kappelman</w:t>
            </w:r>
            <w:proofErr w:type="spellEnd"/>
            <w:r w:rsidRPr="00335DC7">
              <w:rPr>
                <w:sz w:val="20"/>
                <w:szCs w:val="20"/>
              </w:rPr>
              <w:t xml:space="preserve"> 1994</w:t>
            </w:r>
          </w:p>
        </w:tc>
        <w:tc>
          <w:tcPr>
            <w:tcW w:w="8126" w:type="dxa"/>
            <w:vAlign w:val="bottom"/>
          </w:tcPr>
          <w:p w14:paraId="29A170F4" w14:textId="6DAAA159" w:rsidR="008D34DF" w:rsidRPr="00335DC7" w:rsidRDefault="008D34DF" w:rsidP="008D34DF">
            <w:pPr>
              <w:rPr>
                <w:sz w:val="20"/>
                <w:szCs w:val="20"/>
              </w:rPr>
            </w:pPr>
            <w:r w:rsidRPr="00335DC7">
              <w:rPr>
                <w:rFonts w:ascii="Calibri" w:eastAsia="Times New Roman" w:hAnsi="Calibri" w:cs="Calibri"/>
                <w:color w:val="000000"/>
                <w:sz w:val="20"/>
                <w:szCs w:val="20"/>
                <w:lang w:eastAsia="nl-NL"/>
              </w:rPr>
              <w:t>The total set of user relationships toward information systems and their development, implementation and use.</w:t>
            </w:r>
          </w:p>
        </w:tc>
      </w:tr>
      <w:tr w:rsidR="008D34DF" w:rsidRPr="00335DC7" w14:paraId="016F311D" w14:textId="77777777" w:rsidTr="00B4052C">
        <w:tc>
          <w:tcPr>
            <w:tcW w:w="1460" w:type="dxa"/>
          </w:tcPr>
          <w:p w14:paraId="40DDF6C1" w14:textId="4A6A9B09" w:rsidR="008D34DF" w:rsidRPr="00335DC7" w:rsidRDefault="008D34DF" w:rsidP="008D34DF">
            <w:pPr>
              <w:rPr>
                <w:sz w:val="20"/>
                <w:szCs w:val="20"/>
              </w:rPr>
            </w:pPr>
            <w:proofErr w:type="spellStart"/>
            <w:r w:rsidRPr="00335DC7">
              <w:rPr>
                <w:sz w:val="20"/>
                <w:szCs w:val="20"/>
              </w:rPr>
              <w:t>Ke</w:t>
            </w:r>
            <w:proofErr w:type="spellEnd"/>
            <w:r w:rsidRPr="00335DC7">
              <w:rPr>
                <w:sz w:val="20"/>
                <w:szCs w:val="20"/>
              </w:rPr>
              <w:t xml:space="preserve"> 2016</w:t>
            </w:r>
          </w:p>
        </w:tc>
        <w:tc>
          <w:tcPr>
            <w:tcW w:w="8126" w:type="dxa"/>
            <w:vAlign w:val="bottom"/>
          </w:tcPr>
          <w:p w14:paraId="1E50162B" w14:textId="46379764" w:rsidR="008D34DF" w:rsidRPr="00335DC7" w:rsidRDefault="008D34DF" w:rsidP="008D34DF">
            <w:pPr>
              <w:rPr>
                <w:sz w:val="20"/>
                <w:szCs w:val="20"/>
              </w:rPr>
            </w:pPr>
            <w:r w:rsidRPr="00335DC7">
              <w:rPr>
                <w:rFonts w:ascii="Calibri" w:eastAsia="Times New Roman" w:hAnsi="Calibri" w:cs="Calibri"/>
                <w:color w:val="000000"/>
                <w:sz w:val="20"/>
                <w:szCs w:val="20"/>
                <w:lang w:eastAsia="nl-NL"/>
              </w:rPr>
              <w:t>An integrated and continuing process that advance from affective involvement, cognitive engagement, to content engagement, and a dynamic state that reflects the connection between players and their gaming environment</w:t>
            </w:r>
            <w:r w:rsidR="00B4052C" w:rsidRPr="00335DC7">
              <w:rPr>
                <w:rFonts w:ascii="Calibri" w:eastAsia="Times New Roman" w:hAnsi="Calibri" w:cs="Calibri"/>
                <w:color w:val="000000"/>
                <w:sz w:val="20"/>
                <w:szCs w:val="20"/>
                <w:lang w:eastAsia="nl-NL"/>
              </w:rPr>
              <w:t>.</w:t>
            </w:r>
          </w:p>
        </w:tc>
      </w:tr>
      <w:tr w:rsidR="008D34DF" w:rsidRPr="00335DC7" w14:paraId="5F539314" w14:textId="77777777" w:rsidTr="00B4052C">
        <w:tc>
          <w:tcPr>
            <w:tcW w:w="1460" w:type="dxa"/>
          </w:tcPr>
          <w:p w14:paraId="3250330C" w14:textId="76CA7465" w:rsidR="008D34DF" w:rsidRPr="00335DC7" w:rsidRDefault="008D34DF" w:rsidP="008D34DF">
            <w:pPr>
              <w:rPr>
                <w:sz w:val="20"/>
                <w:szCs w:val="20"/>
              </w:rPr>
            </w:pPr>
            <w:r w:rsidRPr="00335DC7">
              <w:rPr>
                <w:sz w:val="20"/>
                <w:szCs w:val="20"/>
              </w:rPr>
              <w:t>O’Brien 2008</w:t>
            </w:r>
          </w:p>
        </w:tc>
        <w:tc>
          <w:tcPr>
            <w:tcW w:w="8126" w:type="dxa"/>
            <w:vAlign w:val="bottom"/>
          </w:tcPr>
          <w:p w14:paraId="49C32AF3" w14:textId="28A111E0" w:rsidR="008D34DF" w:rsidRPr="00335DC7" w:rsidRDefault="008D34DF" w:rsidP="008D34DF">
            <w:pPr>
              <w:rPr>
                <w:rFonts w:ascii="Calibri" w:eastAsia="Times New Roman" w:hAnsi="Calibri" w:cs="Calibri"/>
                <w:color w:val="000000"/>
                <w:sz w:val="20"/>
                <w:szCs w:val="20"/>
                <w:lang w:eastAsia="nl-NL"/>
              </w:rPr>
            </w:pPr>
            <w:r w:rsidRPr="00335DC7">
              <w:rPr>
                <w:rFonts w:ascii="Calibri" w:eastAsia="Times New Roman" w:hAnsi="Calibri" w:cs="Calibri"/>
                <w:color w:val="000000"/>
                <w:sz w:val="20"/>
                <w:szCs w:val="20"/>
                <w:lang w:eastAsia="nl-NL"/>
              </w:rPr>
              <w:t>A quality of user experience characterized by attributes of challenge, positive affect, endurability, aesthetic and sensory appeal, attention, feedback, variety/novelty, interactivity, and perceived user control</w:t>
            </w:r>
            <w:r w:rsidR="00B4052C" w:rsidRPr="00335DC7">
              <w:rPr>
                <w:rFonts w:ascii="Calibri" w:eastAsia="Times New Roman" w:hAnsi="Calibri" w:cs="Calibri"/>
                <w:color w:val="000000"/>
                <w:sz w:val="20"/>
                <w:szCs w:val="20"/>
                <w:lang w:eastAsia="nl-NL"/>
              </w:rPr>
              <w:t>.</w:t>
            </w:r>
          </w:p>
        </w:tc>
      </w:tr>
      <w:tr w:rsidR="008D34DF" w:rsidRPr="00335DC7" w14:paraId="1A8F5BE6" w14:textId="77777777" w:rsidTr="00B4052C">
        <w:tc>
          <w:tcPr>
            <w:tcW w:w="1460" w:type="dxa"/>
          </w:tcPr>
          <w:p w14:paraId="2BEC6A07" w14:textId="4FE03582" w:rsidR="008D34DF" w:rsidRPr="00335DC7" w:rsidRDefault="008D34DF" w:rsidP="008D34DF">
            <w:pPr>
              <w:rPr>
                <w:sz w:val="20"/>
                <w:szCs w:val="20"/>
              </w:rPr>
            </w:pPr>
            <w:proofErr w:type="spellStart"/>
            <w:r w:rsidRPr="00335DC7">
              <w:rPr>
                <w:sz w:val="20"/>
                <w:szCs w:val="20"/>
              </w:rPr>
              <w:t>Perski</w:t>
            </w:r>
            <w:proofErr w:type="spellEnd"/>
            <w:r w:rsidRPr="00335DC7">
              <w:rPr>
                <w:sz w:val="20"/>
                <w:szCs w:val="20"/>
              </w:rPr>
              <w:t xml:space="preserve"> 2017</w:t>
            </w:r>
          </w:p>
        </w:tc>
        <w:tc>
          <w:tcPr>
            <w:tcW w:w="8126" w:type="dxa"/>
            <w:vAlign w:val="bottom"/>
          </w:tcPr>
          <w:p w14:paraId="27AC5D98" w14:textId="463264CC" w:rsidR="008D34DF" w:rsidRPr="00335DC7" w:rsidRDefault="008D34DF" w:rsidP="008D34DF">
            <w:pPr>
              <w:rPr>
                <w:rFonts w:ascii="Calibri" w:eastAsia="Times New Roman" w:hAnsi="Calibri" w:cs="Calibri"/>
                <w:color w:val="000000"/>
                <w:sz w:val="20"/>
                <w:szCs w:val="20"/>
                <w:lang w:eastAsia="nl-NL"/>
              </w:rPr>
            </w:pPr>
            <w:r w:rsidRPr="00335DC7">
              <w:rPr>
                <w:rFonts w:ascii="Calibri" w:eastAsia="Times New Roman" w:hAnsi="Calibri" w:cs="Calibri"/>
                <w:color w:val="000000"/>
                <w:sz w:val="20"/>
                <w:szCs w:val="20"/>
                <w:lang w:eastAsia="nl-NL"/>
              </w:rPr>
              <w:t>(1) the extent (e.g. amount, frequency, duration, depth) of usage and (2) a subjective experience characteri</w:t>
            </w:r>
            <w:r w:rsidR="00B4052C" w:rsidRPr="00335DC7">
              <w:rPr>
                <w:rFonts w:ascii="Calibri" w:eastAsia="Times New Roman" w:hAnsi="Calibri" w:cs="Calibri"/>
                <w:color w:val="000000"/>
                <w:sz w:val="20"/>
                <w:szCs w:val="20"/>
                <w:lang w:eastAsia="nl-NL"/>
              </w:rPr>
              <w:t>z</w:t>
            </w:r>
            <w:r w:rsidRPr="00335DC7">
              <w:rPr>
                <w:rFonts w:ascii="Calibri" w:eastAsia="Times New Roman" w:hAnsi="Calibri" w:cs="Calibri"/>
                <w:color w:val="000000"/>
                <w:sz w:val="20"/>
                <w:szCs w:val="20"/>
                <w:lang w:eastAsia="nl-NL"/>
              </w:rPr>
              <w:t>ed by attention, interest and affect</w:t>
            </w:r>
            <w:r w:rsidR="00B4052C" w:rsidRPr="00335DC7">
              <w:rPr>
                <w:rFonts w:ascii="Calibri" w:eastAsia="Times New Roman" w:hAnsi="Calibri" w:cs="Calibri"/>
                <w:color w:val="000000"/>
                <w:sz w:val="20"/>
                <w:szCs w:val="20"/>
                <w:lang w:eastAsia="nl-NL"/>
              </w:rPr>
              <w:t>.</w:t>
            </w:r>
          </w:p>
        </w:tc>
      </w:tr>
      <w:tr w:rsidR="008D34DF" w:rsidRPr="00335DC7" w14:paraId="42A7F815" w14:textId="77777777" w:rsidTr="00B4052C">
        <w:tc>
          <w:tcPr>
            <w:tcW w:w="1460" w:type="dxa"/>
          </w:tcPr>
          <w:p w14:paraId="38CE40EC" w14:textId="40E523AE" w:rsidR="008D34DF" w:rsidRPr="00335DC7" w:rsidRDefault="008D34DF" w:rsidP="008D34DF">
            <w:pPr>
              <w:rPr>
                <w:sz w:val="20"/>
                <w:szCs w:val="20"/>
              </w:rPr>
            </w:pPr>
            <w:r w:rsidRPr="00335DC7">
              <w:rPr>
                <w:sz w:val="20"/>
                <w:szCs w:val="20"/>
              </w:rPr>
              <w:t>Philips 2014</w:t>
            </w:r>
          </w:p>
        </w:tc>
        <w:tc>
          <w:tcPr>
            <w:tcW w:w="8126" w:type="dxa"/>
            <w:vAlign w:val="bottom"/>
          </w:tcPr>
          <w:p w14:paraId="5B9D7540" w14:textId="1430A11A" w:rsidR="008D34DF" w:rsidRPr="00335DC7" w:rsidRDefault="00B4052C" w:rsidP="008D34DF">
            <w:pPr>
              <w:rPr>
                <w:rFonts w:ascii="Calibri" w:eastAsia="Times New Roman" w:hAnsi="Calibri" w:cs="Calibri"/>
                <w:color w:val="000000"/>
                <w:sz w:val="20"/>
                <w:szCs w:val="20"/>
                <w:lang w:eastAsia="nl-NL"/>
              </w:rPr>
            </w:pPr>
            <w:r w:rsidRPr="00335DC7">
              <w:rPr>
                <w:rFonts w:ascii="Calibri" w:eastAsia="Times New Roman" w:hAnsi="Calibri" w:cs="Calibri"/>
                <w:color w:val="000000"/>
                <w:sz w:val="20"/>
                <w:szCs w:val="20"/>
                <w:lang w:eastAsia="nl-NL"/>
              </w:rPr>
              <w:t>B</w:t>
            </w:r>
            <w:r w:rsidR="008D34DF" w:rsidRPr="00335DC7">
              <w:rPr>
                <w:rFonts w:ascii="Calibri" w:eastAsia="Times New Roman" w:hAnsi="Calibri" w:cs="Calibri"/>
                <w:color w:val="000000"/>
                <w:sz w:val="20"/>
                <w:szCs w:val="20"/>
                <w:lang w:eastAsia="nl-NL"/>
              </w:rPr>
              <w:t>eing viewed along three axes: behavioral, cognitive, and affective</w:t>
            </w:r>
            <w:r w:rsidRPr="00335DC7">
              <w:rPr>
                <w:rFonts w:ascii="Calibri" w:eastAsia="Times New Roman" w:hAnsi="Calibri" w:cs="Calibri"/>
                <w:color w:val="000000"/>
                <w:sz w:val="20"/>
                <w:szCs w:val="20"/>
                <w:lang w:eastAsia="nl-NL"/>
              </w:rPr>
              <w:t>.</w:t>
            </w:r>
          </w:p>
        </w:tc>
      </w:tr>
    </w:tbl>
    <w:p w14:paraId="21BBCF92" w14:textId="77777777" w:rsidR="00DC5B5C" w:rsidRDefault="00DC5B5C" w:rsidP="00DC5B5C"/>
    <w:p w14:paraId="3D16EA0F" w14:textId="77777777" w:rsidR="00DC5B5C" w:rsidRDefault="00DC5B5C" w:rsidP="00DC5B5C">
      <w:r>
        <w:t>General engagement (n = 1)</w:t>
      </w:r>
    </w:p>
    <w:tbl>
      <w:tblPr>
        <w:tblStyle w:val="TableGrid"/>
        <w:tblW w:w="0" w:type="auto"/>
        <w:tblLook w:val="04A0" w:firstRow="1" w:lastRow="0" w:firstColumn="1" w:lastColumn="0" w:noHBand="0" w:noVBand="1"/>
      </w:tblPr>
      <w:tblGrid>
        <w:gridCol w:w="1422"/>
        <w:gridCol w:w="7928"/>
      </w:tblGrid>
      <w:tr w:rsidR="00DC5B5C" w:rsidRPr="00335DC7" w14:paraId="04F09CCF" w14:textId="77777777" w:rsidTr="001546B0">
        <w:tc>
          <w:tcPr>
            <w:tcW w:w="1422" w:type="dxa"/>
          </w:tcPr>
          <w:p w14:paraId="331E1482" w14:textId="14E57B86" w:rsidR="00DC5B5C" w:rsidRPr="00335DC7" w:rsidRDefault="00B63F48" w:rsidP="00942E78">
            <w:pPr>
              <w:rPr>
                <w:b/>
                <w:sz w:val="20"/>
                <w:szCs w:val="20"/>
              </w:rPr>
            </w:pPr>
            <w:r>
              <w:rPr>
                <w:b/>
                <w:sz w:val="20"/>
                <w:szCs w:val="20"/>
              </w:rPr>
              <w:t>Study</w:t>
            </w:r>
          </w:p>
        </w:tc>
        <w:tc>
          <w:tcPr>
            <w:tcW w:w="7928" w:type="dxa"/>
          </w:tcPr>
          <w:p w14:paraId="2405934C" w14:textId="77777777" w:rsidR="00DC5B5C" w:rsidRPr="00335DC7" w:rsidRDefault="00DC5B5C" w:rsidP="00942E78">
            <w:pPr>
              <w:rPr>
                <w:b/>
                <w:sz w:val="20"/>
                <w:szCs w:val="20"/>
              </w:rPr>
            </w:pPr>
            <w:r w:rsidRPr="00335DC7">
              <w:rPr>
                <w:b/>
                <w:sz w:val="20"/>
                <w:szCs w:val="20"/>
              </w:rPr>
              <w:t>Used definition</w:t>
            </w:r>
          </w:p>
        </w:tc>
      </w:tr>
      <w:tr w:rsidR="00DC5B5C" w:rsidRPr="00335DC7" w14:paraId="0DBB552B" w14:textId="77777777" w:rsidTr="001546B0">
        <w:tc>
          <w:tcPr>
            <w:tcW w:w="1422" w:type="dxa"/>
          </w:tcPr>
          <w:p w14:paraId="1DBC6EA5" w14:textId="2F34A5E9" w:rsidR="00DC5B5C" w:rsidRPr="00335DC7" w:rsidRDefault="001546B0" w:rsidP="00942E78">
            <w:pPr>
              <w:rPr>
                <w:sz w:val="20"/>
                <w:szCs w:val="20"/>
              </w:rPr>
            </w:pPr>
            <w:proofErr w:type="spellStart"/>
            <w:r w:rsidRPr="00E2192E">
              <w:rPr>
                <w:sz w:val="20"/>
                <w:szCs w:val="20"/>
              </w:rPr>
              <w:t>Graffigna</w:t>
            </w:r>
            <w:proofErr w:type="spellEnd"/>
            <w:r w:rsidRPr="00E2192E">
              <w:rPr>
                <w:sz w:val="20"/>
                <w:szCs w:val="20"/>
              </w:rPr>
              <w:t> </w:t>
            </w:r>
            <w:r>
              <w:rPr>
                <w:sz w:val="20"/>
                <w:szCs w:val="20"/>
              </w:rPr>
              <w:t>2017</w:t>
            </w:r>
          </w:p>
        </w:tc>
        <w:tc>
          <w:tcPr>
            <w:tcW w:w="7928" w:type="dxa"/>
          </w:tcPr>
          <w:p w14:paraId="60ED6151" w14:textId="1A1A9FF1" w:rsidR="00DC5B5C" w:rsidRPr="00335DC7" w:rsidRDefault="00B878B0" w:rsidP="00B878B0">
            <w:pPr>
              <w:rPr>
                <w:sz w:val="20"/>
                <w:szCs w:val="20"/>
              </w:rPr>
            </w:pPr>
            <w:r>
              <w:rPr>
                <w:sz w:val="20"/>
                <w:szCs w:val="20"/>
              </w:rPr>
              <w:t>Unclear, but: t</w:t>
            </w:r>
            <w:r w:rsidRPr="00B878B0">
              <w:rPr>
                <w:sz w:val="20"/>
                <w:szCs w:val="20"/>
              </w:rPr>
              <w:t>he analysis cast light on the following areas of conceptual overlap among employee, consumer and patient engagement: (1) engagement is different from empowerment and activation; (2) engagement is a</w:t>
            </w:r>
            <w:r>
              <w:rPr>
                <w:sz w:val="20"/>
                <w:szCs w:val="20"/>
              </w:rPr>
              <w:t xml:space="preserve"> </w:t>
            </w:r>
            <w:r w:rsidRPr="00B878B0">
              <w:rPr>
                <w:sz w:val="20"/>
                <w:szCs w:val="20"/>
              </w:rPr>
              <w:t>multi-componential psychological experience; (3) engagement is a self-transformative experience; (4) engagement develops within a relational context;</w:t>
            </w:r>
            <w:r w:rsidR="005B2E31">
              <w:rPr>
                <w:sz w:val="20"/>
                <w:szCs w:val="20"/>
              </w:rPr>
              <w:t xml:space="preserve"> and</w:t>
            </w:r>
            <w:r w:rsidRPr="00B878B0">
              <w:rPr>
                <w:sz w:val="20"/>
                <w:szCs w:val="20"/>
              </w:rPr>
              <w:t xml:space="preserve"> (5) engagement is a systemic phenomenon. </w:t>
            </w:r>
          </w:p>
        </w:tc>
      </w:tr>
    </w:tbl>
    <w:p w14:paraId="346AC619" w14:textId="77777777" w:rsidR="00DC5B5C" w:rsidRDefault="00DC5B5C" w:rsidP="00DC5B5C"/>
    <w:sectPr w:rsidR="00DC5B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5C"/>
    <w:rsid w:val="00030436"/>
    <w:rsid w:val="00060854"/>
    <w:rsid w:val="0011105B"/>
    <w:rsid w:val="001347BC"/>
    <w:rsid w:val="001546B0"/>
    <w:rsid w:val="001A047A"/>
    <w:rsid w:val="001A16AD"/>
    <w:rsid w:val="001F3A24"/>
    <w:rsid w:val="002072DE"/>
    <w:rsid w:val="00214DC9"/>
    <w:rsid w:val="0028756C"/>
    <w:rsid w:val="002D78AE"/>
    <w:rsid w:val="00335264"/>
    <w:rsid w:val="00335DC7"/>
    <w:rsid w:val="003374B3"/>
    <w:rsid w:val="00340F43"/>
    <w:rsid w:val="003665EC"/>
    <w:rsid w:val="003B536B"/>
    <w:rsid w:val="003D61AC"/>
    <w:rsid w:val="003F010C"/>
    <w:rsid w:val="00416B2B"/>
    <w:rsid w:val="00445C7F"/>
    <w:rsid w:val="00471570"/>
    <w:rsid w:val="004C25F7"/>
    <w:rsid w:val="004E01C0"/>
    <w:rsid w:val="005251D6"/>
    <w:rsid w:val="0052752E"/>
    <w:rsid w:val="005A3EAB"/>
    <w:rsid w:val="005B2E31"/>
    <w:rsid w:val="00650856"/>
    <w:rsid w:val="006D2577"/>
    <w:rsid w:val="00754BC3"/>
    <w:rsid w:val="00760C5F"/>
    <w:rsid w:val="007632D1"/>
    <w:rsid w:val="007B6703"/>
    <w:rsid w:val="007D39DE"/>
    <w:rsid w:val="007F0FD3"/>
    <w:rsid w:val="00800E59"/>
    <w:rsid w:val="008C00BC"/>
    <w:rsid w:val="008D34DF"/>
    <w:rsid w:val="00900E6E"/>
    <w:rsid w:val="00905392"/>
    <w:rsid w:val="00917D30"/>
    <w:rsid w:val="009276E1"/>
    <w:rsid w:val="00954AC5"/>
    <w:rsid w:val="00A51532"/>
    <w:rsid w:val="00A52E20"/>
    <w:rsid w:val="00A65D11"/>
    <w:rsid w:val="00A92D55"/>
    <w:rsid w:val="00AA02EF"/>
    <w:rsid w:val="00AD391A"/>
    <w:rsid w:val="00B2482A"/>
    <w:rsid w:val="00B4052C"/>
    <w:rsid w:val="00B53901"/>
    <w:rsid w:val="00B63F48"/>
    <w:rsid w:val="00B878B0"/>
    <w:rsid w:val="00BA44F0"/>
    <w:rsid w:val="00BE164E"/>
    <w:rsid w:val="00C02F61"/>
    <w:rsid w:val="00C361AF"/>
    <w:rsid w:val="00C7701B"/>
    <w:rsid w:val="00D2485E"/>
    <w:rsid w:val="00D3705B"/>
    <w:rsid w:val="00D90C82"/>
    <w:rsid w:val="00DC5B5C"/>
    <w:rsid w:val="00DF1797"/>
    <w:rsid w:val="00DF56E7"/>
    <w:rsid w:val="00E3076C"/>
    <w:rsid w:val="00E36FE6"/>
    <w:rsid w:val="00E74A68"/>
    <w:rsid w:val="00EA26EC"/>
    <w:rsid w:val="00ED4F3F"/>
    <w:rsid w:val="00EF0BFA"/>
    <w:rsid w:val="00F22BDE"/>
    <w:rsid w:val="00F31DA8"/>
    <w:rsid w:val="00F37AFC"/>
    <w:rsid w:val="00F8302B"/>
    <w:rsid w:val="00FC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651D"/>
  <w15:chartTrackingRefBased/>
  <w15:docId w15:val="{5BCBCF56-9DE8-4259-8E74-F7C366D5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5B5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30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76C"/>
    <w:rPr>
      <w:rFonts w:ascii="Segoe UI" w:hAnsi="Segoe UI" w:cs="Segoe UI"/>
      <w:sz w:val="18"/>
      <w:szCs w:val="18"/>
    </w:rPr>
  </w:style>
  <w:style w:type="character" w:styleId="CommentReference">
    <w:name w:val="annotation reference"/>
    <w:basedOn w:val="DefaultParagraphFont"/>
    <w:uiPriority w:val="99"/>
    <w:semiHidden/>
    <w:unhideWhenUsed/>
    <w:rsid w:val="00D3705B"/>
    <w:rPr>
      <w:sz w:val="16"/>
      <w:szCs w:val="16"/>
    </w:rPr>
  </w:style>
  <w:style w:type="paragraph" w:styleId="CommentText">
    <w:name w:val="annotation text"/>
    <w:basedOn w:val="Normal"/>
    <w:link w:val="CommentTextChar"/>
    <w:uiPriority w:val="99"/>
    <w:semiHidden/>
    <w:unhideWhenUsed/>
    <w:rsid w:val="00D3705B"/>
    <w:pPr>
      <w:spacing w:line="240" w:lineRule="auto"/>
    </w:pPr>
    <w:rPr>
      <w:sz w:val="20"/>
      <w:szCs w:val="20"/>
    </w:rPr>
  </w:style>
  <w:style w:type="character" w:customStyle="1" w:styleId="CommentTextChar">
    <w:name w:val="Comment Text Char"/>
    <w:basedOn w:val="DefaultParagraphFont"/>
    <w:link w:val="CommentText"/>
    <w:uiPriority w:val="99"/>
    <w:semiHidden/>
    <w:rsid w:val="00D3705B"/>
    <w:rPr>
      <w:sz w:val="20"/>
      <w:szCs w:val="20"/>
    </w:rPr>
  </w:style>
  <w:style w:type="paragraph" w:styleId="CommentSubject">
    <w:name w:val="annotation subject"/>
    <w:basedOn w:val="CommentText"/>
    <w:next w:val="CommentText"/>
    <w:link w:val="CommentSubjectChar"/>
    <w:uiPriority w:val="99"/>
    <w:semiHidden/>
    <w:unhideWhenUsed/>
    <w:rsid w:val="00D3705B"/>
    <w:rPr>
      <w:b/>
      <w:bCs/>
    </w:rPr>
  </w:style>
  <w:style w:type="character" w:customStyle="1" w:styleId="CommentSubjectChar">
    <w:name w:val="Comment Subject Char"/>
    <w:basedOn w:val="CommentTextChar"/>
    <w:link w:val="CommentSubject"/>
    <w:uiPriority w:val="99"/>
    <w:semiHidden/>
    <w:rsid w:val="00D37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3783">
      <w:bodyDiv w:val="1"/>
      <w:marLeft w:val="0"/>
      <w:marRight w:val="0"/>
      <w:marTop w:val="0"/>
      <w:marBottom w:val="0"/>
      <w:divBdr>
        <w:top w:val="none" w:sz="0" w:space="0" w:color="auto"/>
        <w:left w:val="none" w:sz="0" w:space="0" w:color="auto"/>
        <w:bottom w:val="none" w:sz="0" w:space="0" w:color="auto"/>
        <w:right w:val="none" w:sz="0" w:space="0" w:color="auto"/>
      </w:divBdr>
    </w:div>
    <w:div w:id="20588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2446</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Kelders, S.M. (BMS)</dc:creator>
  <cp:keywords/>
  <dc:description/>
  <cp:lastModifiedBy>Kelders, S.M. (BMS)</cp:lastModifiedBy>
  <cp:revision>10</cp:revision>
  <dcterms:created xsi:type="dcterms:W3CDTF">2019-03-08T10:25:00Z</dcterms:created>
  <dcterms:modified xsi:type="dcterms:W3CDTF">2019-06-07T10:25:00Z</dcterms:modified>
</cp:coreProperties>
</file>