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E24841" w:rsidRDefault="00654E8F" w:rsidP="0001436A">
      <w:pPr>
        <w:pStyle w:val="SupplementaryMaterial"/>
        <w:rPr>
          <w:b w:val="0"/>
        </w:rPr>
      </w:pPr>
      <w:r w:rsidRPr="00E24841">
        <w:t>Supplementary Material</w:t>
      </w:r>
    </w:p>
    <w:p w14:paraId="09F183D6" w14:textId="5C4A6EAA" w:rsidR="00F32F92" w:rsidRPr="00E24841" w:rsidRDefault="00F32F92" w:rsidP="00F32F92">
      <w:pPr>
        <w:pStyle w:val="Heading1"/>
      </w:pPr>
      <w:r w:rsidRPr="00E24841">
        <w:t xml:space="preserve">Details of </w:t>
      </w:r>
      <w:r w:rsidR="00DC3792" w:rsidRPr="00E24841">
        <w:t>PDE4</w:t>
      </w:r>
      <w:r w:rsidRPr="00E24841">
        <w:t xml:space="preserve"> enzymatic activity kit (GMS 50671.1)</w:t>
      </w:r>
    </w:p>
    <w:p w14:paraId="051526B5" w14:textId="4FCF6EAB" w:rsidR="00F32F92" w:rsidRPr="00E24841" w:rsidRDefault="00F32F92" w:rsidP="00F32F92">
      <w:pPr>
        <w:ind w:firstLineChars="200" w:firstLine="480"/>
      </w:pPr>
      <w:r w:rsidRPr="00E24841">
        <w:t>The principle of this kit is as follows: PDE4 catalyzes cAMP to generate 5’AMP, which is catalyzed by 5-nucleotidase to generate free phosphate (Pi). The generation of Pi (nmol</w:t>
      </w:r>
      <w:r w:rsidRPr="00E24841">
        <w:rPr>
          <w:rFonts w:cs="Times New Roman"/>
        </w:rPr>
        <w:t>·</w:t>
      </w:r>
      <w:r w:rsidRPr="00E24841">
        <w:t>min</w:t>
      </w:r>
      <w:r w:rsidRPr="00E24841">
        <w:rPr>
          <w:vertAlign w:val="superscript"/>
        </w:rPr>
        <w:t>-1</w:t>
      </w:r>
      <w:r w:rsidRPr="00E24841">
        <w:rPr>
          <w:rFonts w:cs="Times New Roman"/>
        </w:rPr>
        <w:t>·</w:t>
      </w:r>
      <w:r w:rsidRPr="00E24841">
        <w:t>mg</w:t>
      </w:r>
      <w:r w:rsidRPr="00E24841">
        <w:rPr>
          <w:vertAlign w:val="superscript"/>
        </w:rPr>
        <w:t>-1</w:t>
      </w:r>
      <w:r w:rsidRPr="00E24841">
        <w:t>) is detected to reflect PDE4 activity (specific PDE4 activity = total PDE activity –</w:t>
      </w:r>
      <w:r w:rsidR="005652F6" w:rsidRPr="00E24841">
        <w:t xml:space="preserve"> </w:t>
      </w:r>
      <w:r w:rsidRPr="00E24841">
        <w:t>non-specific PDE activity).</w:t>
      </w:r>
    </w:p>
    <w:p w14:paraId="4DB929DC" w14:textId="78FC75DD" w:rsidR="00F32F92" w:rsidRPr="00E24841" w:rsidRDefault="00F32F92" w:rsidP="00F32F92">
      <w:pPr>
        <w:ind w:firstLineChars="200" w:firstLine="480"/>
        <w:jc w:val="center"/>
      </w:pPr>
      <w:r w:rsidRPr="00E24841">
        <w:object w:dxaOrig="4142" w:dyaOrig="1037" w14:anchorId="74B90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52.2pt" o:ole="">
            <v:imagedata r:id="rId8" o:title=""/>
          </v:shape>
          <o:OLEObject Type="Embed" ProgID="ChemDraw.Document.6.0" ShapeID="_x0000_i1025" DrawAspect="Content" ObjectID="_1649857554" r:id="rId9"/>
        </w:object>
      </w:r>
    </w:p>
    <w:p w14:paraId="44E980F8" w14:textId="447E5F65" w:rsidR="00994A3D" w:rsidRPr="00E24841" w:rsidRDefault="00F32F92" w:rsidP="00F32F92">
      <w:pPr>
        <w:spacing w:before="100" w:beforeAutospacing="1" w:after="100" w:afterAutospacing="1"/>
        <w:ind w:firstLineChars="200" w:firstLine="480"/>
        <w:jc w:val="both"/>
        <w:rPr>
          <w:rFonts w:eastAsia="Times New Roman" w:cs="Times New Roman"/>
          <w:szCs w:val="24"/>
          <w:lang w:eastAsia="en-GB"/>
        </w:rPr>
      </w:pPr>
      <w:r w:rsidRPr="00E24841">
        <w:t>The concentration of Pi is recorded by the quantitative detection of the color reaction between Pi and the malachite green dye measured at 660 nm.</w:t>
      </w:r>
    </w:p>
    <w:p w14:paraId="073B5B03" w14:textId="3F1E8D05" w:rsidR="00F32F92" w:rsidRPr="00E24841" w:rsidRDefault="00F32F92" w:rsidP="00F32F92">
      <w:pPr>
        <w:spacing w:before="100" w:beforeAutospacing="1" w:after="100" w:afterAutospacing="1"/>
        <w:ind w:firstLineChars="200" w:firstLine="480"/>
        <w:jc w:val="both"/>
      </w:pPr>
      <w:r w:rsidRPr="00E24841">
        <w:t>The functions of reagents C, D, E, F, G, J, and H are listed below:</w:t>
      </w:r>
    </w:p>
    <w:tbl>
      <w:tblPr>
        <w:tblStyle w:val="1"/>
        <w:tblW w:w="0" w:type="auto"/>
        <w:jc w:val="center"/>
        <w:tblLook w:val="04A0" w:firstRow="1" w:lastRow="0" w:firstColumn="1" w:lastColumn="0" w:noHBand="0" w:noVBand="1"/>
      </w:tblPr>
      <w:tblGrid>
        <w:gridCol w:w="4148"/>
        <w:gridCol w:w="4148"/>
      </w:tblGrid>
      <w:tr w:rsidR="00E24841" w:rsidRPr="00E24841" w14:paraId="310DA887" w14:textId="77777777" w:rsidTr="000614BE">
        <w:trPr>
          <w:jc w:val="center"/>
        </w:trPr>
        <w:tc>
          <w:tcPr>
            <w:tcW w:w="4148" w:type="dxa"/>
          </w:tcPr>
          <w:p w14:paraId="212A9FBC" w14:textId="77777777" w:rsidR="00F32F92" w:rsidRPr="00E24841" w:rsidRDefault="00F32F92" w:rsidP="000614BE">
            <w:pPr>
              <w:spacing w:before="0" w:after="0"/>
            </w:pPr>
            <w:r w:rsidRPr="00E24841">
              <w:t>N</w:t>
            </w:r>
            <w:r w:rsidRPr="00E24841">
              <w:rPr>
                <w:rFonts w:hint="eastAsia"/>
              </w:rPr>
              <w:t xml:space="preserve">ame </w:t>
            </w:r>
          </w:p>
        </w:tc>
        <w:tc>
          <w:tcPr>
            <w:tcW w:w="4148" w:type="dxa"/>
          </w:tcPr>
          <w:p w14:paraId="7B3EBE0B" w14:textId="77777777" w:rsidR="00F32F92" w:rsidRPr="00E24841" w:rsidRDefault="00F32F92" w:rsidP="000614BE">
            <w:pPr>
              <w:spacing w:before="0" w:after="0"/>
            </w:pPr>
            <w:r w:rsidRPr="00E24841">
              <w:t>F</w:t>
            </w:r>
            <w:r w:rsidRPr="00E24841">
              <w:rPr>
                <w:rFonts w:hint="eastAsia"/>
              </w:rPr>
              <w:t>unction</w:t>
            </w:r>
          </w:p>
        </w:tc>
      </w:tr>
      <w:tr w:rsidR="00E24841" w:rsidRPr="00E24841" w14:paraId="567B9066" w14:textId="77777777" w:rsidTr="000614BE">
        <w:trPr>
          <w:jc w:val="center"/>
        </w:trPr>
        <w:tc>
          <w:tcPr>
            <w:tcW w:w="4148" w:type="dxa"/>
          </w:tcPr>
          <w:p w14:paraId="740718AF" w14:textId="77777777" w:rsidR="00F32F92" w:rsidRPr="00E24841" w:rsidRDefault="00F32F92" w:rsidP="000614BE">
            <w:pPr>
              <w:spacing w:before="0" w:after="0"/>
            </w:pPr>
            <w:r w:rsidRPr="00E24841">
              <w:t>R</w:t>
            </w:r>
            <w:r w:rsidRPr="00E24841">
              <w:rPr>
                <w:rFonts w:hint="eastAsia"/>
              </w:rPr>
              <w:t xml:space="preserve">eagent </w:t>
            </w:r>
            <w:r w:rsidRPr="00E24841">
              <w:t>C</w:t>
            </w:r>
          </w:p>
        </w:tc>
        <w:tc>
          <w:tcPr>
            <w:tcW w:w="4148" w:type="dxa"/>
          </w:tcPr>
          <w:p w14:paraId="4F4AE304" w14:textId="77777777" w:rsidR="00F32F92" w:rsidRPr="00E24841" w:rsidRDefault="00F32F92" w:rsidP="000614BE">
            <w:pPr>
              <w:spacing w:before="0" w:after="0"/>
            </w:pPr>
            <w:r w:rsidRPr="00E24841">
              <w:t xml:space="preserve">Buffer solution: to maintain a constant reaction volume </w:t>
            </w:r>
          </w:p>
          <w:p w14:paraId="06F3EA98" w14:textId="77777777" w:rsidR="00F32F92" w:rsidRPr="00E24841" w:rsidRDefault="00F32F92" w:rsidP="000614BE">
            <w:pPr>
              <w:spacing w:before="0" w:after="0"/>
            </w:pPr>
          </w:p>
        </w:tc>
      </w:tr>
      <w:tr w:rsidR="00E24841" w:rsidRPr="00E24841" w14:paraId="58CDFC10" w14:textId="77777777" w:rsidTr="000614BE">
        <w:trPr>
          <w:jc w:val="center"/>
        </w:trPr>
        <w:tc>
          <w:tcPr>
            <w:tcW w:w="4148" w:type="dxa"/>
          </w:tcPr>
          <w:p w14:paraId="5D5F8852" w14:textId="77777777" w:rsidR="00F32F92" w:rsidRPr="00E24841" w:rsidRDefault="00F32F92" w:rsidP="000614BE">
            <w:pPr>
              <w:spacing w:before="0" w:after="0"/>
            </w:pPr>
            <w:r w:rsidRPr="00E24841">
              <w:rPr>
                <w:rFonts w:hint="eastAsia"/>
              </w:rPr>
              <w:t>Reagent D</w:t>
            </w:r>
          </w:p>
        </w:tc>
        <w:tc>
          <w:tcPr>
            <w:tcW w:w="4148" w:type="dxa"/>
          </w:tcPr>
          <w:p w14:paraId="34FDA7E1" w14:textId="77777777" w:rsidR="00F32F92" w:rsidRPr="00E24841" w:rsidRDefault="00F32F92" w:rsidP="000614BE">
            <w:pPr>
              <w:spacing w:before="0" w:after="0"/>
            </w:pPr>
            <w:r w:rsidRPr="00E24841">
              <w:t>Enzymatic solution: to catalyze the generation of Pi</w:t>
            </w:r>
          </w:p>
          <w:p w14:paraId="021E2069" w14:textId="77777777" w:rsidR="00F32F92" w:rsidRPr="00E24841" w:rsidRDefault="00F32F92" w:rsidP="000614BE">
            <w:pPr>
              <w:spacing w:before="0" w:after="0"/>
            </w:pPr>
          </w:p>
        </w:tc>
      </w:tr>
      <w:tr w:rsidR="00E24841" w:rsidRPr="00E24841" w14:paraId="30B05181" w14:textId="77777777" w:rsidTr="000614BE">
        <w:trPr>
          <w:jc w:val="center"/>
        </w:trPr>
        <w:tc>
          <w:tcPr>
            <w:tcW w:w="4148" w:type="dxa"/>
          </w:tcPr>
          <w:p w14:paraId="714BDA30" w14:textId="77777777" w:rsidR="00F32F92" w:rsidRPr="00E24841" w:rsidRDefault="00F32F92" w:rsidP="000614BE">
            <w:pPr>
              <w:spacing w:before="0" w:after="0"/>
            </w:pPr>
            <w:r w:rsidRPr="00E24841">
              <w:rPr>
                <w:rFonts w:hint="eastAsia"/>
              </w:rPr>
              <w:t>Reagent E</w:t>
            </w:r>
          </w:p>
        </w:tc>
        <w:tc>
          <w:tcPr>
            <w:tcW w:w="4148" w:type="dxa"/>
          </w:tcPr>
          <w:p w14:paraId="05FE5542" w14:textId="5C1476DC" w:rsidR="00F32F92" w:rsidRPr="00E24841" w:rsidRDefault="00F32F92" w:rsidP="000614BE">
            <w:pPr>
              <w:spacing w:before="0" w:after="0"/>
            </w:pPr>
            <w:r w:rsidRPr="00E24841">
              <w:rPr>
                <w:rFonts w:hint="eastAsia"/>
              </w:rPr>
              <w:t>Substrate solution</w:t>
            </w:r>
            <w:r w:rsidR="00C718BB" w:rsidRPr="00E24841">
              <w:t xml:space="preserve">: </w:t>
            </w:r>
            <w:r w:rsidRPr="00E24841">
              <w:t>cAMP</w:t>
            </w:r>
          </w:p>
          <w:p w14:paraId="09197529" w14:textId="77777777" w:rsidR="00F32F92" w:rsidRPr="00E24841" w:rsidRDefault="00F32F92" w:rsidP="000614BE">
            <w:pPr>
              <w:spacing w:before="0" w:after="0"/>
            </w:pPr>
          </w:p>
        </w:tc>
      </w:tr>
      <w:tr w:rsidR="00E24841" w:rsidRPr="00E24841" w14:paraId="5FAA2883" w14:textId="77777777" w:rsidTr="000614BE">
        <w:trPr>
          <w:jc w:val="center"/>
        </w:trPr>
        <w:tc>
          <w:tcPr>
            <w:tcW w:w="4148" w:type="dxa"/>
          </w:tcPr>
          <w:p w14:paraId="773390C2" w14:textId="77777777" w:rsidR="00F32F92" w:rsidRPr="00E24841" w:rsidRDefault="00F32F92" w:rsidP="000614BE">
            <w:pPr>
              <w:spacing w:before="0" w:after="0"/>
            </w:pPr>
            <w:r w:rsidRPr="00E24841">
              <w:rPr>
                <w:rFonts w:hint="eastAsia"/>
              </w:rPr>
              <w:t>Reagent F</w:t>
            </w:r>
          </w:p>
        </w:tc>
        <w:tc>
          <w:tcPr>
            <w:tcW w:w="4148" w:type="dxa"/>
          </w:tcPr>
          <w:p w14:paraId="10456CF3" w14:textId="77777777" w:rsidR="00F32F92" w:rsidRPr="00E24841" w:rsidRDefault="00F32F92" w:rsidP="000614BE">
            <w:pPr>
              <w:spacing w:before="0" w:after="0"/>
            </w:pPr>
            <w:r w:rsidRPr="00E24841">
              <w:t>Negative solution: to ensure that the concentration of generated Pi is included in the detection range and maintain reaction pH</w:t>
            </w:r>
          </w:p>
          <w:p w14:paraId="52714D2A" w14:textId="77777777" w:rsidR="00F32F92" w:rsidRPr="00E24841" w:rsidRDefault="00F32F92" w:rsidP="000614BE">
            <w:pPr>
              <w:spacing w:before="0" w:after="0"/>
            </w:pPr>
          </w:p>
        </w:tc>
      </w:tr>
      <w:tr w:rsidR="00E24841" w:rsidRPr="00E24841" w14:paraId="6D47E065" w14:textId="77777777" w:rsidTr="000614BE">
        <w:trPr>
          <w:jc w:val="center"/>
        </w:trPr>
        <w:tc>
          <w:tcPr>
            <w:tcW w:w="4148" w:type="dxa"/>
          </w:tcPr>
          <w:p w14:paraId="1DE104C8" w14:textId="77777777" w:rsidR="00F32F92" w:rsidRPr="00E24841" w:rsidRDefault="00F32F92" w:rsidP="000614BE">
            <w:pPr>
              <w:spacing w:before="0" w:after="0"/>
            </w:pPr>
            <w:r w:rsidRPr="00E24841">
              <w:rPr>
                <w:rFonts w:hint="eastAsia"/>
              </w:rPr>
              <w:t xml:space="preserve">Reagent </w:t>
            </w:r>
            <w:r w:rsidRPr="00E24841">
              <w:t>G</w:t>
            </w:r>
          </w:p>
        </w:tc>
        <w:tc>
          <w:tcPr>
            <w:tcW w:w="4148" w:type="dxa"/>
          </w:tcPr>
          <w:p w14:paraId="5C81224E" w14:textId="77777777" w:rsidR="00F32F92" w:rsidRPr="00E24841" w:rsidRDefault="00F32F92" w:rsidP="000614BE">
            <w:pPr>
              <w:spacing w:before="0" w:after="0"/>
            </w:pPr>
            <w:r w:rsidRPr="00E24841">
              <w:rPr>
                <w:rFonts w:hint="eastAsia"/>
              </w:rPr>
              <w:t>Stop solution</w:t>
            </w:r>
            <w:r w:rsidRPr="00E24841">
              <w:t>: to stop the reaction</w:t>
            </w:r>
          </w:p>
          <w:p w14:paraId="610DE645" w14:textId="77777777" w:rsidR="00F32F92" w:rsidRPr="00E24841" w:rsidRDefault="00F32F92" w:rsidP="000614BE">
            <w:pPr>
              <w:spacing w:before="0" w:after="0"/>
            </w:pPr>
          </w:p>
        </w:tc>
      </w:tr>
      <w:tr w:rsidR="00E24841" w:rsidRPr="00E24841" w14:paraId="47D7D9CE" w14:textId="77777777" w:rsidTr="000614BE">
        <w:trPr>
          <w:jc w:val="center"/>
        </w:trPr>
        <w:tc>
          <w:tcPr>
            <w:tcW w:w="4148" w:type="dxa"/>
          </w:tcPr>
          <w:p w14:paraId="79788224" w14:textId="77777777" w:rsidR="00F32F92" w:rsidRPr="00E24841" w:rsidRDefault="00F32F92" w:rsidP="000614BE">
            <w:pPr>
              <w:spacing w:before="0" w:after="0"/>
            </w:pPr>
            <w:r w:rsidRPr="00E24841">
              <w:rPr>
                <w:rFonts w:hint="eastAsia"/>
              </w:rPr>
              <w:t>Reagent J</w:t>
            </w:r>
          </w:p>
        </w:tc>
        <w:tc>
          <w:tcPr>
            <w:tcW w:w="4148" w:type="dxa"/>
          </w:tcPr>
          <w:p w14:paraId="1F259E3C" w14:textId="77777777" w:rsidR="00F32F92" w:rsidRPr="00E24841" w:rsidRDefault="00F32F92" w:rsidP="000614BE">
            <w:pPr>
              <w:spacing w:before="0" w:after="0"/>
            </w:pPr>
            <w:r w:rsidRPr="00E24841">
              <w:t>Specificity solution: for use only in the detection of non-specific PDE activity</w:t>
            </w:r>
          </w:p>
          <w:p w14:paraId="013420B8" w14:textId="77777777" w:rsidR="00F32F92" w:rsidRPr="00E24841" w:rsidRDefault="00F32F92" w:rsidP="000614BE">
            <w:pPr>
              <w:spacing w:before="0" w:after="0"/>
            </w:pPr>
          </w:p>
        </w:tc>
      </w:tr>
      <w:tr w:rsidR="00E24841" w:rsidRPr="00E24841" w14:paraId="5DAB204A" w14:textId="77777777" w:rsidTr="000614BE">
        <w:trPr>
          <w:jc w:val="center"/>
        </w:trPr>
        <w:tc>
          <w:tcPr>
            <w:tcW w:w="4148" w:type="dxa"/>
          </w:tcPr>
          <w:p w14:paraId="3ECB9F0F" w14:textId="77777777" w:rsidR="00F32F92" w:rsidRPr="00E24841" w:rsidRDefault="00F32F92" w:rsidP="000614BE">
            <w:pPr>
              <w:spacing w:before="0" w:after="0"/>
            </w:pPr>
            <w:r w:rsidRPr="00E24841">
              <w:rPr>
                <w:rFonts w:hint="eastAsia"/>
              </w:rPr>
              <w:t>Reagent H</w:t>
            </w:r>
          </w:p>
        </w:tc>
        <w:tc>
          <w:tcPr>
            <w:tcW w:w="4148" w:type="dxa"/>
          </w:tcPr>
          <w:p w14:paraId="24A1E4FB" w14:textId="77777777" w:rsidR="00F32F92" w:rsidRPr="00E24841" w:rsidRDefault="00F32F92" w:rsidP="000614BE">
            <w:pPr>
              <w:spacing w:before="0" w:after="0"/>
            </w:pPr>
            <w:r w:rsidRPr="00E24841">
              <w:t>Chromogenic solution</w:t>
            </w:r>
          </w:p>
          <w:p w14:paraId="71DA458D" w14:textId="77777777" w:rsidR="00F32F92" w:rsidRPr="00E24841" w:rsidRDefault="00F32F92" w:rsidP="000614BE">
            <w:pPr>
              <w:spacing w:before="0" w:after="0"/>
            </w:pPr>
          </w:p>
        </w:tc>
      </w:tr>
    </w:tbl>
    <w:p w14:paraId="0AD6EB4E" w14:textId="77777777" w:rsidR="00F32F92" w:rsidRPr="00E24841" w:rsidRDefault="00F32F92" w:rsidP="00F32F92">
      <w:pPr>
        <w:ind w:firstLineChars="200" w:firstLine="480"/>
        <w:rPr>
          <w:lang w:eastAsia="zh-CN"/>
        </w:rPr>
      </w:pPr>
      <w:r w:rsidRPr="00E24841">
        <w:rPr>
          <w:lang w:eastAsia="zh-CN"/>
        </w:rPr>
        <w:t>D</w:t>
      </w:r>
      <w:r w:rsidRPr="00E24841">
        <w:rPr>
          <w:rFonts w:hint="eastAsia"/>
          <w:lang w:eastAsia="zh-CN"/>
        </w:rPr>
        <w:t>etails of detection:</w:t>
      </w:r>
    </w:p>
    <w:p w14:paraId="720DD338" w14:textId="77777777" w:rsidR="00F32F92" w:rsidRPr="00E24841" w:rsidRDefault="00F32F92" w:rsidP="00F32F92">
      <w:pPr>
        <w:ind w:firstLineChars="200" w:firstLine="480"/>
        <w:rPr>
          <w:lang w:eastAsia="zh-CN"/>
        </w:rPr>
      </w:pPr>
      <w:r w:rsidRPr="00E24841">
        <w:rPr>
          <w:lang w:eastAsia="zh-CN"/>
        </w:rPr>
        <w:t>1. Detection of sample backgrounds:</w:t>
      </w:r>
    </w:p>
    <w:p w14:paraId="176CFAEA" w14:textId="2CB3A06C" w:rsidR="00F32F92" w:rsidRPr="00E24841" w:rsidRDefault="00F32F92" w:rsidP="005652F6">
      <w:pPr>
        <w:ind w:firstLineChars="200" w:firstLine="480"/>
        <w:jc w:val="both"/>
        <w:rPr>
          <w:lang w:eastAsia="zh-CN"/>
        </w:rPr>
      </w:pPr>
      <w:r w:rsidRPr="00E24841">
        <w:rPr>
          <w:lang w:eastAsia="zh-CN"/>
        </w:rPr>
        <w:lastRenderedPageBreak/>
        <w:t>Reagent C (buffer solution) and samples were incubated at 30°C for 30 min. Reagents F (negative solution), G (stop solution), and H (chromogenic solution) were added. After 5 min, the optical density (OD) value was measured at 660 nm and Pi concentration was calculated using the standard curve to obtain the sample background.</w:t>
      </w:r>
    </w:p>
    <w:p w14:paraId="4AE2A851" w14:textId="77777777" w:rsidR="00F32F92" w:rsidRPr="00E24841" w:rsidRDefault="00F32F92" w:rsidP="00F32F92">
      <w:pPr>
        <w:ind w:firstLineChars="200" w:firstLine="480"/>
        <w:rPr>
          <w:lang w:eastAsia="zh-CN"/>
        </w:rPr>
      </w:pPr>
      <w:r w:rsidRPr="00E24841">
        <w:rPr>
          <w:lang w:eastAsia="zh-CN"/>
        </w:rPr>
        <w:t>2. Detection of total PDE activity:</w:t>
      </w:r>
    </w:p>
    <w:p w14:paraId="746005F0" w14:textId="152E0B6F" w:rsidR="00F32F92" w:rsidRPr="00E24841" w:rsidRDefault="00F32F92" w:rsidP="00F32F92">
      <w:pPr>
        <w:ind w:firstLineChars="200" w:firstLine="480"/>
        <w:rPr>
          <w:lang w:eastAsia="zh-CN"/>
        </w:rPr>
      </w:pPr>
      <w:r w:rsidRPr="00E24841">
        <w:rPr>
          <w:lang w:eastAsia="zh-CN"/>
        </w:rPr>
        <w:t>Reagent</w:t>
      </w:r>
      <w:r w:rsidR="000A1E1D" w:rsidRPr="00E24841">
        <w:rPr>
          <w:lang w:eastAsia="zh-CN"/>
        </w:rPr>
        <w:t>s</w:t>
      </w:r>
      <w:r w:rsidRPr="00E24841">
        <w:rPr>
          <w:lang w:eastAsia="zh-CN"/>
        </w:rPr>
        <w:t xml:space="preserve"> C, D (enzymatic solution), and E (substrate solution) were incubated at 30°C for </w:t>
      </w:r>
      <w:r w:rsidR="000E3D7E" w:rsidRPr="00E24841">
        <w:rPr>
          <w:lang w:eastAsia="zh-CN"/>
        </w:rPr>
        <w:t xml:space="preserve">3 </w:t>
      </w:r>
      <w:r w:rsidRPr="00E24841">
        <w:rPr>
          <w:lang w:eastAsia="zh-CN"/>
        </w:rPr>
        <w:t xml:space="preserve">min. Samples were added and the solution was incubated at </w:t>
      </w:r>
      <w:r w:rsidR="00DC3792" w:rsidRPr="00E24841">
        <w:rPr>
          <w:lang w:eastAsia="zh-CN"/>
        </w:rPr>
        <w:t>30</w:t>
      </w:r>
      <w:r w:rsidRPr="00E24841">
        <w:rPr>
          <w:lang w:eastAsia="zh-CN"/>
        </w:rPr>
        <w:t xml:space="preserve">°C for 30 min. Reagents F, G, and H were added. After 5 min, the OD value was measured at 660 nm and Pi concentration was calculated using the standard curve to obtain total PDE activity. </w:t>
      </w:r>
    </w:p>
    <w:p w14:paraId="22D0B237" w14:textId="77777777" w:rsidR="00F32F92" w:rsidRPr="00E24841" w:rsidRDefault="00F32F92" w:rsidP="00F32F92">
      <w:pPr>
        <w:ind w:firstLineChars="200" w:firstLine="480"/>
        <w:rPr>
          <w:lang w:eastAsia="zh-CN"/>
        </w:rPr>
      </w:pPr>
      <w:r w:rsidRPr="00E24841">
        <w:rPr>
          <w:lang w:eastAsia="zh-CN"/>
        </w:rPr>
        <w:t>3. Detection of non-specific PDE activity:</w:t>
      </w:r>
    </w:p>
    <w:p w14:paraId="3B519C5B" w14:textId="14592048" w:rsidR="00F32F92" w:rsidRPr="00E24841" w:rsidRDefault="00F32F92" w:rsidP="005652F6">
      <w:pPr>
        <w:ind w:firstLineChars="200" w:firstLine="480"/>
        <w:jc w:val="both"/>
        <w:rPr>
          <w:lang w:eastAsia="zh-CN"/>
        </w:rPr>
      </w:pPr>
      <w:r w:rsidRPr="00E24841">
        <w:rPr>
          <w:lang w:eastAsia="zh-CN"/>
        </w:rPr>
        <w:t>Reagents C, D, E, and J (specificity solution, used only in detection for non-specific PDE activity) were incubated at 30°C for 3 min. Samples were added and the solution was incubated at 30°C for 30 min. Reagents F, G, and H were added. After 5 min, the OD value was measured at 660 nm and Pi concentration was calculated using the standard curve to obtain non-specific PDE activity.</w:t>
      </w:r>
    </w:p>
    <w:p w14:paraId="1214BECD" w14:textId="5065C9B0" w:rsidR="00F32F92" w:rsidRPr="00E24841" w:rsidRDefault="00F32F92" w:rsidP="005652F6">
      <w:pPr>
        <w:ind w:firstLineChars="200" w:firstLine="480"/>
        <w:jc w:val="both"/>
        <w:rPr>
          <w:lang w:eastAsia="zh-CN"/>
        </w:rPr>
      </w:pPr>
      <w:r w:rsidRPr="00E24841">
        <w:rPr>
          <w:lang w:eastAsia="zh-CN"/>
        </w:rPr>
        <w:t>Reagents C, D, E, F, G, H, and J were obtained from the kit. PDE4 enzymatic activity was calculated by the difference between total PDE activity and non-specific PDE activity.</w:t>
      </w:r>
    </w:p>
    <w:p w14:paraId="4D059444" w14:textId="24789809" w:rsidR="00994A3D" w:rsidRPr="00E24841" w:rsidRDefault="00F32F92" w:rsidP="0001436A">
      <w:pPr>
        <w:pStyle w:val="Heading1"/>
      </w:pPr>
      <w:r w:rsidRPr="00E24841">
        <w:rPr>
          <w:rFonts w:hint="eastAsia"/>
          <w:lang w:eastAsia="zh-CN"/>
        </w:rPr>
        <w:t xml:space="preserve">Details of human AC ELISA </w:t>
      </w:r>
      <w:r w:rsidRPr="00E24841">
        <w:rPr>
          <w:lang w:eastAsia="zh-CN"/>
        </w:rPr>
        <w:t>kit</w:t>
      </w:r>
    </w:p>
    <w:p w14:paraId="04C23C7D" w14:textId="505256D5" w:rsidR="00F32F92" w:rsidRPr="00E24841" w:rsidRDefault="00F32F92" w:rsidP="00F32F92">
      <w:pPr>
        <w:rPr>
          <w:b/>
        </w:rPr>
      </w:pPr>
      <w:r w:rsidRPr="00E24841">
        <w:rPr>
          <w:b/>
          <w:lang w:eastAsia="zh-CN"/>
        </w:rPr>
        <w:t>Manufacturer:</w:t>
      </w:r>
      <w:r w:rsidRPr="00E24841">
        <w:rPr>
          <w:b/>
        </w:rPr>
        <w:t xml:space="preserve">  </w:t>
      </w:r>
    </w:p>
    <w:p w14:paraId="2A974C7F" w14:textId="007FFDA7" w:rsidR="00F32F92" w:rsidRPr="00E24841" w:rsidRDefault="00F32F92" w:rsidP="00F32F92">
      <w:pPr>
        <w:rPr>
          <w:lang w:eastAsia="zh-CN"/>
        </w:rPr>
      </w:pPr>
      <w:r w:rsidRPr="00E24841">
        <w:rPr>
          <w:lang w:eastAsia="zh-CN"/>
        </w:rPr>
        <w:t xml:space="preserve">Shanghai Hu Yu Biological Technology Co., Ltd., Shanghai, China </w:t>
      </w:r>
      <w:r w:rsidRPr="00E24841">
        <w:rPr>
          <w:rFonts w:hint="eastAsia"/>
          <w:lang w:eastAsia="zh-CN"/>
        </w:rPr>
        <w:t>(</w:t>
      </w:r>
      <w:hyperlink r:id="rId10" w:history="1">
        <w:r w:rsidRPr="00E24841">
          <w:rPr>
            <w:rStyle w:val="Hyperlink"/>
            <w:color w:val="auto"/>
          </w:rPr>
          <w:t>http://www.shhymall.com/</w:t>
        </w:r>
      </w:hyperlink>
      <w:r w:rsidRPr="00E24841">
        <w:rPr>
          <w:rFonts w:hint="eastAsia"/>
          <w:lang w:eastAsia="zh-CN"/>
        </w:rPr>
        <w:t>)</w:t>
      </w:r>
    </w:p>
    <w:p w14:paraId="095E69C0" w14:textId="77777777" w:rsidR="00F32F92" w:rsidRPr="00E24841" w:rsidRDefault="00F32F92" w:rsidP="00F32F92">
      <w:pPr>
        <w:rPr>
          <w:b/>
          <w:lang w:eastAsia="zh-CN"/>
        </w:rPr>
      </w:pPr>
      <w:r w:rsidRPr="00E24841">
        <w:rPr>
          <w:b/>
          <w:lang w:eastAsia="zh-CN"/>
        </w:rPr>
        <w:t>Product:</w:t>
      </w:r>
    </w:p>
    <w:p w14:paraId="060B946A" w14:textId="77777777" w:rsidR="00F32F92" w:rsidRPr="00E24841" w:rsidRDefault="00F32F92" w:rsidP="00F32F92">
      <w:pPr>
        <w:rPr>
          <w:lang w:eastAsia="zh-CN"/>
        </w:rPr>
      </w:pPr>
      <w:r w:rsidRPr="00E24841">
        <w:rPr>
          <w:lang w:eastAsia="zh-CN"/>
        </w:rPr>
        <w:t>Human AC ELISA kit (</w:t>
      </w:r>
      <w:hyperlink r:id="rId11" w:history="1">
        <w:r w:rsidRPr="00E24841">
          <w:rPr>
            <w:rStyle w:val="Hyperlink"/>
            <w:color w:val="auto"/>
          </w:rPr>
          <w:t>http://www.shhymall.com/cp_view.asp?id=46829</w:t>
        </w:r>
      </w:hyperlink>
      <w:r w:rsidRPr="00E24841">
        <w:rPr>
          <w:lang w:eastAsia="zh-CN"/>
        </w:rPr>
        <w:t>)</w:t>
      </w:r>
    </w:p>
    <w:p w14:paraId="054959B0" w14:textId="77777777" w:rsidR="00F32F92" w:rsidRPr="00E24841" w:rsidRDefault="00F32F92" w:rsidP="00F32F92">
      <w:pPr>
        <w:rPr>
          <w:b/>
          <w:lang w:eastAsia="zh-CN"/>
        </w:rPr>
      </w:pPr>
      <w:r w:rsidRPr="00E24841">
        <w:rPr>
          <w:b/>
          <w:lang w:eastAsia="zh-CN"/>
        </w:rPr>
        <w:t>Principle:</w:t>
      </w:r>
    </w:p>
    <w:p w14:paraId="6A026ABC" w14:textId="77777777" w:rsidR="00F32F92" w:rsidRPr="00E24841" w:rsidRDefault="00F32F92" w:rsidP="00F32F92">
      <w:pPr>
        <w:ind w:firstLineChars="200" w:firstLine="480"/>
        <w:jc w:val="both"/>
        <w:rPr>
          <w:lang w:eastAsia="zh-CN"/>
        </w:rPr>
      </w:pPr>
      <w:r w:rsidRPr="00E24841">
        <w:rPr>
          <w:lang w:eastAsia="zh-CN"/>
        </w:rPr>
        <w:t xml:space="preserve">Two cytosolic domains of AC, named C1 and C2, have a well conserved primary sequence, both to each other and other AC isoforms. The C1 and C2 domains constitute the catalytic core of AC. </w:t>
      </w:r>
    </w:p>
    <w:p w14:paraId="79C5982B" w14:textId="085CE90A" w:rsidR="00F32F92" w:rsidRPr="00E24841" w:rsidRDefault="00226526" w:rsidP="00F32F92">
      <w:pPr>
        <w:ind w:firstLineChars="200" w:firstLine="480"/>
        <w:jc w:val="both"/>
        <w:rPr>
          <w:lang w:eastAsia="zh-CN"/>
        </w:rPr>
      </w:pPr>
      <w:r w:rsidRPr="00E24841">
        <w:rPr>
          <w:lang w:eastAsia="zh-CN"/>
        </w:rPr>
        <w:t>Peptides A Cyclase 1</w:t>
      </w:r>
      <w:r w:rsidRPr="00E24841">
        <w:rPr>
          <w:rFonts w:ascii="Symbol" w:hAnsi="Symbol"/>
          <w:lang w:eastAsia="zh-CN"/>
        </w:rPr>
        <w:t></w:t>
      </w:r>
      <w:r w:rsidRPr="00E24841">
        <w:rPr>
          <w:lang w:eastAsia="zh-CN"/>
        </w:rPr>
        <w:t xml:space="preserve"> and A Cyclase 2</w:t>
      </w:r>
      <w:r w:rsidRPr="00E24841">
        <w:rPr>
          <w:rFonts w:ascii="Symbol" w:hAnsi="Symbol"/>
          <w:lang w:eastAsia="zh-CN"/>
        </w:rPr>
        <w:t></w:t>
      </w:r>
      <w:r w:rsidRPr="00E24841">
        <w:rPr>
          <w:lang w:eastAsia="zh-CN"/>
        </w:rPr>
        <w:t xml:space="preserve"> were synthesized based on the sequences of the catalytic </w:t>
      </w:r>
      <w:r w:rsidR="00DC3792" w:rsidRPr="00E24841">
        <w:rPr>
          <w:lang w:eastAsia="zh-CN"/>
        </w:rPr>
        <w:t>site in AC (</w:t>
      </w:r>
      <w:r w:rsidR="00DC3792" w:rsidRPr="00E24841">
        <w:rPr>
          <w:rFonts w:hint="eastAsia"/>
          <w:lang w:eastAsia="zh-CN"/>
        </w:rPr>
        <w:t>at AA range:</w:t>
      </w:r>
      <w:r w:rsidRPr="00E24841">
        <w:rPr>
          <w:lang w:eastAsia="zh-CN"/>
        </w:rPr>
        <w:t xml:space="preserve"> 200-280) and used to prepare the specific anti-AC antibody</w:t>
      </w:r>
      <w:r w:rsidR="0045645A" w:rsidRPr="00E24841">
        <w:rPr>
          <w:lang w:eastAsia="zh-CN"/>
        </w:rPr>
        <w:t xml:space="preserve"> by injecting the </w:t>
      </w:r>
      <w:r w:rsidRPr="00E24841">
        <w:rPr>
          <w:lang w:eastAsia="zh-CN"/>
        </w:rPr>
        <w:t xml:space="preserve">peptides </w:t>
      </w:r>
      <w:r w:rsidR="0045645A" w:rsidRPr="00E24841">
        <w:rPr>
          <w:lang w:eastAsia="zh-CN"/>
        </w:rPr>
        <w:t xml:space="preserve">into the </w:t>
      </w:r>
      <w:r w:rsidRPr="00E24841">
        <w:rPr>
          <w:lang w:eastAsia="zh-CN"/>
        </w:rPr>
        <w:t xml:space="preserve">rabbits. </w:t>
      </w:r>
      <w:r w:rsidR="00F32F92" w:rsidRPr="00E24841">
        <w:rPr>
          <w:lang w:eastAsia="zh-CN"/>
        </w:rPr>
        <w:t xml:space="preserve">The </w:t>
      </w:r>
      <w:r w:rsidRPr="00E24841">
        <w:rPr>
          <w:lang w:eastAsia="zh-CN"/>
        </w:rPr>
        <w:t>catalytic site</w:t>
      </w:r>
      <w:r w:rsidR="00F32F92" w:rsidRPr="00E24841">
        <w:rPr>
          <w:lang w:eastAsia="zh-CN"/>
        </w:rPr>
        <w:t xml:space="preserve"> of AC is exposed when the enzymatic activity changes. This specific anti-AC antibody </w:t>
      </w:r>
      <w:r w:rsidR="005652F6" w:rsidRPr="00E24841">
        <w:rPr>
          <w:lang w:eastAsia="zh-CN"/>
        </w:rPr>
        <w:t>was coated on</w:t>
      </w:r>
      <w:r w:rsidR="00F32F92" w:rsidRPr="00E24841">
        <w:rPr>
          <w:lang w:eastAsia="zh-CN"/>
        </w:rPr>
        <w:t xml:space="preserve"> micro-well to capture the </w:t>
      </w:r>
      <w:r w:rsidR="00DF7589" w:rsidRPr="00E24841">
        <w:rPr>
          <w:lang w:eastAsia="zh-CN"/>
        </w:rPr>
        <w:t>catalytic site</w:t>
      </w:r>
      <w:r w:rsidR="00F32F92" w:rsidRPr="00E24841">
        <w:rPr>
          <w:lang w:eastAsia="zh-CN"/>
        </w:rPr>
        <w:t xml:space="preserve"> of AC and enzymatic activity was reflected by ELISA (double-antibody-sandwich method; </w:t>
      </w:r>
      <w:r w:rsidR="00F32F92" w:rsidRPr="00E24841">
        <w:rPr>
          <w:rFonts w:cs="Times New Roman"/>
          <w:szCs w:val="24"/>
        </w:rPr>
        <w:t>Supplementary Figure</w:t>
      </w:r>
      <w:r w:rsidR="00DC0EC8" w:rsidRPr="00E24841">
        <w:rPr>
          <w:rFonts w:cs="Times New Roman"/>
          <w:szCs w:val="24"/>
        </w:rPr>
        <w:t xml:space="preserve"> 1</w:t>
      </w:r>
      <w:r w:rsidR="00F32F92" w:rsidRPr="00E24841">
        <w:rPr>
          <w:rFonts w:cs="Times New Roman"/>
          <w:szCs w:val="24"/>
        </w:rPr>
        <w:t>.</w:t>
      </w:r>
      <w:r w:rsidR="00F32F92" w:rsidRPr="00E24841">
        <w:rPr>
          <w:lang w:eastAsia="zh-CN"/>
        </w:rPr>
        <w:t>).</w:t>
      </w:r>
    </w:p>
    <w:p w14:paraId="7D005DE5" w14:textId="77777777" w:rsidR="00F32F92" w:rsidRPr="00E24841" w:rsidRDefault="00F32F92" w:rsidP="00F32F92">
      <w:pPr>
        <w:rPr>
          <w:lang w:eastAsia="zh-CN"/>
        </w:rPr>
      </w:pPr>
      <w:r w:rsidRPr="00E24841">
        <w:rPr>
          <w:b/>
          <w:lang w:eastAsia="zh-CN"/>
        </w:rPr>
        <w:t>Method:</w:t>
      </w:r>
    </w:p>
    <w:p w14:paraId="7C4948FF" w14:textId="43315A16" w:rsidR="00F32F92" w:rsidRPr="00E24841" w:rsidRDefault="00F32F92" w:rsidP="00F32F92">
      <w:pPr>
        <w:ind w:firstLineChars="200" w:firstLine="480"/>
        <w:jc w:val="both"/>
        <w:rPr>
          <w:szCs w:val="24"/>
        </w:rPr>
      </w:pPr>
      <w:r w:rsidRPr="00E24841">
        <w:rPr>
          <w:szCs w:val="24"/>
        </w:rPr>
        <w:t>Samples were added to mi</w:t>
      </w:r>
      <w:r w:rsidRPr="00E24841">
        <w:rPr>
          <w:rFonts w:hint="eastAsia"/>
          <w:szCs w:val="24"/>
        </w:rPr>
        <w:t>cro</w:t>
      </w:r>
      <w:r w:rsidRPr="00E24841">
        <w:rPr>
          <w:szCs w:val="24"/>
        </w:rPr>
        <w:t>-</w:t>
      </w:r>
      <w:r w:rsidRPr="00E24841">
        <w:rPr>
          <w:rFonts w:hint="eastAsia"/>
          <w:szCs w:val="24"/>
        </w:rPr>
        <w:t>well coated with</w:t>
      </w:r>
      <w:r w:rsidRPr="00E24841">
        <w:rPr>
          <w:szCs w:val="24"/>
        </w:rPr>
        <w:t xml:space="preserve"> a specific anti-AC antibody and incubated</w:t>
      </w:r>
      <w:r w:rsidRPr="00E24841">
        <w:rPr>
          <w:rFonts w:hint="eastAsia"/>
          <w:szCs w:val="24"/>
        </w:rPr>
        <w:t xml:space="preserve"> </w:t>
      </w:r>
      <w:r w:rsidRPr="00E24841">
        <w:rPr>
          <w:szCs w:val="24"/>
        </w:rPr>
        <w:t>at</w:t>
      </w:r>
      <w:r w:rsidRPr="00E24841">
        <w:rPr>
          <w:rFonts w:hint="eastAsia"/>
          <w:szCs w:val="24"/>
        </w:rPr>
        <w:t xml:space="preserve"> 37</w:t>
      </w:r>
      <w:r w:rsidRPr="00E24841">
        <w:rPr>
          <w:rFonts w:cs="Times New Roman"/>
          <w:szCs w:val="24"/>
        </w:rPr>
        <w:t>°</w:t>
      </w:r>
      <w:r w:rsidRPr="00E24841">
        <w:rPr>
          <w:rFonts w:hint="eastAsia"/>
          <w:szCs w:val="24"/>
        </w:rPr>
        <w:t xml:space="preserve">C for 30 min. </w:t>
      </w:r>
      <w:r w:rsidRPr="00E24841">
        <w:rPr>
          <w:szCs w:val="24"/>
        </w:rPr>
        <w:t xml:space="preserve">This solution was incubated </w:t>
      </w:r>
      <w:r w:rsidRPr="00E24841">
        <w:rPr>
          <w:rFonts w:hint="eastAsia"/>
          <w:szCs w:val="24"/>
        </w:rPr>
        <w:t xml:space="preserve">with a </w:t>
      </w:r>
      <w:r w:rsidRPr="00E24841">
        <w:rPr>
          <w:szCs w:val="24"/>
        </w:rPr>
        <w:t>horseradish peroxidase (</w:t>
      </w:r>
      <w:r w:rsidRPr="00E24841">
        <w:rPr>
          <w:rFonts w:hint="eastAsia"/>
          <w:szCs w:val="24"/>
        </w:rPr>
        <w:t>HRP</w:t>
      </w:r>
      <w:r w:rsidRPr="00E24841">
        <w:rPr>
          <w:szCs w:val="24"/>
        </w:rPr>
        <w:t>)</w:t>
      </w:r>
      <w:r w:rsidRPr="00E24841">
        <w:rPr>
          <w:rFonts w:hint="eastAsia"/>
          <w:szCs w:val="24"/>
        </w:rPr>
        <w:t>-labeled-AC-antibody</w:t>
      </w:r>
      <w:r w:rsidRPr="00E24841">
        <w:rPr>
          <w:szCs w:val="24"/>
        </w:rPr>
        <w:t xml:space="preserve"> at</w:t>
      </w:r>
      <w:r w:rsidRPr="00E24841">
        <w:rPr>
          <w:rFonts w:hint="eastAsia"/>
          <w:szCs w:val="24"/>
        </w:rPr>
        <w:t xml:space="preserve"> 37</w:t>
      </w:r>
      <w:r w:rsidRPr="00E24841">
        <w:rPr>
          <w:rFonts w:cs="Times New Roman"/>
          <w:szCs w:val="24"/>
        </w:rPr>
        <w:t>°</w:t>
      </w:r>
      <w:r w:rsidRPr="00E24841">
        <w:rPr>
          <w:rFonts w:hint="eastAsia"/>
          <w:szCs w:val="24"/>
        </w:rPr>
        <w:t xml:space="preserve">C for 30 min to form an antibody-antigen-enzyme-labeled antibody complex. </w:t>
      </w:r>
      <w:r w:rsidRPr="00E24841">
        <w:rPr>
          <w:szCs w:val="24"/>
        </w:rPr>
        <w:t>After washing, a</w:t>
      </w:r>
      <w:r w:rsidRPr="00E24841">
        <w:rPr>
          <w:rFonts w:hint="eastAsia"/>
          <w:szCs w:val="24"/>
        </w:rPr>
        <w:t xml:space="preserve"> 3,3</w:t>
      </w:r>
      <w:r w:rsidRPr="00E24841">
        <w:rPr>
          <w:szCs w:val="24"/>
        </w:rPr>
        <w:t>’</w:t>
      </w:r>
      <w:r w:rsidRPr="00E24841">
        <w:rPr>
          <w:rFonts w:hint="eastAsia"/>
          <w:szCs w:val="24"/>
        </w:rPr>
        <w:t>,5,5</w:t>
      </w:r>
      <w:r w:rsidRPr="00E24841">
        <w:rPr>
          <w:szCs w:val="24"/>
        </w:rPr>
        <w:t>’</w:t>
      </w:r>
      <w:r w:rsidRPr="00E24841">
        <w:rPr>
          <w:rFonts w:hint="eastAsia"/>
          <w:szCs w:val="24"/>
        </w:rPr>
        <w:t>-tetramethylbenzidine</w:t>
      </w:r>
      <w:r w:rsidRPr="00E24841">
        <w:rPr>
          <w:szCs w:val="24"/>
        </w:rPr>
        <w:t xml:space="preserve"> (TMB) substrate was added.</w:t>
      </w:r>
      <w:r w:rsidRPr="00E24841">
        <w:t xml:space="preserve"> The </w:t>
      </w:r>
      <w:r w:rsidRPr="00E24841">
        <w:rPr>
          <w:szCs w:val="24"/>
        </w:rPr>
        <w:t xml:space="preserve">TMB substrate was converted by HRP </w:t>
      </w:r>
      <w:r w:rsidRPr="00E24841">
        <w:rPr>
          <w:szCs w:val="24"/>
        </w:rPr>
        <w:lastRenderedPageBreak/>
        <w:t>to a blue colored product and then</w:t>
      </w:r>
      <w:r w:rsidR="00DF7589" w:rsidRPr="00E24841">
        <w:rPr>
          <w:szCs w:val="24"/>
        </w:rPr>
        <w:t xml:space="preserve"> </w:t>
      </w:r>
      <w:r w:rsidRPr="00E24841">
        <w:rPr>
          <w:szCs w:val="24"/>
        </w:rPr>
        <w:t xml:space="preserve">to a yellow colored product in the presence of acid. The OD was measured at 450 nm, which correlated positively with AC enzymatic activity. Enzymatic activity was calculated using the standard curve obtained from the kit. </w:t>
      </w:r>
    </w:p>
    <w:p w14:paraId="6390FB02" w14:textId="4232ED98" w:rsidR="00F32F92" w:rsidRPr="00E24841" w:rsidRDefault="00F32F92" w:rsidP="00F32F92">
      <w:pPr>
        <w:ind w:firstLineChars="200" w:firstLine="480"/>
        <w:jc w:val="center"/>
        <w:rPr>
          <w:lang w:eastAsia="zh-CN"/>
        </w:rPr>
      </w:pPr>
      <w:r w:rsidRPr="00E24841">
        <w:rPr>
          <w:noProof/>
          <w:lang w:eastAsia="zh-CN"/>
        </w:rPr>
        <w:drawing>
          <wp:inline distT="0" distB="0" distL="0" distR="0" wp14:anchorId="1425154A" wp14:editId="62931CC3">
            <wp:extent cx="4838700" cy="21952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9153" cy="2204515"/>
                    </a:xfrm>
                    <a:prstGeom prst="rect">
                      <a:avLst/>
                    </a:prstGeom>
                    <a:noFill/>
                  </pic:spPr>
                </pic:pic>
              </a:graphicData>
            </a:graphic>
          </wp:inline>
        </w:drawing>
      </w:r>
    </w:p>
    <w:p w14:paraId="3F676101" w14:textId="5D16EE9C" w:rsidR="00F32F92" w:rsidRPr="00E24841" w:rsidRDefault="00F32F92" w:rsidP="00F32F92">
      <w:pPr>
        <w:ind w:firstLineChars="200" w:firstLine="482"/>
        <w:jc w:val="center"/>
        <w:rPr>
          <w:lang w:eastAsia="zh-CN"/>
        </w:rPr>
      </w:pPr>
      <w:r w:rsidRPr="00E24841">
        <w:rPr>
          <w:rFonts w:cs="Times New Roman"/>
          <w:b/>
          <w:szCs w:val="24"/>
        </w:rPr>
        <w:t xml:space="preserve">Supplementary Figure </w:t>
      </w:r>
      <w:r w:rsidR="00C476E2" w:rsidRPr="00E24841">
        <w:rPr>
          <w:rFonts w:cs="Times New Roman"/>
          <w:b/>
          <w:szCs w:val="24"/>
        </w:rPr>
        <w:t>1</w:t>
      </w:r>
      <w:r w:rsidRPr="00E24841">
        <w:rPr>
          <w:rFonts w:cs="Times New Roman"/>
          <w:b/>
          <w:szCs w:val="24"/>
        </w:rPr>
        <w:t>.</w:t>
      </w:r>
      <w:r w:rsidRPr="00E24841">
        <w:rPr>
          <w:rFonts w:hint="eastAsia"/>
          <w:lang w:eastAsia="zh-CN"/>
        </w:rPr>
        <w:t xml:space="preserve"> The pri</w:t>
      </w:r>
      <w:r w:rsidRPr="00E24841">
        <w:rPr>
          <w:lang w:eastAsia="zh-CN"/>
        </w:rPr>
        <w:t>nciple of the double-antibody-sandwich method</w:t>
      </w:r>
    </w:p>
    <w:p w14:paraId="7B65BC41" w14:textId="77777777" w:rsidR="00DE23E8" w:rsidRPr="00E24841" w:rsidRDefault="00DE23E8" w:rsidP="00654E8F">
      <w:pPr>
        <w:spacing w:before="240"/>
      </w:pPr>
    </w:p>
    <w:sectPr w:rsidR="00DE23E8" w:rsidRPr="00E24841" w:rsidSect="0093429D">
      <w:headerReference w:type="even" r:id="rId13"/>
      <w:footerReference w:type="even" r:id="rId14"/>
      <w:footerReference w:type="default" r:id="rId15"/>
      <w:headerReference w:type="first" r:id="rId16"/>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53EB4" w14:textId="77777777" w:rsidR="0013595E" w:rsidRDefault="0013595E" w:rsidP="00117666">
      <w:pPr>
        <w:spacing w:after="0"/>
      </w:pPr>
      <w:r>
        <w:separator/>
      </w:r>
    </w:p>
  </w:endnote>
  <w:endnote w:type="continuationSeparator" w:id="0">
    <w:p w14:paraId="7597D163" w14:textId="77777777" w:rsidR="0013595E" w:rsidRDefault="0013595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eastAsia="zh-CN"/>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4F191C8F"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C0EC8">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4F191C8F"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C0EC8">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lang w:eastAsia="zh-CN"/>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43EE91BE"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C0EC8">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43EE91BE"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C0EC8">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8C7E8" w14:textId="77777777" w:rsidR="0013595E" w:rsidRDefault="0013595E" w:rsidP="00117666">
      <w:pPr>
        <w:spacing w:after="0"/>
      </w:pPr>
      <w:r>
        <w:separator/>
      </w:r>
    </w:p>
  </w:footnote>
  <w:footnote w:type="continuationSeparator" w:id="0">
    <w:p w14:paraId="4362465A" w14:textId="77777777" w:rsidR="0013595E" w:rsidRDefault="0013595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lang w:eastAsia="zh-CN"/>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528"/>
        </w:tabs>
        <w:ind w:left="5528"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52A14"/>
    <w:rsid w:val="00077D53"/>
    <w:rsid w:val="000A1E1D"/>
    <w:rsid w:val="000E3D7E"/>
    <w:rsid w:val="000E5C66"/>
    <w:rsid w:val="00105FD9"/>
    <w:rsid w:val="00117666"/>
    <w:rsid w:val="0013595E"/>
    <w:rsid w:val="001549D3"/>
    <w:rsid w:val="00160065"/>
    <w:rsid w:val="00177D84"/>
    <w:rsid w:val="00226526"/>
    <w:rsid w:val="00267D18"/>
    <w:rsid w:val="00274347"/>
    <w:rsid w:val="002868E2"/>
    <w:rsid w:val="002869C3"/>
    <w:rsid w:val="002936E4"/>
    <w:rsid w:val="002B4A57"/>
    <w:rsid w:val="002C74CA"/>
    <w:rsid w:val="003123F4"/>
    <w:rsid w:val="003508C2"/>
    <w:rsid w:val="003544FB"/>
    <w:rsid w:val="003D2F2D"/>
    <w:rsid w:val="003D4486"/>
    <w:rsid w:val="00401590"/>
    <w:rsid w:val="00447801"/>
    <w:rsid w:val="00452E9C"/>
    <w:rsid w:val="0045645A"/>
    <w:rsid w:val="004735C8"/>
    <w:rsid w:val="004947A6"/>
    <w:rsid w:val="004961FF"/>
    <w:rsid w:val="00517A89"/>
    <w:rsid w:val="005250F2"/>
    <w:rsid w:val="005652F6"/>
    <w:rsid w:val="00593EEA"/>
    <w:rsid w:val="005A5EEE"/>
    <w:rsid w:val="006375C7"/>
    <w:rsid w:val="00654E8F"/>
    <w:rsid w:val="00660D05"/>
    <w:rsid w:val="006820B1"/>
    <w:rsid w:val="006B7D14"/>
    <w:rsid w:val="00701727"/>
    <w:rsid w:val="0070566C"/>
    <w:rsid w:val="00714C50"/>
    <w:rsid w:val="00725554"/>
    <w:rsid w:val="00725A7D"/>
    <w:rsid w:val="007501BE"/>
    <w:rsid w:val="00790BB3"/>
    <w:rsid w:val="007C206C"/>
    <w:rsid w:val="00817DD6"/>
    <w:rsid w:val="0083759F"/>
    <w:rsid w:val="00885156"/>
    <w:rsid w:val="009151AA"/>
    <w:rsid w:val="00915D30"/>
    <w:rsid w:val="0093429D"/>
    <w:rsid w:val="00943573"/>
    <w:rsid w:val="00964134"/>
    <w:rsid w:val="00970F7D"/>
    <w:rsid w:val="00994A3D"/>
    <w:rsid w:val="009C2B12"/>
    <w:rsid w:val="00A174D9"/>
    <w:rsid w:val="00AA4D24"/>
    <w:rsid w:val="00AB6715"/>
    <w:rsid w:val="00B1671E"/>
    <w:rsid w:val="00B25EB8"/>
    <w:rsid w:val="00B37F4D"/>
    <w:rsid w:val="00BA08CE"/>
    <w:rsid w:val="00C476E2"/>
    <w:rsid w:val="00C52A7B"/>
    <w:rsid w:val="00C56BAF"/>
    <w:rsid w:val="00C679AA"/>
    <w:rsid w:val="00C718BB"/>
    <w:rsid w:val="00C75972"/>
    <w:rsid w:val="00CD066B"/>
    <w:rsid w:val="00CE4FEE"/>
    <w:rsid w:val="00D060CF"/>
    <w:rsid w:val="00DB59C3"/>
    <w:rsid w:val="00DC0EC8"/>
    <w:rsid w:val="00DC259A"/>
    <w:rsid w:val="00DC3792"/>
    <w:rsid w:val="00DE23E8"/>
    <w:rsid w:val="00DF7589"/>
    <w:rsid w:val="00E24841"/>
    <w:rsid w:val="00E52377"/>
    <w:rsid w:val="00E537AD"/>
    <w:rsid w:val="00E64E17"/>
    <w:rsid w:val="00E866C9"/>
    <w:rsid w:val="00EA3B4D"/>
    <w:rsid w:val="00EA3D3C"/>
    <w:rsid w:val="00EC090A"/>
    <w:rsid w:val="00ED20B5"/>
    <w:rsid w:val="00F32F92"/>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tabs>
        <w:tab w:val="clear" w:pos="5528"/>
        <w:tab w:val="num" w:pos="567"/>
      </w:tabs>
      <w:spacing w:after="200"/>
      <w:ind w:left="567"/>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1">
    <w:name w:val="网格型1"/>
    <w:basedOn w:val="TableNormal"/>
    <w:next w:val="TableGrid"/>
    <w:uiPriority w:val="39"/>
    <w:rsid w:val="00F32F92"/>
    <w:pPr>
      <w:spacing w:after="0" w:line="240" w:lineRule="auto"/>
      <w:jc w:val="both"/>
    </w:pPr>
    <w:rPr>
      <w:rFonts w:ascii="Times New Roman" w:eastAsia="DengXian Light" w:hAnsi="Times New Roman" w:cs="Times New Roma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hymall.com/cp_view.asp?id=468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hhymal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9A8FD9-7E83-4B7A-9C4D-229FE98D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Florine Lièvre</cp:lastModifiedBy>
  <cp:revision>10</cp:revision>
  <cp:lastPrinted>2020-04-16T12:34:00Z</cp:lastPrinted>
  <dcterms:created xsi:type="dcterms:W3CDTF">2020-04-16T11:04:00Z</dcterms:created>
  <dcterms:modified xsi:type="dcterms:W3CDTF">2020-05-01T14:59:00Z</dcterms:modified>
</cp:coreProperties>
</file>