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CB0FC6">
      <w:pPr>
        <w:pStyle w:val="Title"/>
      </w:pPr>
      <w:r w:rsidRPr="001549D3">
        <w:t>Supplementary Material</w:t>
      </w:r>
    </w:p>
    <w:p w14:paraId="3BD5A427" w14:textId="10C20D03" w:rsidR="00EA3D3C" w:rsidRPr="00994A3D" w:rsidRDefault="00654E8F" w:rsidP="0001436A">
      <w:pPr>
        <w:pStyle w:val="Heading1"/>
      </w:pPr>
      <w:r w:rsidRPr="00994A3D">
        <w:t xml:space="preserve">Supplementary </w:t>
      </w:r>
      <w:r w:rsidR="005528CD">
        <w:t xml:space="preserve">Information - </w:t>
      </w:r>
      <w:r w:rsidR="005528CD" w:rsidRPr="005528CD">
        <w:t>Material and Methods</w:t>
      </w:r>
    </w:p>
    <w:p w14:paraId="006BBBE5" w14:textId="570C4FCC" w:rsidR="005528CD" w:rsidRDefault="005528CD" w:rsidP="005528CD">
      <w:pPr>
        <w:pStyle w:val="Heading2"/>
      </w:pPr>
      <w:r w:rsidRPr="005528CD">
        <w:t>Microscopic investigations of sponge fragments - Epifluorescence microscopy</w:t>
      </w:r>
    </w:p>
    <w:p w14:paraId="050EDC59" w14:textId="77137CF8" w:rsidR="005528CD" w:rsidRDefault="005528CD" w:rsidP="00994A3D">
      <w:pPr>
        <w:jc w:val="both"/>
        <w:rPr>
          <w:rFonts w:cs="Times New Roman"/>
          <w:szCs w:val="24"/>
        </w:rPr>
      </w:pPr>
      <w:r w:rsidRPr="005528CD">
        <w:rPr>
          <w:rFonts w:cs="Times New Roman"/>
          <w:szCs w:val="24"/>
        </w:rPr>
        <w:t>Quantification of bacterial abundances in sponge fragments was performed by SG-I staining. Sponge fragments (approx. 100 mg) were washed with autoclaved and 0.2 µm</w:t>
      </w:r>
      <w:r w:rsidRPr="005528CD">
        <w:rPr>
          <w:rFonts w:cs="Times New Roman"/>
          <w:szCs w:val="24"/>
        </w:rPr>
        <w:noBreakHyphen/>
        <w:t xml:space="preserve">filtered ambient water (AW), cut in small pieces using a sterile scalpel, and homogenized in 4 mL AW in a paddle blender (Stomacher® 80 </w:t>
      </w:r>
      <w:proofErr w:type="spellStart"/>
      <w:r w:rsidRPr="005528CD">
        <w:rPr>
          <w:rFonts w:cs="Times New Roman"/>
          <w:szCs w:val="24"/>
        </w:rPr>
        <w:t>Biomaster</w:t>
      </w:r>
      <w:proofErr w:type="spellEnd"/>
      <w:r w:rsidRPr="005528CD">
        <w:rPr>
          <w:rFonts w:cs="Times New Roman"/>
          <w:szCs w:val="24"/>
        </w:rPr>
        <w:t xml:space="preserve">, Seward Limited, </w:t>
      </w:r>
      <w:proofErr w:type="spellStart"/>
      <w:r w:rsidRPr="005528CD">
        <w:rPr>
          <w:rFonts w:cs="Times New Roman"/>
          <w:szCs w:val="24"/>
        </w:rPr>
        <w:t>Worthing</w:t>
      </w:r>
      <w:proofErr w:type="spellEnd"/>
      <w:r w:rsidRPr="005528CD">
        <w:rPr>
          <w:rFonts w:cs="Times New Roman"/>
          <w:szCs w:val="24"/>
        </w:rPr>
        <w:t>, UK) at 300 rpm for 4 min. The homogenate was fixed overnight with 3.7% (v/v) methanol free formaldehyde (Carl Roth, Karlsruhe, Germany) at 4°C and serially diluted up to 10</w:t>
      </w:r>
      <w:r w:rsidRPr="005528CD">
        <w:rPr>
          <w:rFonts w:cs="Times New Roman"/>
          <w:szCs w:val="24"/>
          <w:vertAlign w:val="superscript"/>
        </w:rPr>
        <w:noBreakHyphen/>
        <w:t>4</w:t>
      </w:r>
      <w:r w:rsidRPr="005528CD">
        <w:rPr>
          <w:rFonts w:cs="Times New Roman"/>
          <w:szCs w:val="24"/>
        </w:rPr>
        <w:t xml:space="preserve"> in 0.2 µm</w:t>
      </w:r>
      <w:r w:rsidRPr="005528CD">
        <w:rPr>
          <w:rFonts w:cs="Times New Roman"/>
          <w:szCs w:val="24"/>
        </w:rPr>
        <w:noBreakHyphen/>
        <w:t>filtered artificial seawater (ASW). A volume of 0.9 mL was vacuum</w:t>
      </w:r>
      <w:r w:rsidRPr="005528CD">
        <w:rPr>
          <w:rFonts w:cs="Times New Roman"/>
          <w:szCs w:val="24"/>
        </w:rPr>
        <w:noBreakHyphen/>
        <w:t>filtered onto black 0.2 µm membrane filters (</w:t>
      </w:r>
      <w:proofErr w:type="spellStart"/>
      <w:r w:rsidRPr="005528CD">
        <w:rPr>
          <w:rFonts w:cs="Times New Roman"/>
          <w:szCs w:val="24"/>
        </w:rPr>
        <w:t>Whatman</w:t>
      </w:r>
      <w:r w:rsidRPr="005528CD">
        <w:rPr>
          <w:rFonts w:cs="Times New Roman"/>
          <w:szCs w:val="24"/>
          <w:vertAlign w:val="superscript"/>
        </w:rPr>
        <w:t>TM</w:t>
      </w:r>
      <w:proofErr w:type="spellEnd"/>
      <w:r w:rsidRPr="005528CD">
        <w:rPr>
          <w:rFonts w:cs="Times New Roman"/>
          <w:szCs w:val="24"/>
        </w:rPr>
        <w:t xml:space="preserve"> </w:t>
      </w:r>
      <w:proofErr w:type="spellStart"/>
      <w:r w:rsidRPr="005528CD">
        <w:rPr>
          <w:rFonts w:cs="Times New Roman"/>
          <w:szCs w:val="24"/>
        </w:rPr>
        <w:t>Cyclopore</w:t>
      </w:r>
      <w:proofErr w:type="spellEnd"/>
      <w:r w:rsidRPr="005528CD">
        <w:rPr>
          <w:rFonts w:cs="Times New Roman"/>
          <w:szCs w:val="24"/>
        </w:rPr>
        <w:t xml:space="preserve">® track etched membranes, 25 mm) supported by 5.0 µm </w:t>
      </w:r>
      <w:proofErr w:type="spellStart"/>
      <w:r w:rsidRPr="005528CD">
        <w:rPr>
          <w:rFonts w:cs="Times New Roman"/>
          <w:szCs w:val="24"/>
        </w:rPr>
        <w:t>Whatman</w:t>
      </w:r>
      <w:r w:rsidRPr="005528CD">
        <w:rPr>
          <w:rFonts w:cs="Times New Roman"/>
          <w:szCs w:val="24"/>
          <w:vertAlign w:val="superscript"/>
        </w:rPr>
        <w:t>TM</w:t>
      </w:r>
      <w:proofErr w:type="spellEnd"/>
      <w:r w:rsidRPr="005528CD">
        <w:rPr>
          <w:rFonts w:cs="Times New Roman"/>
          <w:szCs w:val="24"/>
        </w:rPr>
        <w:t xml:space="preserve"> cellulose nitrate membrane filters (25 mm; GE Healthcare, Little Chalfont, UK) and subsequently stained with SYBR® Green I </w:t>
      </w:r>
      <w:proofErr w:type="spellStart"/>
      <w:r w:rsidRPr="005528CD">
        <w:rPr>
          <w:rFonts w:cs="Times New Roman"/>
          <w:szCs w:val="24"/>
        </w:rPr>
        <w:t>moviol</w:t>
      </w:r>
      <w:proofErr w:type="spellEnd"/>
      <w:r w:rsidRPr="005528CD">
        <w:rPr>
          <w:rFonts w:cs="Times New Roman"/>
          <w:szCs w:val="24"/>
        </w:rPr>
        <w:t xml:space="preserve"> staining solution as described by </w:t>
      </w:r>
      <w:proofErr w:type="spellStart"/>
      <w:r w:rsidRPr="005528CD">
        <w:rPr>
          <w:rFonts w:cs="Times New Roman"/>
          <w:szCs w:val="24"/>
        </w:rPr>
        <w:t>Lunau</w:t>
      </w:r>
      <w:proofErr w:type="spellEnd"/>
      <w:r w:rsidRPr="005528CD">
        <w:rPr>
          <w:rFonts w:cs="Times New Roman"/>
          <w:szCs w:val="24"/>
        </w:rPr>
        <w:t xml:space="preserve"> </w:t>
      </w:r>
      <w:r w:rsidRPr="005528CD">
        <w:rPr>
          <w:rFonts w:cs="Times New Roman"/>
          <w:iCs/>
          <w:szCs w:val="24"/>
        </w:rPr>
        <w:t>et al.</w:t>
      </w:r>
      <w:r w:rsidRPr="005528CD">
        <w:rPr>
          <w:rFonts w:cs="Times New Roman"/>
          <w:szCs w:val="24"/>
        </w:rPr>
        <w:t xml:space="preserve"> (2005) containing 340x SYBR® Green I (v/v, final conc.) (Sigma</w:t>
      </w:r>
      <w:r w:rsidRPr="005528CD">
        <w:rPr>
          <w:rFonts w:cs="Times New Roman"/>
          <w:szCs w:val="24"/>
        </w:rPr>
        <w:noBreakHyphen/>
        <w:t>Aldrich, St. Louis, USA) and 1.4x ascorbic acid (v/v, final conc.). Bacterial numbers were assessed in three independent samples by counting of ten randomly selected fields of view per sample.</w:t>
      </w:r>
    </w:p>
    <w:p w14:paraId="03049C19" w14:textId="57E64167" w:rsidR="005528CD" w:rsidRDefault="005528CD" w:rsidP="00994A3D">
      <w:pPr>
        <w:jc w:val="both"/>
        <w:rPr>
          <w:rFonts w:cs="Times New Roman"/>
          <w:szCs w:val="24"/>
        </w:rPr>
      </w:pPr>
      <w:r w:rsidRPr="005528CD">
        <w:rPr>
          <w:rFonts w:cs="Times New Roman"/>
          <w:szCs w:val="24"/>
        </w:rPr>
        <w:t xml:space="preserve">Catalyzed Reporter Deposition Fluorescence </w:t>
      </w:r>
      <w:r w:rsidRPr="005528CD">
        <w:rPr>
          <w:rFonts w:cs="Times New Roman"/>
          <w:i/>
          <w:iCs/>
          <w:szCs w:val="24"/>
        </w:rPr>
        <w:t>In</w:t>
      </w:r>
      <w:r w:rsidRPr="005528CD">
        <w:rPr>
          <w:rFonts w:cs="Times New Roman"/>
          <w:i/>
          <w:iCs/>
          <w:szCs w:val="24"/>
        </w:rPr>
        <w:noBreakHyphen/>
        <w:t>Situ</w:t>
      </w:r>
      <w:r w:rsidRPr="005528CD">
        <w:rPr>
          <w:rFonts w:cs="Times New Roman"/>
          <w:szCs w:val="24"/>
        </w:rPr>
        <w:t xml:space="preserve"> Hybridization (CARD</w:t>
      </w:r>
      <w:r w:rsidRPr="005528CD">
        <w:rPr>
          <w:rFonts w:cs="Times New Roman"/>
          <w:szCs w:val="24"/>
        </w:rPr>
        <w:noBreakHyphen/>
        <w:t xml:space="preserve">FISH) was done according to </w:t>
      </w:r>
      <w:proofErr w:type="spellStart"/>
      <w:r w:rsidRPr="005528CD">
        <w:rPr>
          <w:rFonts w:cs="Times New Roman"/>
          <w:szCs w:val="24"/>
        </w:rPr>
        <w:t>Bižić</w:t>
      </w:r>
      <w:proofErr w:type="spellEnd"/>
      <w:r w:rsidRPr="005528CD">
        <w:rPr>
          <w:rFonts w:cs="Times New Roman"/>
          <w:szCs w:val="24"/>
        </w:rPr>
        <w:noBreakHyphen/>
        <w:t>Ionescu et al. (2015). Therefore, the general bacterial probe mix EUBI</w:t>
      </w:r>
      <w:r w:rsidRPr="005528CD">
        <w:rPr>
          <w:rFonts w:cs="Times New Roman"/>
          <w:szCs w:val="24"/>
        </w:rPr>
        <w:noBreakHyphen/>
        <w:t xml:space="preserve">III (Amann </w:t>
      </w:r>
      <w:r w:rsidRPr="005528CD">
        <w:rPr>
          <w:rFonts w:cs="Times New Roman"/>
          <w:iCs/>
          <w:szCs w:val="24"/>
        </w:rPr>
        <w:t>et al.</w:t>
      </w:r>
      <w:r>
        <w:rPr>
          <w:rFonts w:cs="Times New Roman"/>
          <w:iCs/>
          <w:szCs w:val="24"/>
        </w:rPr>
        <w:t>,</w:t>
      </w:r>
      <w:r w:rsidRPr="005528CD">
        <w:rPr>
          <w:rFonts w:cs="Times New Roman"/>
          <w:szCs w:val="24"/>
        </w:rPr>
        <w:t xml:space="preserve"> 1990; </w:t>
      </w:r>
      <w:proofErr w:type="spellStart"/>
      <w:r w:rsidRPr="005528CD">
        <w:rPr>
          <w:rFonts w:cs="Times New Roman"/>
          <w:szCs w:val="24"/>
        </w:rPr>
        <w:t>Daims</w:t>
      </w:r>
      <w:proofErr w:type="spellEnd"/>
      <w:r w:rsidRPr="005528CD">
        <w:rPr>
          <w:rFonts w:cs="Times New Roman"/>
          <w:szCs w:val="24"/>
        </w:rPr>
        <w:t xml:space="preserve"> </w:t>
      </w:r>
      <w:r w:rsidRPr="005528CD">
        <w:rPr>
          <w:rFonts w:cs="Times New Roman"/>
          <w:i/>
          <w:szCs w:val="24"/>
        </w:rPr>
        <w:t>et al</w:t>
      </w:r>
      <w:r w:rsidRPr="005528CD">
        <w:rPr>
          <w:rFonts w:cs="Times New Roman"/>
          <w:szCs w:val="24"/>
        </w:rPr>
        <w:t>. 1999), the reverse</w:t>
      </w:r>
      <w:r w:rsidRPr="005528CD">
        <w:rPr>
          <w:rFonts w:cs="Times New Roman"/>
          <w:szCs w:val="24"/>
        </w:rPr>
        <w:noBreakHyphen/>
        <w:t>complementary negative control probe non</w:t>
      </w:r>
      <w:r w:rsidRPr="005528CD">
        <w:rPr>
          <w:rFonts w:cs="Times New Roman"/>
          <w:szCs w:val="24"/>
        </w:rPr>
        <w:noBreakHyphen/>
        <w:t>EUB (</w:t>
      </w:r>
      <w:proofErr w:type="spellStart"/>
      <w:r w:rsidRPr="005528CD">
        <w:rPr>
          <w:rFonts w:cs="Times New Roman"/>
          <w:szCs w:val="24"/>
        </w:rPr>
        <w:t>Wallner</w:t>
      </w:r>
      <w:proofErr w:type="spellEnd"/>
      <w:r w:rsidRPr="005528CD">
        <w:rPr>
          <w:rFonts w:cs="Times New Roman"/>
          <w:szCs w:val="24"/>
        </w:rPr>
        <w:t xml:space="preserve"> </w:t>
      </w:r>
      <w:r w:rsidRPr="005528CD">
        <w:rPr>
          <w:rFonts w:cs="Times New Roman"/>
          <w:iCs/>
          <w:szCs w:val="24"/>
        </w:rPr>
        <w:t>et al</w:t>
      </w:r>
      <w:r w:rsidRPr="005528CD">
        <w:rPr>
          <w:rFonts w:cs="Times New Roman"/>
          <w:szCs w:val="24"/>
        </w:rPr>
        <w:t>.</w:t>
      </w:r>
      <w:r>
        <w:rPr>
          <w:rFonts w:cs="Times New Roman"/>
          <w:szCs w:val="24"/>
        </w:rPr>
        <w:t>,</w:t>
      </w:r>
      <w:r w:rsidRPr="005528CD">
        <w:rPr>
          <w:rFonts w:cs="Times New Roman"/>
          <w:szCs w:val="24"/>
        </w:rPr>
        <w:t xml:space="preserve"> 1993) and </w:t>
      </w:r>
      <w:proofErr w:type="spellStart"/>
      <w:r w:rsidRPr="005528CD">
        <w:rPr>
          <w:rFonts w:cs="Times New Roman"/>
          <w:szCs w:val="24"/>
        </w:rPr>
        <w:t>tyramides</w:t>
      </w:r>
      <w:proofErr w:type="spellEnd"/>
      <w:r w:rsidRPr="005528CD">
        <w:rPr>
          <w:rFonts w:cs="Times New Roman"/>
          <w:szCs w:val="24"/>
        </w:rPr>
        <w:t xml:space="preserve"> conjugated with the fluorescent dye Alexa Fluor® 488 (</w:t>
      </w:r>
      <w:proofErr w:type="spellStart"/>
      <w:r w:rsidRPr="005528CD">
        <w:rPr>
          <w:rFonts w:cs="Times New Roman"/>
          <w:szCs w:val="24"/>
        </w:rPr>
        <w:t>λ</w:t>
      </w:r>
      <w:r w:rsidRPr="005528CD">
        <w:rPr>
          <w:rFonts w:cs="Times New Roman"/>
          <w:szCs w:val="24"/>
          <w:vertAlign w:val="subscript"/>
        </w:rPr>
        <w:t>ex</w:t>
      </w:r>
      <w:proofErr w:type="spellEnd"/>
      <w:r w:rsidRPr="005528CD">
        <w:rPr>
          <w:rFonts w:cs="Times New Roman"/>
          <w:szCs w:val="24"/>
        </w:rPr>
        <w:t xml:space="preserve"> 490 nm; </w:t>
      </w:r>
      <w:proofErr w:type="spellStart"/>
      <w:r w:rsidRPr="005528CD">
        <w:rPr>
          <w:rFonts w:cs="Times New Roman"/>
          <w:szCs w:val="24"/>
        </w:rPr>
        <w:t>λ</w:t>
      </w:r>
      <w:r w:rsidRPr="005528CD">
        <w:rPr>
          <w:rFonts w:cs="Times New Roman"/>
          <w:szCs w:val="24"/>
          <w:vertAlign w:val="subscript"/>
        </w:rPr>
        <w:t>em</w:t>
      </w:r>
      <w:proofErr w:type="spellEnd"/>
      <w:r w:rsidRPr="005528CD">
        <w:rPr>
          <w:rFonts w:cs="Times New Roman"/>
          <w:szCs w:val="24"/>
        </w:rPr>
        <w:t xml:space="preserve"> 525 nm) were used. Counterstaining of DNA was performed using DAPI (4',6</w:t>
      </w:r>
      <w:r w:rsidRPr="005528CD">
        <w:rPr>
          <w:rFonts w:cs="Times New Roman"/>
          <w:szCs w:val="24"/>
        </w:rPr>
        <w:noBreakHyphen/>
        <w:t>diamidino</w:t>
      </w:r>
      <w:r w:rsidRPr="005528CD">
        <w:rPr>
          <w:rFonts w:cs="Times New Roman"/>
          <w:szCs w:val="24"/>
        </w:rPr>
        <w:noBreakHyphen/>
        <w:t>2</w:t>
      </w:r>
      <w:r w:rsidRPr="005528CD">
        <w:rPr>
          <w:rFonts w:cs="Times New Roman"/>
          <w:szCs w:val="24"/>
        </w:rPr>
        <w:noBreakHyphen/>
        <w:t xml:space="preserve">phenylindole, </w:t>
      </w:r>
      <w:proofErr w:type="spellStart"/>
      <w:r w:rsidRPr="005528CD">
        <w:rPr>
          <w:rFonts w:cs="Times New Roman"/>
          <w:szCs w:val="24"/>
        </w:rPr>
        <w:t>λ</w:t>
      </w:r>
      <w:r w:rsidRPr="005528CD">
        <w:rPr>
          <w:rFonts w:cs="Times New Roman"/>
          <w:szCs w:val="24"/>
          <w:vertAlign w:val="subscript"/>
        </w:rPr>
        <w:t>ex</w:t>
      </w:r>
      <w:proofErr w:type="spellEnd"/>
      <w:r w:rsidRPr="005528CD">
        <w:rPr>
          <w:rFonts w:cs="Times New Roman"/>
          <w:szCs w:val="24"/>
        </w:rPr>
        <w:t xml:space="preserve"> 358 nm; </w:t>
      </w:r>
      <w:proofErr w:type="spellStart"/>
      <w:r w:rsidRPr="005528CD">
        <w:rPr>
          <w:rFonts w:cs="Times New Roman"/>
          <w:szCs w:val="24"/>
        </w:rPr>
        <w:t>λ</w:t>
      </w:r>
      <w:r w:rsidRPr="005528CD">
        <w:rPr>
          <w:rFonts w:cs="Times New Roman"/>
          <w:szCs w:val="24"/>
          <w:vertAlign w:val="subscript"/>
        </w:rPr>
        <w:t>em</w:t>
      </w:r>
      <w:proofErr w:type="spellEnd"/>
      <w:r w:rsidRPr="005528CD">
        <w:rPr>
          <w:rFonts w:cs="Times New Roman"/>
          <w:szCs w:val="24"/>
        </w:rPr>
        <w:t xml:space="preserve"> 461 nm).</w:t>
      </w:r>
      <w:r>
        <w:rPr>
          <w:rFonts w:cs="Times New Roman"/>
          <w:szCs w:val="24"/>
        </w:rPr>
        <w:tab/>
      </w:r>
      <w:r>
        <w:rPr>
          <w:rFonts w:cs="Times New Roman"/>
          <w:szCs w:val="24"/>
        </w:rPr>
        <w:br/>
      </w:r>
      <w:r w:rsidRPr="005528CD">
        <w:rPr>
          <w:rFonts w:cs="Times New Roman"/>
          <w:szCs w:val="24"/>
        </w:rPr>
        <w:t xml:space="preserve">Samples were inspected with a Leica DM5000B epifluorescence microscope equipped with filters for </w:t>
      </w:r>
      <w:proofErr w:type="spellStart"/>
      <w:r w:rsidRPr="005528CD">
        <w:rPr>
          <w:rFonts w:cs="Times New Roman"/>
          <w:szCs w:val="24"/>
        </w:rPr>
        <w:t>SybrGreen</w:t>
      </w:r>
      <w:proofErr w:type="spellEnd"/>
      <w:r w:rsidRPr="005528CD">
        <w:rPr>
          <w:rFonts w:cs="Times New Roman"/>
          <w:szCs w:val="24"/>
        </w:rPr>
        <w:noBreakHyphen/>
        <w:t xml:space="preserve">I and Alexa Fluor® 488 dye (excitation filter, EX: 480/40; dichromatic mirror, DC: 505; emission filter, EM: 527/30), DAPI (EX: 350/50, DC: 400, EM: 460/50), and autofluorescence (EX: 538/45, DC: 580, EM: 590) (Leica Microsystems, </w:t>
      </w:r>
      <w:proofErr w:type="spellStart"/>
      <w:r w:rsidRPr="005528CD">
        <w:rPr>
          <w:rFonts w:cs="Times New Roman"/>
          <w:szCs w:val="24"/>
        </w:rPr>
        <w:t>Wetzlar</w:t>
      </w:r>
      <w:proofErr w:type="spellEnd"/>
      <w:r w:rsidRPr="005528CD">
        <w:rPr>
          <w:rFonts w:cs="Times New Roman"/>
          <w:szCs w:val="24"/>
        </w:rPr>
        <w:t xml:space="preserve">, Germany). Images were acquired with a Leica DFC3000G camera and processed with LASX 1.5.1.13187 (Leica Microsystems, </w:t>
      </w:r>
      <w:proofErr w:type="spellStart"/>
      <w:r w:rsidRPr="005528CD">
        <w:rPr>
          <w:rFonts w:cs="Times New Roman"/>
          <w:szCs w:val="24"/>
        </w:rPr>
        <w:t>Wetzlar</w:t>
      </w:r>
      <w:proofErr w:type="spellEnd"/>
      <w:r w:rsidRPr="005528CD">
        <w:rPr>
          <w:rFonts w:cs="Times New Roman"/>
          <w:szCs w:val="24"/>
        </w:rPr>
        <w:t>, Germany).</w:t>
      </w:r>
    </w:p>
    <w:p w14:paraId="3767F28C" w14:textId="522138F1" w:rsidR="005528CD" w:rsidRDefault="005528CD" w:rsidP="005528CD">
      <w:pPr>
        <w:pStyle w:val="Heading2"/>
      </w:pPr>
      <w:r w:rsidRPr="005528CD">
        <w:t>Microscopic investigations of sponge fragments - Transmission electron microscopy (TEM)</w:t>
      </w:r>
    </w:p>
    <w:p w14:paraId="0E0730D8" w14:textId="0D53D864" w:rsidR="00994A3D" w:rsidRDefault="005528CD" w:rsidP="00994A3D">
      <w:pPr>
        <w:jc w:val="both"/>
        <w:rPr>
          <w:rFonts w:cs="Times New Roman"/>
          <w:szCs w:val="24"/>
        </w:rPr>
      </w:pPr>
      <w:r w:rsidRPr="005528CD">
        <w:rPr>
          <w:rFonts w:cs="Times New Roman"/>
          <w:szCs w:val="24"/>
        </w:rPr>
        <w:t xml:space="preserve">Sponge fragments were washed with AW and fixed in 2.5% glutaraldehyde and 1.5% formaldehyde in 0.1M phosphate buffer (PB, pH 8.0) containing 0.3 M NaCl, for 3 </w:t>
      </w:r>
      <w:proofErr w:type="spellStart"/>
      <w:r w:rsidRPr="005528CD">
        <w:rPr>
          <w:rFonts w:cs="Times New Roman"/>
          <w:szCs w:val="24"/>
        </w:rPr>
        <w:t>hrs</w:t>
      </w:r>
      <w:proofErr w:type="spellEnd"/>
      <w:r w:rsidRPr="005528CD">
        <w:rPr>
          <w:rFonts w:cs="Times New Roman"/>
          <w:szCs w:val="24"/>
        </w:rPr>
        <w:t xml:space="preserve"> at RT. Cross sections of sponge fragments were prepared with a sterile razor blade, washed with PB, post</w:t>
      </w:r>
      <w:r w:rsidRPr="005528CD">
        <w:rPr>
          <w:rFonts w:cs="Times New Roman"/>
          <w:szCs w:val="24"/>
        </w:rPr>
        <w:noBreakHyphen/>
        <w:t>fixed in 2% osmium tetroxide in PB and washed again first in PB and then in double distilled water. After dehydration through a graded ethanol series samples were embedded in resin using the Modified SPURR embedding Kit (</w:t>
      </w:r>
      <w:proofErr w:type="spellStart"/>
      <w:r w:rsidRPr="005528CD">
        <w:rPr>
          <w:rFonts w:cs="Times New Roman"/>
          <w:szCs w:val="24"/>
        </w:rPr>
        <w:t>Serva</w:t>
      </w:r>
      <w:proofErr w:type="spellEnd"/>
      <w:r w:rsidRPr="005528CD">
        <w:rPr>
          <w:rFonts w:cs="Times New Roman"/>
          <w:szCs w:val="24"/>
        </w:rPr>
        <w:t xml:space="preserve"> Electrophoresis, Heidelberg, Germany) according to the manufacturer’s protocol. After curing by heat blocks were immersed in 20% (v/v) hydrofluoric acid for 15 minutes in order to dissolve spiculae. Ultra</w:t>
      </w:r>
      <w:r w:rsidRPr="005528CD">
        <w:rPr>
          <w:rFonts w:cs="Times New Roman"/>
          <w:szCs w:val="24"/>
        </w:rPr>
        <w:noBreakHyphen/>
        <w:t xml:space="preserve">thin cross sections (60 nm) were cut with an ultramicrotome (Reichert </w:t>
      </w:r>
      <w:proofErr w:type="spellStart"/>
      <w:r w:rsidRPr="005528CD">
        <w:rPr>
          <w:rFonts w:cs="Times New Roman"/>
          <w:szCs w:val="24"/>
        </w:rPr>
        <w:t>Ultracut</w:t>
      </w:r>
      <w:proofErr w:type="spellEnd"/>
      <w:r w:rsidRPr="005528CD">
        <w:rPr>
          <w:rFonts w:cs="Times New Roman"/>
          <w:szCs w:val="24"/>
        </w:rPr>
        <w:t xml:space="preserve"> S, Leica Microsystems, </w:t>
      </w:r>
      <w:proofErr w:type="spellStart"/>
      <w:r w:rsidRPr="005528CD">
        <w:rPr>
          <w:rFonts w:cs="Times New Roman"/>
          <w:szCs w:val="24"/>
        </w:rPr>
        <w:t>Wetzlar</w:t>
      </w:r>
      <w:proofErr w:type="spellEnd"/>
      <w:r w:rsidRPr="005528CD">
        <w:rPr>
          <w:rFonts w:cs="Times New Roman"/>
          <w:szCs w:val="24"/>
        </w:rPr>
        <w:t xml:space="preserve">, Germany). Sections were mounted on copper slot grids supported by 1.25% Formvar film and contrasted with 4% uranyl acetate (30 minutes) and Reynolds lead citrate (8 minutes). </w:t>
      </w:r>
      <w:r w:rsidRPr="005528CD">
        <w:rPr>
          <w:rFonts w:cs="Times New Roman"/>
          <w:szCs w:val="24"/>
        </w:rPr>
        <w:lastRenderedPageBreak/>
        <w:t xml:space="preserve">Ultrathin sections were inspected in an EM912AB (Zeiss, </w:t>
      </w:r>
      <w:proofErr w:type="spellStart"/>
      <w:r w:rsidRPr="005528CD">
        <w:rPr>
          <w:rFonts w:cs="Times New Roman"/>
          <w:szCs w:val="24"/>
        </w:rPr>
        <w:t>Oberkochen</w:t>
      </w:r>
      <w:proofErr w:type="spellEnd"/>
      <w:r w:rsidRPr="005528CD">
        <w:rPr>
          <w:rFonts w:cs="Times New Roman"/>
          <w:szCs w:val="24"/>
        </w:rPr>
        <w:t xml:space="preserve">, Germany) transmission electron microscope (accelerating voltage 120 kV) and images were recorded at slight under focus using a 2kx2k </w:t>
      </w:r>
      <w:proofErr w:type="spellStart"/>
      <w:r w:rsidRPr="005528CD">
        <w:rPr>
          <w:rFonts w:cs="Times New Roman"/>
          <w:szCs w:val="24"/>
        </w:rPr>
        <w:t>ssCCD</w:t>
      </w:r>
      <w:proofErr w:type="spellEnd"/>
      <w:r w:rsidRPr="005528CD">
        <w:rPr>
          <w:rFonts w:cs="Times New Roman"/>
          <w:szCs w:val="24"/>
        </w:rPr>
        <w:t xml:space="preserve"> camera (TRS “</w:t>
      </w:r>
      <w:proofErr w:type="spellStart"/>
      <w:r w:rsidRPr="005528CD">
        <w:rPr>
          <w:rFonts w:cs="Times New Roman"/>
          <w:szCs w:val="24"/>
        </w:rPr>
        <w:t>Tröndle</w:t>
      </w:r>
      <w:proofErr w:type="spellEnd"/>
      <w:r w:rsidRPr="005528CD">
        <w:rPr>
          <w:rFonts w:cs="Times New Roman"/>
          <w:szCs w:val="24"/>
        </w:rPr>
        <w:t xml:space="preserve"> </w:t>
      </w:r>
      <w:proofErr w:type="spellStart"/>
      <w:r w:rsidRPr="005528CD">
        <w:rPr>
          <w:rFonts w:cs="Times New Roman"/>
          <w:szCs w:val="24"/>
        </w:rPr>
        <w:t>Restlichtverstärkersysteme</w:t>
      </w:r>
      <w:proofErr w:type="spellEnd"/>
      <w:r w:rsidRPr="005528CD">
        <w:rPr>
          <w:rFonts w:cs="Times New Roman"/>
          <w:szCs w:val="24"/>
        </w:rPr>
        <w:t xml:space="preserve">”, </w:t>
      </w:r>
      <w:proofErr w:type="spellStart"/>
      <w:r w:rsidRPr="005528CD">
        <w:rPr>
          <w:rFonts w:cs="Times New Roman"/>
          <w:szCs w:val="24"/>
        </w:rPr>
        <w:t>Moorenweis</w:t>
      </w:r>
      <w:proofErr w:type="spellEnd"/>
      <w:r w:rsidRPr="005528CD">
        <w:rPr>
          <w:rFonts w:cs="Times New Roman"/>
          <w:szCs w:val="24"/>
        </w:rPr>
        <w:t>, Germany).</w:t>
      </w:r>
    </w:p>
    <w:p w14:paraId="2C0F3D38" w14:textId="3FB31E76" w:rsidR="005528CD" w:rsidRPr="00994A3D" w:rsidRDefault="005528CD" w:rsidP="005528CD">
      <w:pPr>
        <w:pStyle w:val="Heading1"/>
      </w:pPr>
      <w:r w:rsidRPr="00994A3D">
        <w:t xml:space="preserve">Supplementary </w:t>
      </w:r>
      <w:r>
        <w:t>Information - Results</w:t>
      </w:r>
    </w:p>
    <w:p w14:paraId="64A128C7" w14:textId="1B767C6E" w:rsidR="005528CD" w:rsidRDefault="005528CD" w:rsidP="005528CD">
      <w:pPr>
        <w:pStyle w:val="Heading2"/>
      </w:pPr>
      <w:r w:rsidRPr="005528CD">
        <w:t>Disconnection of tanks of the closed circulating water system and impact of experimental treatments caused specific bacterial community shifts</w:t>
      </w:r>
    </w:p>
    <w:p w14:paraId="4ADE1C4D" w14:textId="7167F7A6" w:rsidR="00B44193" w:rsidRDefault="005528CD" w:rsidP="00994A3D">
      <w:pPr>
        <w:jc w:val="both"/>
        <w:rPr>
          <w:rFonts w:cs="Times New Roman"/>
          <w:szCs w:val="24"/>
        </w:rPr>
      </w:pPr>
      <w:r w:rsidRPr="005528CD">
        <w:rPr>
          <w:rFonts w:cs="Times New Roman"/>
          <w:szCs w:val="24"/>
        </w:rPr>
        <w:t xml:space="preserve">The presence of a typical sponge microbiota was supported by the observed bacterial community stability over time as determined by the assessment of the </w:t>
      </w:r>
      <w:proofErr w:type="spellStart"/>
      <w:r w:rsidRPr="005528CD">
        <w:rPr>
          <w:rFonts w:cs="Times New Roman"/>
          <w:i/>
          <w:szCs w:val="24"/>
        </w:rPr>
        <w:t>Haliclona</w:t>
      </w:r>
      <w:proofErr w:type="spellEnd"/>
      <w:r w:rsidR="00011525">
        <w:rPr>
          <w:rFonts w:cs="Times New Roman"/>
          <w:i/>
          <w:szCs w:val="24"/>
        </w:rPr>
        <w:t xml:space="preserve"> </w:t>
      </w:r>
      <w:proofErr w:type="spellStart"/>
      <w:r w:rsidR="00011525">
        <w:rPr>
          <w:rFonts w:cs="Times New Roman"/>
          <w:i/>
          <w:szCs w:val="24"/>
        </w:rPr>
        <w:t>cnidata</w:t>
      </w:r>
      <w:proofErr w:type="spellEnd"/>
      <w:r w:rsidRPr="005528CD">
        <w:rPr>
          <w:rFonts w:cs="Times New Roman"/>
          <w:szCs w:val="24"/>
        </w:rPr>
        <w:t xml:space="preserve"> in two different years. The stability of sponge-associated microbiota in artificial long-term maintenance was previously described for sponges in several studies (</w:t>
      </w:r>
      <w:r w:rsidRPr="00011525">
        <w:rPr>
          <w:rFonts w:cs="Times New Roman"/>
          <w:szCs w:val="24"/>
        </w:rPr>
        <w:t>Friedrich et al.</w:t>
      </w:r>
      <w:r w:rsidR="00011525">
        <w:rPr>
          <w:rFonts w:cs="Times New Roman"/>
          <w:szCs w:val="24"/>
        </w:rPr>
        <w:t>,</w:t>
      </w:r>
      <w:r w:rsidRPr="00011525">
        <w:rPr>
          <w:rFonts w:cs="Times New Roman"/>
          <w:szCs w:val="24"/>
        </w:rPr>
        <w:t xml:space="preserve"> 2001; </w:t>
      </w:r>
      <w:proofErr w:type="spellStart"/>
      <w:r w:rsidRPr="00011525">
        <w:rPr>
          <w:rFonts w:cs="Times New Roman"/>
          <w:szCs w:val="24"/>
        </w:rPr>
        <w:t>Thoms</w:t>
      </w:r>
      <w:proofErr w:type="spellEnd"/>
      <w:r w:rsidRPr="00011525">
        <w:rPr>
          <w:rFonts w:cs="Times New Roman"/>
          <w:szCs w:val="24"/>
        </w:rPr>
        <w:t xml:space="preserve"> et al.</w:t>
      </w:r>
      <w:r w:rsidR="00011525">
        <w:rPr>
          <w:rFonts w:cs="Times New Roman"/>
          <w:szCs w:val="24"/>
        </w:rPr>
        <w:t>,</w:t>
      </w:r>
      <w:r w:rsidRPr="00011525">
        <w:rPr>
          <w:rFonts w:cs="Times New Roman"/>
          <w:szCs w:val="24"/>
        </w:rPr>
        <w:t xml:space="preserve"> 2003; </w:t>
      </w:r>
      <w:proofErr w:type="spellStart"/>
      <w:r w:rsidRPr="00011525">
        <w:rPr>
          <w:rFonts w:cs="Times New Roman"/>
          <w:szCs w:val="24"/>
        </w:rPr>
        <w:t>Gerçe</w:t>
      </w:r>
      <w:proofErr w:type="spellEnd"/>
      <w:r w:rsidRPr="00011525">
        <w:rPr>
          <w:rFonts w:cs="Times New Roman"/>
          <w:szCs w:val="24"/>
        </w:rPr>
        <w:t xml:space="preserve"> et al.</w:t>
      </w:r>
      <w:r w:rsidR="00011525">
        <w:rPr>
          <w:rFonts w:cs="Times New Roman"/>
          <w:szCs w:val="24"/>
        </w:rPr>
        <w:t>,</w:t>
      </w:r>
      <w:r w:rsidRPr="00011525">
        <w:rPr>
          <w:rFonts w:cs="Times New Roman"/>
          <w:szCs w:val="24"/>
        </w:rPr>
        <w:t xml:space="preserve"> 2009; Bergman et al.</w:t>
      </w:r>
      <w:r w:rsidR="00011525">
        <w:rPr>
          <w:rFonts w:cs="Times New Roman"/>
          <w:szCs w:val="24"/>
        </w:rPr>
        <w:t>,</w:t>
      </w:r>
      <w:r w:rsidRPr="00011525">
        <w:rPr>
          <w:rFonts w:cs="Times New Roman"/>
          <w:szCs w:val="24"/>
        </w:rPr>
        <w:t xml:space="preserve"> 2011</w:t>
      </w:r>
      <w:r w:rsidRPr="005528CD">
        <w:rPr>
          <w:rFonts w:cs="Times New Roman"/>
          <w:szCs w:val="24"/>
        </w:rPr>
        <w:t xml:space="preserve">). Despite this stability of the bacterial microbiota of the </w:t>
      </w:r>
      <w:proofErr w:type="spellStart"/>
      <w:r w:rsidR="00011525" w:rsidRPr="005528CD">
        <w:rPr>
          <w:rFonts w:cs="Times New Roman"/>
          <w:i/>
          <w:szCs w:val="24"/>
        </w:rPr>
        <w:t>Haliclona</w:t>
      </w:r>
      <w:proofErr w:type="spellEnd"/>
      <w:r w:rsidR="00011525">
        <w:rPr>
          <w:rFonts w:cs="Times New Roman"/>
          <w:i/>
          <w:szCs w:val="24"/>
        </w:rPr>
        <w:t xml:space="preserve"> </w:t>
      </w:r>
      <w:proofErr w:type="spellStart"/>
      <w:r w:rsidR="00011525">
        <w:rPr>
          <w:rFonts w:cs="Times New Roman"/>
          <w:i/>
          <w:szCs w:val="24"/>
        </w:rPr>
        <w:t>cnidata</w:t>
      </w:r>
      <w:proofErr w:type="spellEnd"/>
      <w:r w:rsidRPr="005528CD">
        <w:rPr>
          <w:rFonts w:cs="Times New Roman"/>
          <w:szCs w:val="24"/>
        </w:rPr>
        <w:t xml:space="preserve"> over time, the disconnection of the small tanks used for the experiments from the closed-circulating system (Fig. S1) strongly affected the relative abundance of the sponge associated microbiota including many highly abundant SCC taxa. </w:t>
      </w:r>
      <w:r w:rsidRPr="005528CD">
        <w:rPr>
          <w:rFonts w:cs="Times New Roman"/>
          <w:bCs/>
          <w:szCs w:val="24"/>
        </w:rPr>
        <w:t>After 14 days of acclimation in the tanks, the experimental treatment started and the tanks of the closed</w:t>
      </w:r>
      <w:r w:rsidRPr="005528CD">
        <w:rPr>
          <w:rFonts w:cs="Times New Roman"/>
          <w:bCs/>
          <w:szCs w:val="24"/>
        </w:rPr>
        <w:noBreakHyphen/>
        <w:t>circulating water system were disconnected to prevent the distribution of antibiotics (Fig. S1).</w:t>
      </w:r>
      <w:r w:rsidRPr="005528CD">
        <w:rPr>
          <w:rFonts w:cs="Times New Roman"/>
          <w:szCs w:val="24"/>
        </w:rPr>
        <w:t xml:space="preserve"> Following this disconnection prior to the initial sampling (sponge 2012, t</w:t>
      </w:r>
      <w:r w:rsidRPr="005528CD">
        <w:rPr>
          <w:rFonts w:cs="Times New Roman"/>
          <w:szCs w:val="24"/>
          <w:vertAlign w:val="subscript"/>
        </w:rPr>
        <w:t>0</w:t>
      </w:r>
      <w:r w:rsidRPr="005528CD">
        <w:rPr>
          <w:rFonts w:cs="Times New Roman"/>
          <w:szCs w:val="24"/>
        </w:rPr>
        <w:t>), the richness (higher Chao1</w:t>
      </w:r>
      <w:r w:rsidRPr="005528CD">
        <w:rPr>
          <w:rFonts w:cs="Times New Roman"/>
          <w:szCs w:val="24"/>
        </w:rPr>
        <w:noBreakHyphen/>
        <w:t>bc values) and diversity (Shannon index H) of the bacterial communities increased in the untreated sponge fragments (LN). Additionally, phylogenetic groups in LN sponge fragments were more equally distributed (lower dominance) compared to sponges cultured in the closed</w:t>
      </w:r>
      <w:r w:rsidRPr="005528CD">
        <w:rPr>
          <w:rFonts w:cs="Times New Roman"/>
          <w:szCs w:val="24"/>
        </w:rPr>
        <w:noBreakHyphen/>
        <w:t>circulating tank system (t</w:t>
      </w:r>
      <w:r w:rsidRPr="005528CD">
        <w:rPr>
          <w:rFonts w:cs="Times New Roman"/>
          <w:szCs w:val="24"/>
          <w:vertAlign w:val="subscript"/>
        </w:rPr>
        <w:t>0</w:t>
      </w:r>
      <w:r w:rsidRPr="005528CD">
        <w:rPr>
          <w:rFonts w:cs="Times New Roman"/>
          <w:szCs w:val="24"/>
        </w:rPr>
        <w:t>) (Fig. 6E).</w:t>
      </w:r>
      <w:r w:rsidR="00B83FA1">
        <w:rPr>
          <w:rFonts w:cs="Times New Roman"/>
          <w:szCs w:val="24"/>
        </w:rPr>
        <w:t xml:space="preserve"> </w:t>
      </w:r>
      <w:r w:rsidR="00B83FA1">
        <w:rPr>
          <w:rFonts w:cs="Times New Roman"/>
          <w:szCs w:val="24"/>
        </w:rPr>
        <w:tab/>
      </w:r>
      <w:r w:rsidR="00B83FA1">
        <w:rPr>
          <w:rFonts w:cs="Times New Roman"/>
          <w:szCs w:val="24"/>
        </w:rPr>
        <w:br/>
        <w:t>S</w:t>
      </w:r>
      <w:r w:rsidR="00B83FA1" w:rsidRPr="00B83FA1">
        <w:rPr>
          <w:rFonts w:cs="Times New Roman"/>
          <w:szCs w:val="24"/>
        </w:rPr>
        <w:t xml:space="preserve">uch effects on the sponge microbiota were already described before. Webster et al. (2011), for example, showed that the stability of the microbiota of the sponge </w:t>
      </w:r>
      <w:proofErr w:type="spellStart"/>
      <w:r w:rsidR="00B83FA1" w:rsidRPr="00B83FA1">
        <w:rPr>
          <w:rFonts w:cs="Times New Roman"/>
          <w:i/>
          <w:szCs w:val="24"/>
        </w:rPr>
        <w:t>Rhopaloeides</w:t>
      </w:r>
      <w:proofErr w:type="spellEnd"/>
      <w:r w:rsidR="00B83FA1" w:rsidRPr="00B83FA1">
        <w:rPr>
          <w:rFonts w:cs="Times New Roman"/>
          <w:i/>
          <w:szCs w:val="24"/>
        </w:rPr>
        <w:t xml:space="preserve"> </w:t>
      </w:r>
      <w:proofErr w:type="spellStart"/>
      <w:r w:rsidR="00B83FA1" w:rsidRPr="00B83FA1">
        <w:rPr>
          <w:rFonts w:cs="Times New Roman"/>
          <w:i/>
          <w:szCs w:val="24"/>
        </w:rPr>
        <w:t>odorabile</w:t>
      </w:r>
      <w:proofErr w:type="spellEnd"/>
      <w:r w:rsidR="00B83FA1" w:rsidRPr="00B83FA1">
        <w:rPr>
          <w:rFonts w:cs="Times New Roman"/>
          <w:szCs w:val="24"/>
        </w:rPr>
        <w:t xml:space="preserve"> depended on the kind of aquatic systems. They found that the sponge microbiota was stable in small flow</w:t>
      </w:r>
      <w:r w:rsidR="00B83FA1" w:rsidRPr="00B83FA1">
        <w:rPr>
          <w:rFonts w:cs="Times New Roman"/>
          <w:szCs w:val="24"/>
        </w:rPr>
        <w:noBreakHyphen/>
        <w:t>through aquaria but changed strongly in composition compared to wild type sponges, if the sponges were cultivated in large scale mesocosms (Webster et al.</w:t>
      </w:r>
      <w:r w:rsidR="00B83FA1">
        <w:rPr>
          <w:rFonts w:cs="Times New Roman"/>
          <w:szCs w:val="24"/>
        </w:rPr>
        <w:t>,</w:t>
      </w:r>
      <w:r w:rsidR="00B83FA1" w:rsidRPr="00B83FA1">
        <w:rPr>
          <w:rFonts w:cs="Times New Roman"/>
          <w:szCs w:val="24"/>
        </w:rPr>
        <w:t xml:space="preserve"> 2011).</w:t>
      </w:r>
    </w:p>
    <w:p w14:paraId="3C94937D" w14:textId="77777777" w:rsidR="00B44193" w:rsidRDefault="00B44193">
      <w:pPr>
        <w:spacing w:before="0" w:after="200" w:line="276" w:lineRule="auto"/>
        <w:rPr>
          <w:rFonts w:cs="Times New Roman"/>
          <w:szCs w:val="24"/>
        </w:rPr>
      </w:pPr>
      <w:r>
        <w:rPr>
          <w:rFonts w:cs="Times New Roman"/>
          <w:szCs w:val="24"/>
        </w:rPr>
        <w:br w:type="page"/>
      </w:r>
    </w:p>
    <w:p w14:paraId="4D059444" w14:textId="77777777" w:rsidR="00994A3D" w:rsidRPr="00994A3D" w:rsidRDefault="00654E8F" w:rsidP="0001436A">
      <w:pPr>
        <w:pStyle w:val="Heading1"/>
      </w:pPr>
      <w:r w:rsidRPr="00994A3D">
        <w:lastRenderedPageBreak/>
        <w:t>Supplementary Figures and Tables</w:t>
      </w:r>
    </w:p>
    <w:p w14:paraId="3C419443" w14:textId="36048B75" w:rsidR="00994A3D" w:rsidRPr="00BD19A6" w:rsidRDefault="00994A3D" w:rsidP="00BD19A6">
      <w:pPr>
        <w:pStyle w:val="Heading2"/>
      </w:pPr>
      <w:r w:rsidRPr="0001436A">
        <w:t>Supplementary</w:t>
      </w:r>
      <w:r w:rsidRPr="001549D3">
        <w:t xml:space="preserve"> Figures</w:t>
      </w:r>
    </w:p>
    <w:p w14:paraId="1C67B22D" w14:textId="4D687598" w:rsidR="00BD19A6" w:rsidRDefault="00E97723" w:rsidP="00BD19A6">
      <w:pPr>
        <w:keepNext/>
        <w:jc w:val="center"/>
        <w:rPr>
          <w:rFonts w:cs="Times New Roman"/>
          <w:b/>
          <w:szCs w:val="24"/>
        </w:rPr>
      </w:pPr>
      <w:r>
        <w:rPr>
          <w:rFonts w:cs="Times New Roman"/>
          <w:b/>
          <w:noProof/>
          <w:szCs w:val="24"/>
        </w:rPr>
        <w:drawing>
          <wp:inline distT="0" distB="0" distL="0" distR="0" wp14:anchorId="3B74164B" wp14:editId="5CD3F414">
            <wp:extent cx="4477718" cy="3481754"/>
            <wp:effectExtent l="0" t="0" r="571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718" cy="3481754"/>
                    </a:xfrm>
                    <a:prstGeom prst="rect">
                      <a:avLst/>
                    </a:prstGeom>
                    <a:noFill/>
                  </pic:spPr>
                </pic:pic>
              </a:graphicData>
            </a:graphic>
          </wp:inline>
        </w:drawing>
      </w:r>
    </w:p>
    <w:p w14:paraId="0FF52164" w14:textId="17EF3ED3" w:rsidR="00BD19A6" w:rsidRPr="00BD19A6" w:rsidRDefault="00994A3D" w:rsidP="00BD19A6">
      <w:pPr>
        <w:keepNext/>
        <w:jc w:val="both"/>
        <w:rPr>
          <w:rFonts w:cs="Times New Roman"/>
          <w:szCs w:val="24"/>
        </w:rPr>
      </w:pPr>
      <w:bookmarkStart w:id="0" w:name="_Hlk26105781"/>
      <w:r w:rsidRPr="0001436A">
        <w:rPr>
          <w:rFonts w:cs="Times New Roman"/>
          <w:b/>
          <w:szCs w:val="24"/>
        </w:rPr>
        <w:t xml:space="preserve">Supplementary Figure </w:t>
      </w:r>
      <w:r w:rsidRPr="0001436A">
        <w:rPr>
          <w:rFonts w:cs="Times New Roman"/>
          <w:b/>
          <w:szCs w:val="24"/>
        </w:rPr>
        <w:fldChar w:fldCharType="begin"/>
      </w:r>
      <w:r w:rsidRPr="0001436A">
        <w:rPr>
          <w:rFonts w:cs="Times New Roman"/>
          <w:b/>
          <w:szCs w:val="24"/>
        </w:rPr>
        <w:instrText xml:space="preserve"> SEQ Figure \* ARABIC </w:instrText>
      </w:r>
      <w:r w:rsidRPr="0001436A">
        <w:rPr>
          <w:rFonts w:cs="Times New Roman"/>
          <w:b/>
          <w:szCs w:val="24"/>
        </w:rPr>
        <w:fldChar w:fldCharType="separate"/>
      </w:r>
      <w:r w:rsidR="00ED20B5">
        <w:rPr>
          <w:rFonts w:cs="Times New Roman"/>
          <w:b/>
          <w:noProof/>
          <w:szCs w:val="24"/>
        </w:rPr>
        <w:t>1</w:t>
      </w:r>
      <w:r w:rsidRPr="0001436A">
        <w:rPr>
          <w:rFonts w:cs="Times New Roman"/>
          <w:b/>
          <w:szCs w:val="24"/>
        </w:rPr>
        <w:fldChar w:fldCharType="end"/>
      </w:r>
      <w:r w:rsidRPr="0001436A">
        <w:rPr>
          <w:rFonts w:cs="Times New Roman"/>
          <w:b/>
          <w:szCs w:val="24"/>
        </w:rPr>
        <w:t>.</w:t>
      </w:r>
      <w:r w:rsidRPr="00BD19A6">
        <w:rPr>
          <w:rFonts w:cs="Times New Roman"/>
          <w:b/>
          <w:bCs/>
          <w:szCs w:val="24"/>
        </w:rPr>
        <w:t xml:space="preserve"> </w:t>
      </w:r>
      <w:r w:rsidR="00BD19A6" w:rsidRPr="00BD19A6">
        <w:rPr>
          <w:rFonts w:cs="Times New Roman"/>
          <w:b/>
          <w:bCs/>
          <w:szCs w:val="24"/>
        </w:rPr>
        <w:t>Setup of the resilient community generating experiment.</w:t>
      </w:r>
      <w:r w:rsidR="00BD19A6" w:rsidRPr="00BD19A6">
        <w:rPr>
          <w:rFonts w:cs="Times New Roman"/>
          <w:szCs w:val="24"/>
        </w:rPr>
        <w:t xml:space="preserve"> To reduce the associated microbiota to a resilient community, sponge specimens were exposed to antibiotics </w:t>
      </w:r>
      <w:r w:rsidR="00BD19A6">
        <w:rPr>
          <w:rFonts w:cs="Times New Roman"/>
          <w:szCs w:val="24"/>
        </w:rPr>
        <w:t>(</w:t>
      </w:r>
      <w:r w:rsidR="00BD19A6" w:rsidRPr="00BD19A6">
        <w:rPr>
          <w:rFonts w:cs="Times New Roman"/>
          <w:szCs w:val="24"/>
        </w:rPr>
        <w:t>to remove most of the host-associated bacterial symbionts</w:t>
      </w:r>
      <w:r w:rsidR="00BD19A6">
        <w:rPr>
          <w:rFonts w:cs="Times New Roman"/>
          <w:szCs w:val="24"/>
        </w:rPr>
        <w:t>)</w:t>
      </w:r>
      <w:r w:rsidR="00BD19A6" w:rsidRPr="00BD19A6">
        <w:rPr>
          <w:rFonts w:cs="Times New Roman"/>
          <w:szCs w:val="24"/>
        </w:rPr>
        <w:t xml:space="preserve"> a</w:t>
      </w:r>
      <w:bookmarkEnd w:id="0"/>
      <w:r w:rsidR="00BD19A6" w:rsidRPr="00BD19A6">
        <w:rPr>
          <w:rFonts w:cs="Times New Roman"/>
          <w:szCs w:val="24"/>
        </w:rPr>
        <w:t xml:space="preserve">nd dark incubated </w:t>
      </w:r>
      <w:r w:rsidR="00BD19A6">
        <w:rPr>
          <w:rFonts w:cs="Times New Roman"/>
          <w:szCs w:val="24"/>
        </w:rPr>
        <w:t>(</w:t>
      </w:r>
      <w:r w:rsidR="00BD19A6" w:rsidRPr="00BD19A6">
        <w:rPr>
          <w:rFonts w:cs="Times New Roman"/>
          <w:szCs w:val="24"/>
        </w:rPr>
        <w:t>to reduce the phototrophic symbionts</w:t>
      </w:r>
      <w:r w:rsidR="00BD19A6">
        <w:rPr>
          <w:rFonts w:cs="Times New Roman"/>
          <w:szCs w:val="24"/>
        </w:rPr>
        <w:t>)</w:t>
      </w:r>
      <w:r w:rsidR="00BD19A6" w:rsidRPr="00BD19A6">
        <w:rPr>
          <w:rFonts w:cs="Times New Roman"/>
          <w:szCs w:val="24"/>
        </w:rPr>
        <w:t>.</w:t>
      </w:r>
      <w:r w:rsidR="00BD19A6">
        <w:rPr>
          <w:rFonts w:cs="Times New Roman"/>
          <w:szCs w:val="24"/>
        </w:rPr>
        <w:t xml:space="preserve"> </w:t>
      </w:r>
      <w:r w:rsidR="00BD19A6" w:rsidRPr="00BD19A6">
        <w:rPr>
          <w:rFonts w:cs="Times New Roman"/>
          <w:szCs w:val="24"/>
        </w:rPr>
        <w:t>The respective experiment was performed in a closed</w:t>
      </w:r>
      <w:r w:rsidR="00BD19A6" w:rsidRPr="00BD19A6">
        <w:rPr>
          <w:rFonts w:cs="Times New Roman"/>
          <w:szCs w:val="24"/>
        </w:rPr>
        <w:noBreakHyphen/>
        <w:t>circulating water system at the aquarium facilities of the Justus Liebig University Giessen. Three replicated 12</w:t>
      </w:r>
      <w:r w:rsidR="00BD19A6" w:rsidRPr="00BD19A6">
        <w:rPr>
          <w:rFonts w:cs="Times New Roman"/>
          <w:szCs w:val="24"/>
        </w:rPr>
        <w:noBreakHyphen/>
        <w:t xml:space="preserve">liter tanks (26°C) were used per treatment each containing three sponge fragments. T5 luminescent tubes were used as light source to generate a 10:14 </w:t>
      </w:r>
      <w:proofErr w:type="spellStart"/>
      <w:r w:rsidR="00BD19A6" w:rsidRPr="00BD19A6">
        <w:rPr>
          <w:rFonts w:cs="Times New Roman"/>
          <w:szCs w:val="24"/>
        </w:rPr>
        <w:t>light:dark</w:t>
      </w:r>
      <w:proofErr w:type="spellEnd"/>
      <w:r w:rsidR="00BD19A6" w:rsidRPr="00BD19A6">
        <w:rPr>
          <w:rFonts w:cs="Times New Roman"/>
          <w:szCs w:val="24"/>
        </w:rPr>
        <w:t xml:space="preserve"> photoperiod. Water parameters (hardness, salinity, phosphate, temperature, and light intensity) were monitored in a time interval of five minutes using a Hobo® Pendant Temperature/Light Data Logger. Every second day, one</w:t>
      </w:r>
      <w:r w:rsidR="00BD19A6" w:rsidRPr="00BD19A6">
        <w:rPr>
          <w:rFonts w:cs="Times New Roman"/>
          <w:szCs w:val="24"/>
        </w:rPr>
        <w:noBreakHyphen/>
        <w:t>third of the water</w:t>
      </w:r>
      <w:r w:rsidR="00BD19A6" w:rsidRPr="00BD19A6">
        <w:rPr>
          <w:rFonts w:cs="Times New Roman"/>
          <w:szCs w:val="24"/>
        </w:rPr>
        <w:noBreakHyphen/>
        <w:t>volume was renewed from the adjacent technical tank and antibiotics were replenished. Experimental treatments were control (LN), exposure to antibiotics (LA), dark incubation (DN), and a combination of dark incubation plus exposure to antibiotic (DA). Antibiotic treatments contained ampicillin and gentamicin (each 100 mg L</w:t>
      </w:r>
      <w:r w:rsidR="00BD19A6" w:rsidRPr="00BD19A6">
        <w:rPr>
          <w:rFonts w:cs="Times New Roman"/>
          <w:szCs w:val="24"/>
          <w:vertAlign w:val="superscript"/>
        </w:rPr>
        <w:noBreakHyphen/>
        <w:t>1</w:t>
      </w:r>
      <w:r w:rsidR="00BD19A6" w:rsidRPr="00BD19A6">
        <w:rPr>
          <w:rFonts w:cs="Times New Roman"/>
          <w:szCs w:val="24"/>
        </w:rPr>
        <w:t>). The specific antibiotics were chosen because of their acid stability, low toxicity and broad antimicrobial activity against both Gram</w:t>
      </w:r>
      <w:r w:rsidR="00BD19A6" w:rsidRPr="00BD19A6">
        <w:rPr>
          <w:rFonts w:cs="Times New Roman"/>
          <w:szCs w:val="24"/>
        </w:rPr>
        <w:noBreakHyphen/>
        <w:t>negative and Gram</w:t>
      </w:r>
      <w:r w:rsidR="00BD19A6" w:rsidRPr="00BD19A6">
        <w:rPr>
          <w:rFonts w:cs="Times New Roman"/>
          <w:szCs w:val="24"/>
        </w:rPr>
        <w:noBreakHyphen/>
        <w:t>positive bacteria (</w:t>
      </w:r>
      <w:proofErr w:type="spellStart"/>
      <w:r w:rsidR="00BD19A6" w:rsidRPr="00BD19A6">
        <w:rPr>
          <w:rFonts w:cs="Times New Roman"/>
          <w:szCs w:val="24"/>
        </w:rPr>
        <w:t>Suwanrumpha</w:t>
      </w:r>
      <w:proofErr w:type="spellEnd"/>
      <w:r w:rsidR="00BD19A6" w:rsidRPr="00BD19A6">
        <w:rPr>
          <w:rFonts w:cs="Times New Roman"/>
          <w:szCs w:val="24"/>
        </w:rPr>
        <w:t xml:space="preserve"> and </w:t>
      </w:r>
      <w:proofErr w:type="spellStart"/>
      <w:r w:rsidR="00BD19A6" w:rsidRPr="00BD19A6">
        <w:rPr>
          <w:rFonts w:cs="Times New Roman"/>
          <w:szCs w:val="24"/>
        </w:rPr>
        <w:t>Freas</w:t>
      </w:r>
      <w:proofErr w:type="spellEnd"/>
      <w:r w:rsidR="00BD19A6" w:rsidRPr="00BD19A6">
        <w:rPr>
          <w:rFonts w:cs="Times New Roman"/>
          <w:szCs w:val="24"/>
        </w:rPr>
        <w:t>, 1989; Weinstein et al., 1967). (</w:t>
      </w:r>
      <w:r w:rsidR="00BD19A6" w:rsidRPr="00BD19A6">
        <w:rPr>
          <w:rFonts w:cs="Times New Roman"/>
          <w:b/>
          <w:bCs/>
          <w:szCs w:val="24"/>
        </w:rPr>
        <w:t>A</w:t>
      </w:r>
      <w:r w:rsidR="00BD19A6" w:rsidRPr="00BD19A6">
        <w:rPr>
          <w:rFonts w:cs="Times New Roman"/>
          <w:szCs w:val="24"/>
        </w:rPr>
        <w:t>) After 14 days of acclimation in the tanks, (</w:t>
      </w:r>
      <w:r w:rsidR="00BD19A6" w:rsidRPr="00BD19A6">
        <w:rPr>
          <w:rFonts w:cs="Times New Roman"/>
          <w:b/>
          <w:bCs/>
          <w:szCs w:val="24"/>
        </w:rPr>
        <w:t>B</w:t>
      </w:r>
      <w:r w:rsidR="00BD19A6" w:rsidRPr="00BD19A6">
        <w:rPr>
          <w:rFonts w:cs="Times New Roman"/>
          <w:szCs w:val="24"/>
        </w:rPr>
        <w:t>) the experiment started and the tanks of the closed</w:t>
      </w:r>
      <w:r w:rsidR="00BD19A6" w:rsidRPr="00BD19A6">
        <w:rPr>
          <w:rFonts w:cs="Times New Roman"/>
          <w:szCs w:val="24"/>
        </w:rPr>
        <w:noBreakHyphen/>
        <w:t xml:space="preserve">circulating water system were disconnected to </w:t>
      </w:r>
      <w:r w:rsidR="00E97723" w:rsidRPr="00BD19A6">
        <w:rPr>
          <w:rFonts w:cs="Times New Roman"/>
          <w:szCs w:val="24"/>
        </w:rPr>
        <w:t>prevent</w:t>
      </w:r>
      <w:r w:rsidR="00E97723">
        <w:rPr>
          <w:rFonts w:cs="Times New Roman"/>
          <w:szCs w:val="24"/>
        </w:rPr>
        <w:t xml:space="preserve"> </w:t>
      </w:r>
      <w:r w:rsidR="00E97723" w:rsidRPr="00BD19A6">
        <w:rPr>
          <w:rFonts w:cs="Times New Roman"/>
          <w:szCs w:val="24"/>
        </w:rPr>
        <w:t>the distribution of antibiotics. Every second day during the experimental treatment, one</w:t>
      </w:r>
      <w:r w:rsidR="00E97723" w:rsidRPr="00BD19A6">
        <w:rPr>
          <w:rFonts w:cs="Times New Roman"/>
          <w:szCs w:val="24"/>
        </w:rPr>
        <w:noBreakHyphen/>
        <w:t>third of the water volume was renewed from the adjacent technical tank and antibiotics were replenished.</w:t>
      </w:r>
    </w:p>
    <w:p w14:paraId="32E06EAD" w14:textId="38E71546" w:rsidR="00E97723" w:rsidRPr="00E97723" w:rsidRDefault="00E97723">
      <w:pPr>
        <w:spacing w:before="0" w:after="200" w:line="276" w:lineRule="auto"/>
        <w:rPr>
          <w:rFonts w:cs="Times New Roman"/>
          <w:szCs w:val="24"/>
        </w:rPr>
      </w:pPr>
      <w:r w:rsidRPr="00E97723">
        <w:rPr>
          <w:rFonts w:cs="Times New Roman"/>
          <w:szCs w:val="24"/>
        </w:rPr>
        <w:br w:type="page"/>
      </w:r>
    </w:p>
    <w:p w14:paraId="1427E3D1" w14:textId="77777777" w:rsidR="00BD19A6" w:rsidRDefault="00BD19A6" w:rsidP="002B4A57">
      <w:pPr>
        <w:keepNext/>
        <w:rPr>
          <w:rFonts w:cs="Times New Roman"/>
          <w:b/>
          <w:szCs w:val="24"/>
        </w:rPr>
      </w:pPr>
    </w:p>
    <w:p w14:paraId="5C6E3964" w14:textId="0E59B29B" w:rsidR="00BD19A6" w:rsidRDefault="00BD19A6" w:rsidP="003319F0">
      <w:pPr>
        <w:keepNext/>
        <w:jc w:val="center"/>
        <w:rPr>
          <w:rFonts w:cs="Times New Roman"/>
          <w:b/>
          <w:szCs w:val="24"/>
        </w:rPr>
      </w:pPr>
      <w:r>
        <w:rPr>
          <w:rFonts w:cs="Times New Roman"/>
          <w:b/>
          <w:noProof/>
          <w:szCs w:val="24"/>
        </w:rPr>
        <w:drawing>
          <wp:inline distT="0" distB="0" distL="0" distR="0" wp14:anchorId="5936DA33" wp14:editId="35922836">
            <wp:extent cx="5898119" cy="4079631"/>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9444" cy="4094381"/>
                    </a:xfrm>
                    <a:prstGeom prst="rect">
                      <a:avLst/>
                    </a:prstGeom>
                    <a:noFill/>
                  </pic:spPr>
                </pic:pic>
              </a:graphicData>
            </a:graphic>
          </wp:inline>
        </w:drawing>
      </w:r>
    </w:p>
    <w:p w14:paraId="220AA03B" w14:textId="5BBD9DE1" w:rsidR="003319F0" w:rsidRDefault="003319F0" w:rsidP="003319F0">
      <w:pPr>
        <w:keepNext/>
        <w:jc w:val="both"/>
      </w:pPr>
      <w:r w:rsidRPr="0001436A">
        <w:rPr>
          <w:rFonts w:cs="Times New Roman"/>
          <w:b/>
          <w:szCs w:val="24"/>
        </w:rPr>
        <w:t xml:space="preserve">Supplementary Figure </w:t>
      </w:r>
      <w:r w:rsidRPr="0001436A">
        <w:rPr>
          <w:rFonts w:cs="Times New Roman"/>
          <w:b/>
          <w:szCs w:val="24"/>
        </w:rPr>
        <w:fldChar w:fldCharType="begin"/>
      </w:r>
      <w:r w:rsidRPr="0001436A">
        <w:rPr>
          <w:rFonts w:cs="Times New Roman"/>
          <w:b/>
          <w:szCs w:val="24"/>
        </w:rPr>
        <w:instrText xml:space="preserve"> SEQ Figure \* ARABIC </w:instrText>
      </w:r>
      <w:r w:rsidRPr="0001436A">
        <w:rPr>
          <w:rFonts w:cs="Times New Roman"/>
          <w:b/>
          <w:szCs w:val="24"/>
        </w:rPr>
        <w:fldChar w:fldCharType="separate"/>
      </w:r>
      <w:r>
        <w:rPr>
          <w:rFonts w:cs="Times New Roman"/>
          <w:b/>
          <w:noProof/>
          <w:szCs w:val="24"/>
        </w:rPr>
        <w:t>2</w:t>
      </w:r>
      <w:r w:rsidRPr="0001436A">
        <w:rPr>
          <w:rFonts w:cs="Times New Roman"/>
          <w:b/>
          <w:szCs w:val="24"/>
        </w:rPr>
        <w:fldChar w:fldCharType="end"/>
      </w:r>
      <w:r w:rsidRPr="0001436A">
        <w:rPr>
          <w:rFonts w:cs="Times New Roman"/>
          <w:b/>
          <w:szCs w:val="24"/>
        </w:rPr>
        <w:t>.</w:t>
      </w:r>
      <w:r w:rsidRPr="00BD19A6">
        <w:rPr>
          <w:rFonts w:cs="Times New Roman"/>
          <w:b/>
          <w:bCs/>
          <w:szCs w:val="24"/>
        </w:rPr>
        <w:t xml:space="preserve"> </w:t>
      </w:r>
      <w:r w:rsidRPr="003319F0">
        <w:rPr>
          <w:rFonts w:cs="Times New Roman"/>
          <w:b/>
          <w:bCs/>
          <w:szCs w:val="24"/>
        </w:rPr>
        <w:t xml:space="preserve">Bacterial community analysis by 16S rRNA gene amplicon Illumina </w:t>
      </w:r>
      <w:proofErr w:type="spellStart"/>
      <w:r w:rsidRPr="003319F0">
        <w:rPr>
          <w:rFonts w:cs="Times New Roman"/>
          <w:b/>
          <w:bCs/>
          <w:szCs w:val="24"/>
        </w:rPr>
        <w:t>MiSeq</w:t>
      </w:r>
      <w:proofErr w:type="spellEnd"/>
      <w:r w:rsidRPr="003319F0">
        <w:rPr>
          <w:rFonts w:cs="Times New Roman"/>
          <w:b/>
          <w:bCs/>
          <w:szCs w:val="24"/>
        </w:rPr>
        <w:t xml:space="preserve"> sequencing</w:t>
      </w:r>
      <w:r w:rsidRPr="00BD19A6">
        <w:rPr>
          <w:rFonts w:cs="Times New Roman"/>
          <w:b/>
          <w:bCs/>
          <w:szCs w:val="24"/>
        </w:rPr>
        <w:t>.</w:t>
      </w:r>
      <w:r w:rsidRPr="00BD19A6">
        <w:rPr>
          <w:rFonts w:cs="Times New Roman"/>
          <w:szCs w:val="24"/>
        </w:rPr>
        <w:t xml:space="preserve"> </w:t>
      </w:r>
      <w:r w:rsidRPr="003319F0">
        <w:t>Alpha diversity (</w:t>
      </w:r>
      <w:r w:rsidRPr="003319F0">
        <w:rPr>
          <w:b/>
          <w:bCs/>
        </w:rPr>
        <w:t>A</w:t>
      </w:r>
      <w:r w:rsidRPr="003319F0">
        <w:t>) and Rarefaction (</w:t>
      </w:r>
      <w:r w:rsidRPr="003319F0">
        <w:rPr>
          <w:b/>
          <w:bCs/>
        </w:rPr>
        <w:t>B</w:t>
      </w:r>
      <w:r w:rsidRPr="003319F0">
        <w:t xml:space="preserve">) analysis of </w:t>
      </w:r>
      <w:r>
        <w:t xml:space="preserve">the associated bacterial communities of the samples sponge </w:t>
      </w:r>
      <w:r w:rsidRPr="003319F0">
        <w:t xml:space="preserve">2012, </w:t>
      </w:r>
      <w:r>
        <w:t xml:space="preserve">sponge </w:t>
      </w:r>
      <w:r w:rsidRPr="003319F0">
        <w:t>2015</w:t>
      </w:r>
      <w:r>
        <w:t xml:space="preserve"> </w:t>
      </w:r>
      <w:r w:rsidRPr="003319F0">
        <w:t xml:space="preserve">and water </w:t>
      </w:r>
      <w:r>
        <w:t xml:space="preserve">2015. </w:t>
      </w:r>
      <w:r w:rsidRPr="003319F0">
        <w:t>Analysis based on total number</w:t>
      </w:r>
      <w:r>
        <w:t xml:space="preserve"> of</w:t>
      </w:r>
      <w:r w:rsidRPr="003319F0">
        <w:t xml:space="preserve"> 16S rRNA gene amplicon</w:t>
      </w:r>
      <w:r>
        <w:t xml:space="preserve"> data </w:t>
      </w:r>
      <w:r w:rsidRPr="003319F0">
        <w:t xml:space="preserve">obtained </w:t>
      </w:r>
      <w:r>
        <w:t>b</w:t>
      </w:r>
      <w:r w:rsidRPr="003319F0">
        <w:t>y Illumina sequencing of pooled experimental replicates</w:t>
      </w:r>
      <w:r>
        <w:t xml:space="preserve">. </w:t>
      </w:r>
      <w:r w:rsidRPr="003319F0">
        <w:t xml:space="preserve">Analysis was performed in PAST3. </w:t>
      </w:r>
    </w:p>
    <w:p w14:paraId="49782480" w14:textId="211D0BEF" w:rsidR="00721BD7" w:rsidRDefault="00721BD7">
      <w:pPr>
        <w:spacing w:before="0" w:after="200" w:line="276" w:lineRule="auto"/>
      </w:pPr>
      <w:r>
        <w:br w:type="page"/>
      </w:r>
    </w:p>
    <w:p w14:paraId="30A8731A" w14:textId="49FE3836" w:rsidR="0050092B" w:rsidRDefault="0050092B" w:rsidP="0050092B">
      <w:pPr>
        <w:keepNext/>
        <w:jc w:val="center"/>
        <w:rPr>
          <w:rFonts w:cs="Times New Roman"/>
          <w:b/>
          <w:szCs w:val="24"/>
        </w:rPr>
      </w:pPr>
      <w:r>
        <w:rPr>
          <w:rFonts w:cs="Times New Roman"/>
          <w:b/>
          <w:noProof/>
          <w:szCs w:val="24"/>
        </w:rPr>
        <w:lastRenderedPageBreak/>
        <w:drawing>
          <wp:inline distT="0" distB="0" distL="0" distR="0" wp14:anchorId="38BF3BF8" wp14:editId="0F6C3835">
            <wp:extent cx="3657600" cy="3185652"/>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CA.tif"/>
                    <pic:cNvPicPr/>
                  </pic:nvPicPr>
                  <pic:blipFill>
                    <a:blip r:embed="rId10">
                      <a:extLst>
                        <a:ext uri="{28A0092B-C50C-407E-A947-70E740481C1C}">
                          <a14:useLocalDpi xmlns:a14="http://schemas.microsoft.com/office/drawing/2010/main" val="0"/>
                        </a:ext>
                      </a:extLst>
                    </a:blip>
                    <a:stretch>
                      <a:fillRect/>
                    </a:stretch>
                  </pic:blipFill>
                  <pic:spPr>
                    <a:xfrm>
                      <a:off x="0" y="0"/>
                      <a:ext cx="3657600" cy="3185652"/>
                    </a:xfrm>
                    <a:prstGeom prst="rect">
                      <a:avLst/>
                    </a:prstGeom>
                  </pic:spPr>
                </pic:pic>
              </a:graphicData>
            </a:graphic>
          </wp:inline>
        </w:drawing>
      </w:r>
    </w:p>
    <w:p w14:paraId="57BCBB52" w14:textId="4B5496D2" w:rsidR="00F81836" w:rsidRDefault="00721BD7" w:rsidP="003319F0">
      <w:pPr>
        <w:keepNext/>
        <w:jc w:val="both"/>
        <w:rPr>
          <w:rFonts w:cs="Times New Roman"/>
          <w:szCs w:val="24"/>
        </w:rPr>
      </w:pPr>
      <w:r w:rsidRPr="0001436A">
        <w:rPr>
          <w:rFonts w:cs="Times New Roman"/>
          <w:b/>
          <w:szCs w:val="24"/>
        </w:rPr>
        <w:t xml:space="preserve">Supplementary Figure </w:t>
      </w:r>
      <w:r w:rsidRPr="0001436A">
        <w:rPr>
          <w:rFonts w:cs="Times New Roman"/>
          <w:b/>
          <w:szCs w:val="24"/>
        </w:rPr>
        <w:fldChar w:fldCharType="begin"/>
      </w:r>
      <w:r w:rsidRPr="0001436A">
        <w:rPr>
          <w:rFonts w:cs="Times New Roman"/>
          <w:b/>
          <w:szCs w:val="24"/>
        </w:rPr>
        <w:instrText xml:space="preserve"> SEQ Figure \* ARABIC </w:instrText>
      </w:r>
      <w:r w:rsidRPr="0001436A">
        <w:rPr>
          <w:rFonts w:cs="Times New Roman"/>
          <w:b/>
          <w:szCs w:val="24"/>
        </w:rPr>
        <w:fldChar w:fldCharType="separate"/>
      </w:r>
      <w:r>
        <w:rPr>
          <w:rFonts w:cs="Times New Roman"/>
          <w:b/>
          <w:noProof/>
          <w:szCs w:val="24"/>
        </w:rPr>
        <w:t>3</w:t>
      </w:r>
      <w:r w:rsidRPr="0001436A">
        <w:rPr>
          <w:rFonts w:cs="Times New Roman"/>
          <w:b/>
          <w:szCs w:val="24"/>
        </w:rPr>
        <w:fldChar w:fldCharType="end"/>
      </w:r>
      <w:r w:rsidRPr="0001436A">
        <w:rPr>
          <w:rFonts w:cs="Times New Roman"/>
          <w:b/>
          <w:szCs w:val="24"/>
        </w:rPr>
        <w:t>.</w:t>
      </w:r>
      <w:r w:rsidRPr="00BD19A6">
        <w:rPr>
          <w:rFonts w:cs="Times New Roman"/>
          <w:b/>
          <w:bCs/>
          <w:szCs w:val="24"/>
        </w:rPr>
        <w:t xml:space="preserve"> </w:t>
      </w:r>
      <w:r w:rsidR="00F81836" w:rsidRPr="00F81836">
        <w:rPr>
          <w:rFonts w:cs="Times New Roman"/>
          <w:b/>
          <w:bCs/>
          <w:szCs w:val="24"/>
        </w:rPr>
        <w:t>Principal component analysis (PCA)</w:t>
      </w:r>
      <w:r w:rsidR="00F81836">
        <w:rPr>
          <w:rFonts w:cs="Times New Roman"/>
          <w:b/>
          <w:bCs/>
          <w:szCs w:val="24"/>
        </w:rPr>
        <w:t xml:space="preserve"> on the level of bacterial phyla</w:t>
      </w:r>
      <w:r w:rsidRPr="00BD19A6">
        <w:rPr>
          <w:rFonts w:cs="Times New Roman"/>
          <w:b/>
          <w:bCs/>
          <w:szCs w:val="24"/>
        </w:rPr>
        <w:t>.</w:t>
      </w:r>
      <w:r w:rsidRPr="00BD19A6">
        <w:rPr>
          <w:rFonts w:cs="Times New Roman"/>
          <w:szCs w:val="24"/>
        </w:rPr>
        <w:t xml:space="preserve"> </w:t>
      </w:r>
      <w:r w:rsidR="00F81836" w:rsidRPr="00F81836">
        <w:rPr>
          <w:rFonts w:cs="Times New Roman"/>
          <w:szCs w:val="24"/>
        </w:rPr>
        <w:t xml:space="preserve">16S rRNA gene amplicon </w:t>
      </w:r>
      <w:r w:rsidR="00F81836">
        <w:rPr>
          <w:rFonts w:cs="Times New Roman"/>
          <w:szCs w:val="24"/>
        </w:rPr>
        <w:t xml:space="preserve">data was subjected to PCA to determine phyla contributing most to </w:t>
      </w:r>
      <w:r w:rsidR="0050092B">
        <w:rPr>
          <w:rFonts w:cs="Times New Roman"/>
          <w:szCs w:val="24"/>
        </w:rPr>
        <w:t xml:space="preserve">community </w:t>
      </w:r>
      <w:r w:rsidR="00F81836" w:rsidRPr="00F81836">
        <w:rPr>
          <w:rFonts w:cs="Times New Roman"/>
          <w:szCs w:val="24"/>
        </w:rPr>
        <w:t xml:space="preserve">dissimilarity between </w:t>
      </w:r>
      <w:proofErr w:type="spellStart"/>
      <w:r w:rsidR="00F81836" w:rsidRPr="00F81836">
        <w:rPr>
          <w:rFonts w:cs="Times New Roman"/>
          <w:i/>
          <w:iCs/>
          <w:szCs w:val="24"/>
        </w:rPr>
        <w:t>Haliclona</w:t>
      </w:r>
      <w:proofErr w:type="spellEnd"/>
      <w:r w:rsidR="00F81836" w:rsidRPr="00F81836">
        <w:rPr>
          <w:rFonts w:cs="Times New Roman"/>
          <w:i/>
          <w:iCs/>
          <w:szCs w:val="24"/>
        </w:rPr>
        <w:t xml:space="preserve"> </w:t>
      </w:r>
      <w:proofErr w:type="spellStart"/>
      <w:r w:rsidR="00F81836" w:rsidRPr="00F81836">
        <w:rPr>
          <w:rFonts w:cs="Times New Roman"/>
          <w:i/>
          <w:iCs/>
          <w:szCs w:val="24"/>
        </w:rPr>
        <w:t>cnidata</w:t>
      </w:r>
      <w:proofErr w:type="spellEnd"/>
      <w:r w:rsidR="00F81836">
        <w:rPr>
          <w:rFonts w:cs="Times New Roman"/>
          <w:szCs w:val="24"/>
        </w:rPr>
        <w:t xml:space="preserve"> (Sponge 2012, Sponge 2015) and ambient water (Water 2015).</w:t>
      </w:r>
      <w:r w:rsidR="0050092B">
        <w:rPr>
          <w:rFonts w:cs="Times New Roman"/>
          <w:szCs w:val="24"/>
        </w:rPr>
        <w:t xml:space="preserve"> To enhance visualization, only most contributing phyla are labelled. </w:t>
      </w:r>
      <w:r w:rsidR="0050092B" w:rsidRPr="003319F0">
        <w:t>Analysis was performed in PAST3</w:t>
      </w:r>
      <w:r w:rsidR="00185345">
        <w:t>.</w:t>
      </w:r>
    </w:p>
    <w:p w14:paraId="1B00AD51" w14:textId="77777777" w:rsidR="00F81836" w:rsidRDefault="00F81836">
      <w:pPr>
        <w:spacing w:before="0" w:after="200" w:line="276" w:lineRule="auto"/>
        <w:rPr>
          <w:rFonts w:cs="Times New Roman"/>
          <w:szCs w:val="24"/>
        </w:rPr>
      </w:pPr>
      <w:r>
        <w:rPr>
          <w:rFonts w:cs="Times New Roman"/>
          <w:szCs w:val="24"/>
        </w:rPr>
        <w:br w:type="page"/>
      </w:r>
    </w:p>
    <w:p w14:paraId="7B65BC41" w14:textId="63BD46DF" w:rsidR="00DE23E8" w:rsidRDefault="00B83FA1" w:rsidP="00B83FA1">
      <w:pPr>
        <w:pStyle w:val="Heading1"/>
      </w:pPr>
      <w:r>
        <w:lastRenderedPageBreak/>
        <w:t>Supplementary References</w:t>
      </w:r>
    </w:p>
    <w:p w14:paraId="69FE0DA8" w14:textId="3D628CD5" w:rsidR="00B83FA1" w:rsidRDefault="00B83FA1" w:rsidP="00C94FE1">
      <w:pPr>
        <w:spacing w:before="240"/>
        <w:jc w:val="both"/>
      </w:pPr>
      <w:r w:rsidRPr="00B83FA1">
        <w:t>Amann, R.I., Binder, B.J., Olson, R.J., Chisholm, S.W., Devereux, R.</w:t>
      </w:r>
      <w:r w:rsidR="00C94FE1">
        <w:t>,</w:t>
      </w:r>
      <w:r w:rsidRPr="00B83FA1">
        <w:t xml:space="preserve"> and Stahl, D.A. (1990). Combination of 16S rRNA-targeted oligonucleotide probes with flow cytometry for analyzing mixed microbial populations. </w:t>
      </w:r>
      <w:r w:rsidRPr="00C94FE1">
        <w:rPr>
          <w:i/>
          <w:iCs/>
        </w:rPr>
        <w:t>Appl. Environ. Microbiol.</w:t>
      </w:r>
      <w:r w:rsidRPr="00B83FA1">
        <w:t xml:space="preserve"> 56, 1919–1925.</w:t>
      </w:r>
    </w:p>
    <w:p w14:paraId="2B8BE87C" w14:textId="47873112" w:rsidR="00B83FA1" w:rsidRDefault="00B83FA1" w:rsidP="00C94FE1">
      <w:pPr>
        <w:spacing w:before="240"/>
        <w:jc w:val="both"/>
      </w:pPr>
      <w:r w:rsidRPr="0035570A">
        <w:t xml:space="preserve">Bergman, O., Haber, M., </w:t>
      </w:r>
      <w:proofErr w:type="spellStart"/>
      <w:r w:rsidRPr="0035570A">
        <w:t>Mayzel</w:t>
      </w:r>
      <w:proofErr w:type="spellEnd"/>
      <w:r w:rsidRPr="0035570A">
        <w:t xml:space="preserve">, B., Anderson, M.A., </w:t>
      </w:r>
      <w:proofErr w:type="spellStart"/>
      <w:r w:rsidRPr="0035570A">
        <w:t>Shpigel</w:t>
      </w:r>
      <w:proofErr w:type="spellEnd"/>
      <w:r w:rsidRPr="0035570A">
        <w:t>, M.</w:t>
      </w:r>
      <w:r w:rsidR="00C94FE1" w:rsidRPr="0035570A">
        <w:t>,</w:t>
      </w:r>
      <w:r w:rsidRPr="0035570A">
        <w:t xml:space="preserve"> Hill, R.T.</w:t>
      </w:r>
      <w:r w:rsidR="00C94FE1" w:rsidRPr="0035570A">
        <w:t>,</w:t>
      </w:r>
      <w:r w:rsidRPr="0035570A">
        <w:rPr>
          <w:i/>
          <w:iCs/>
        </w:rPr>
        <w:t xml:space="preserve"> et al.</w:t>
      </w:r>
      <w:r w:rsidRPr="0035570A">
        <w:t xml:space="preserve"> </w:t>
      </w:r>
      <w:r w:rsidRPr="00B83FA1">
        <w:t xml:space="preserve">(2011). Marine-based cultivation of </w:t>
      </w:r>
      <w:proofErr w:type="spellStart"/>
      <w:r w:rsidRPr="00B83FA1">
        <w:t>diacarnus</w:t>
      </w:r>
      <w:proofErr w:type="spellEnd"/>
      <w:r w:rsidRPr="00B83FA1">
        <w:t xml:space="preserve"> sponges and the bacterial community composition of wild and </w:t>
      </w:r>
      <w:proofErr w:type="spellStart"/>
      <w:r w:rsidRPr="00B83FA1">
        <w:t>maricultured</w:t>
      </w:r>
      <w:proofErr w:type="spellEnd"/>
      <w:r w:rsidRPr="00B83FA1">
        <w:t xml:space="preserve"> sponges and their larvae. </w:t>
      </w:r>
      <w:r w:rsidRPr="00C94FE1">
        <w:rPr>
          <w:i/>
          <w:iCs/>
        </w:rPr>
        <w:t xml:space="preserve">Mar. </w:t>
      </w:r>
      <w:proofErr w:type="spellStart"/>
      <w:r w:rsidRPr="00C94FE1">
        <w:rPr>
          <w:i/>
          <w:iCs/>
        </w:rPr>
        <w:t>Biotechnol</w:t>
      </w:r>
      <w:proofErr w:type="spellEnd"/>
      <w:r w:rsidRPr="00C94FE1">
        <w:rPr>
          <w:iCs/>
        </w:rPr>
        <w:t>.</w:t>
      </w:r>
      <w:r w:rsidRPr="00B83FA1">
        <w:t xml:space="preserve"> 13, 1169–1182. </w:t>
      </w:r>
      <w:proofErr w:type="spellStart"/>
      <w:r w:rsidRPr="00B83FA1">
        <w:t>doi</w:t>
      </w:r>
      <w:proofErr w:type="spellEnd"/>
      <w:r w:rsidRPr="00B83FA1">
        <w:t>: 10.1007/s10126-011-9391-6.</w:t>
      </w:r>
    </w:p>
    <w:p w14:paraId="1988DF1E" w14:textId="312F7FB4" w:rsidR="00B83FA1" w:rsidRPr="006E5FB8" w:rsidRDefault="00B83FA1" w:rsidP="00C94FE1">
      <w:pPr>
        <w:spacing w:before="240"/>
        <w:jc w:val="both"/>
      </w:pPr>
      <w:r w:rsidRPr="006D5770">
        <w:t xml:space="preserve">Friedrich, A.B., Fischer, I., </w:t>
      </w:r>
      <w:proofErr w:type="spellStart"/>
      <w:r w:rsidRPr="006D5770">
        <w:t>Proksch</w:t>
      </w:r>
      <w:proofErr w:type="spellEnd"/>
      <w:r w:rsidRPr="006D5770">
        <w:t>, P., Hacker, J.</w:t>
      </w:r>
      <w:r w:rsidR="00C94FE1" w:rsidRPr="006D5770">
        <w:t xml:space="preserve">, </w:t>
      </w:r>
      <w:r w:rsidRPr="006D5770">
        <w:t xml:space="preserve">and </w:t>
      </w:r>
      <w:proofErr w:type="spellStart"/>
      <w:r w:rsidRPr="006D5770">
        <w:t>Hentschel</w:t>
      </w:r>
      <w:proofErr w:type="spellEnd"/>
      <w:r w:rsidRPr="006D5770">
        <w:t xml:space="preserve">, U. (2001). </w:t>
      </w:r>
      <w:r w:rsidRPr="00B83FA1">
        <w:t xml:space="preserve">Temporal variation of the microbial community associated with the </w:t>
      </w:r>
      <w:proofErr w:type="spellStart"/>
      <w:r w:rsidRPr="00B83FA1">
        <w:t>mediterranean</w:t>
      </w:r>
      <w:proofErr w:type="spellEnd"/>
      <w:r w:rsidRPr="00B83FA1">
        <w:t xml:space="preserve"> sponge </w:t>
      </w:r>
      <w:proofErr w:type="spellStart"/>
      <w:r w:rsidRPr="00B83FA1">
        <w:rPr>
          <w:i/>
          <w:iCs/>
        </w:rPr>
        <w:t>Aplysina</w:t>
      </w:r>
      <w:proofErr w:type="spellEnd"/>
      <w:r w:rsidRPr="00B83FA1">
        <w:rPr>
          <w:i/>
          <w:iCs/>
        </w:rPr>
        <w:t xml:space="preserve"> </w:t>
      </w:r>
      <w:proofErr w:type="spellStart"/>
      <w:r w:rsidRPr="00B83FA1">
        <w:rPr>
          <w:i/>
          <w:iCs/>
        </w:rPr>
        <w:t>aerophoba</w:t>
      </w:r>
      <w:proofErr w:type="spellEnd"/>
      <w:r w:rsidRPr="00B83FA1">
        <w:t xml:space="preserve">. </w:t>
      </w:r>
      <w:r w:rsidRPr="006E5FB8">
        <w:rPr>
          <w:i/>
          <w:iCs/>
        </w:rPr>
        <w:t>FEMS Microbiol. Ecol.</w:t>
      </w:r>
      <w:r w:rsidRPr="006E5FB8">
        <w:t xml:space="preserve"> 38, 105–115. doi: 10.1111/j.1574-6941.2001.tb00888.x.</w:t>
      </w:r>
    </w:p>
    <w:p w14:paraId="2B3E98FA" w14:textId="3A0542B9" w:rsidR="00B83FA1" w:rsidRDefault="00B83FA1" w:rsidP="00C94FE1">
      <w:pPr>
        <w:spacing w:before="240"/>
        <w:jc w:val="both"/>
      </w:pPr>
      <w:r w:rsidRPr="006E5FB8">
        <w:t>Gerçe, B., Schwartz, T., Voigt, M., Rühle, S., Kirchen, S.</w:t>
      </w:r>
      <w:r w:rsidR="00C94FE1" w:rsidRPr="006E5FB8">
        <w:t xml:space="preserve">, </w:t>
      </w:r>
      <w:r w:rsidRPr="006E5FB8">
        <w:t>and Putz, A.</w:t>
      </w:r>
      <w:r w:rsidRPr="006E5FB8">
        <w:rPr>
          <w:i/>
          <w:iCs/>
        </w:rPr>
        <w:t xml:space="preserve"> et al.</w:t>
      </w:r>
      <w:r w:rsidRPr="006E5FB8">
        <w:t xml:space="preserve"> </w:t>
      </w:r>
      <w:r w:rsidRPr="00B83FA1">
        <w:t xml:space="preserve">(2009). Morphological, bacterial, and secondary metabolite changes of </w:t>
      </w:r>
      <w:proofErr w:type="spellStart"/>
      <w:r w:rsidRPr="00B83FA1">
        <w:rPr>
          <w:i/>
          <w:iCs/>
        </w:rPr>
        <w:t>Aplysina</w:t>
      </w:r>
      <w:proofErr w:type="spellEnd"/>
      <w:r w:rsidRPr="00B83FA1">
        <w:rPr>
          <w:i/>
          <w:iCs/>
        </w:rPr>
        <w:t xml:space="preserve"> </w:t>
      </w:r>
      <w:proofErr w:type="spellStart"/>
      <w:r w:rsidRPr="00B83FA1">
        <w:rPr>
          <w:i/>
          <w:iCs/>
        </w:rPr>
        <w:t>aerophoba</w:t>
      </w:r>
      <w:proofErr w:type="spellEnd"/>
      <w:r w:rsidRPr="00B83FA1">
        <w:rPr>
          <w:i/>
          <w:iCs/>
        </w:rPr>
        <w:t xml:space="preserve"> </w:t>
      </w:r>
      <w:r w:rsidRPr="00B83FA1">
        <w:t xml:space="preserve">upon long-term maintenance under artificial conditions. </w:t>
      </w:r>
      <w:proofErr w:type="spellStart"/>
      <w:r w:rsidRPr="00C94FE1">
        <w:rPr>
          <w:i/>
          <w:iCs/>
        </w:rPr>
        <w:t>Microb</w:t>
      </w:r>
      <w:proofErr w:type="spellEnd"/>
      <w:r w:rsidRPr="00C94FE1">
        <w:rPr>
          <w:i/>
          <w:iCs/>
        </w:rPr>
        <w:t>. Ecol.</w:t>
      </w:r>
      <w:r w:rsidRPr="00B83FA1">
        <w:t xml:space="preserve"> 58, 865–878. </w:t>
      </w:r>
      <w:proofErr w:type="spellStart"/>
      <w:r w:rsidRPr="00B83FA1">
        <w:t>doi</w:t>
      </w:r>
      <w:proofErr w:type="spellEnd"/>
      <w:r w:rsidRPr="00B83FA1">
        <w:t>: 10.1007/s00248-009-9560-6.</w:t>
      </w:r>
    </w:p>
    <w:p w14:paraId="6F54C129" w14:textId="76DD8361" w:rsidR="00B83FA1" w:rsidRDefault="00B83FA1" w:rsidP="00C94FE1">
      <w:pPr>
        <w:spacing w:before="240"/>
        <w:jc w:val="both"/>
      </w:pPr>
      <w:proofErr w:type="spellStart"/>
      <w:r w:rsidRPr="00B83FA1">
        <w:t>Lunau</w:t>
      </w:r>
      <w:proofErr w:type="spellEnd"/>
      <w:r w:rsidRPr="00B83FA1">
        <w:t>, M., Lemke, A., Walther, K., Martens-</w:t>
      </w:r>
      <w:proofErr w:type="spellStart"/>
      <w:r w:rsidRPr="00B83FA1">
        <w:t>Habbena</w:t>
      </w:r>
      <w:proofErr w:type="spellEnd"/>
      <w:r w:rsidRPr="00B83FA1">
        <w:t>, W.</w:t>
      </w:r>
      <w:r w:rsidR="00C94FE1">
        <w:t>,</w:t>
      </w:r>
      <w:r w:rsidRPr="00B83FA1">
        <w:t xml:space="preserve"> and Simon, M. (2005). An improved method for counting bacteria from sediments and turbid environments by epifluorescence microscopy. </w:t>
      </w:r>
      <w:r w:rsidRPr="00C94FE1">
        <w:rPr>
          <w:i/>
          <w:iCs/>
        </w:rPr>
        <w:t>Environ. Microbiol.</w:t>
      </w:r>
      <w:r w:rsidRPr="00B83FA1">
        <w:t xml:space="preserve"> 7, 961–968. </w:t>
      </w:r>
      <w:proofErr w:type="spellStart"/>
      <w:r w:rsidRPr="00B83FA1">
        <w:t>doi</w:t>
      </w:r>
      <w:proofErr w:type="spellEnd"/>
      <w:r w:rsidRPr="00B83FA1">
        <w:t>: 10.1111/j.1462-2920.2005.00767.x.</w:t>
      </w:r>
    </w:p>
    <w:p w14:paraId="24629AF5" w14:textId="2B0607B7" w:rsidR="003319F0" w:rsidRDefault="003319F0" w:rsidP="00C94FE1">
      <w:pPr>
        <w:spacing w:before="240"/>
        <w:jc w:val="both"/>
      </w:pPr>
      <w:proofErr w:type="spellStart"/>
      <w:r w:rsidRPr="003319F0">
        <w:t>Suwanrumpha</w:t>
      </w:r>
      <w:proofErr w:type="spellEnd"/>
      <w:r w:rsidRPr="003319F0">
        <w:t>, S.</w:t>
      </w:r>
      <w:r w:rsidR="00C94FE1">
        <w:t>,</w:t>
      </w:r>
      <w:r w:rsidRPr="003319F0">
        <w:t xml:space="preserve"> and </w:t>
      </w:r>
      <w:proofErr w:type="spellStart"/>
      <w:r w:rsidRPr="003319F0">
        <w:t>Freast</w:t>
      </w:r>
      <w:proofErr w:type="spellEnd"/>
      <w:r w:rsidRPr="003319F0">
        <w:t>, R.B. (1989). Identification of metabolites of ampicillin using liquid chromatography/</w:t>
      </w:r>
      <w:proofErr w:type="spellStart"/>
      <w:r w:rsidRPr="003319F0">
        <w:t>thermospray</w:t>
      </w:r>
      <w:proofErr w:type="spellEnd"/>
      <w:r w:rsidRPr="003319F0">
        <w:t xml:space="preserve"> mass spectrometry and fast atom bombardment tandem mass spectrometry. </w:t>
      </w:r>
      <w:r w:rsidRPr="00C94FE1">
        <w:rPr>
          <w:i/>
          <w:iCs/>
        </w:rPr>
        <w:t xml:space="preserve">Biomed. Environ. Mass </w:t>
      </w:r>
      <w:proofErr w:type="spellStart"/>
      <w:r w:rsidRPr="00C94FE1">
        <w:rPr>
          <w:i/>
          <w:iCs/>
        </w:rPr>
        <w:t>Spectrom</w:t>
      </w:r>
      <w:proofErr w:type="spellEnd"/>
      <w:r w:rsidRPr="00C94FE1">
        <w:rPr>
          <w:i/>
          <w:iCs/>
        </w:rPr>
        <w:t>.</w:t>
      </w:r>
      <w:r w:rsidRPr="003319F0">
        <w:t xml:space="preserve"> 18, 983–994. </w:t>
      </w:r>
      <w:proofErr w:type="spellStart"/>
      <w:r w:rsidRPr="003319F0">
        <w:t>doi</w:t>
      </w:r>
      <w:proofErr w:type="spellEnd"/>
      <w:r w:rsidRPr="003319F0">
        <w:t>: 10.1002/bms.1200181106.</w:t>
      </w:r>
    </w:p>
    <w:p w14:paraId="24520A0F" w14:textId="28725D5A" w:rsidR="00C94FE1" w:rsidRDefault="00B83FA1" w:rsidP="00C94FE1">
      <w:pPr>
        <w:spacing w:before="240"/>
        <w:jc w:val="both"/>
      </w:pPr>
      <w:proofErr w:type="spellStart"/>
      <w:r w:rsidRPr="00B83FA1">
        <w:t>Thoms</w:t>
      </w:r>
      <w:proofErr w:type="spellEnd"/>
      <w:r w:rsidRPr="00B83FA1">
        <w:t xml:space="preserve">, C., Horn, M., Wagner, M., </w:t>
      </w:r>
      <w:proofErr w:type="spellStart"/>
      <w:r w:rsidRPr="00B83FA1">
        <w:t>Hentschel</w:t>
      </w:r>
      <w:proofErr w:type="spellEnd"/>
      <w:r w:rsidRPr="00B83FA1">
        <w:t>, U.</w:t>
      </w:r>
      <w:r w:rsidR="00C94FE1">
        <w:t>,</w:t>
      </w:r>
      <w:r w:rsidRPr="00B83FA1">
        <w:t xml:space="preserve"> and </w:t>
      </w:r>
      <w:proofErr w:type="spellStart"/>
      <w:r w:rsidRPr="00B83FA1">
        <w:t>Proksch</w:t>
      </w:r>
      <w:proofErr w:type="spellEnd"/>
      <w:r w:rsidRPr="00B83FA1">
        <w:t xml:space="preserve">, P. (2003). Monitoring microbial diversity and natural product profiles of the sponge </w:t>
      </w:r>
      <w:proofErr w:type="spellStart"/>
      <w:r w:rsidRPr="00B83FA1">
        <w:rPr>
          <w:i/>
          <w:iCs/>
        </w:rPr>
        <w:t>Aplysina</w:t>
      </w:r>
      <w:proofErr w:type="spellEnd"/>
      <w:r w:rsidRPr="00B83FA1">
        <w:rPr>
          <w:i/>
          <w:iCs/>
        </w:rPr>
        <w:t xml:space="preserve"> </w:t>
      </w:r>
      <w:proofErr w:type="spellStart"/>
      <w:r w:rsidRPr="00B83FA1">
        <w:rPr>
          <w:i/>
          <w:iCs/>
        </w:rPr>
        <w:t>cavernicola</w:t>
      </w:r>
      <w:proofErr w:type="spellEnd"/>
      <w:r w:rsidRPr="00B83FA1">
        <w:rPr>
          <w:i/>
          <w:iCs/>
        </w:rPr>
        <w:t xml:space="preserve"> </w:t>
      </w:r>
      <w:r w:rsidRPr="00B83FA1">
        <w:t xml:space="preserve">following transplantation. </w:t>
      </w:r>
      <w:r w:rsidRPr="00C94FE1">
        <w:rPr>
          <w:i/>
          <w:iCs/>
        </w:rPr>
        <w:t>Mar. Biol.</w:t>
      </w:r>
      <w:r w:rsidRPr="00187FBD">
        <w:t xml:space="preserve"> 142</w:t>
      </w:r>
      <w:r w:rsidRPr="00B83FA1">
        <w:t>, 685–692.</w:t>
      </w:r>
      <w:r w:rsidR="00C94FE1">
        <w:t xml:space="preserve"> </w:t>
      </w:r>
      <w:proofErr w:type="spellStart"/>
      <w:r w:rsidR="00C94FE1">
        <w:t>doi</w:t>
      </w:r>
      <w:proofErr w:type="spellEnd"/>
      <w:r w:rsidR="00C94FE1">
        <w:t xml:space="preserve">: </w:t>
      </w:r>
      <w:r w:rsidR="00C94FE1" w:rsidRPr="006D5770">
        <w:rPr>
          <w:rFonts w:eastAsia="Times New Roman" w:cs="Times New Roman"/>
          <w:szCs w:val="24"/>
          <w:lang w:eastAsia="de-DE"/>
        </w:rPr>
        <w:t>10.1007/s00227-002-1000-9.</w:t>
      </w:r>
    </w:p>
    <w:p w14:paraId="335BD983" w14:textId="65B447BC" w:rsidR="00C94FE1" w:rsidRDefault="00B83FA1" w:rsidP="00C94FE1">
      <w:pPr>
        <w:spacing w:before="240"/>
        <w:jc w:val="both"/>
      </w:pPr>
      <w:proofErr w:type="spellStart"/>
      <w:r w:rsidRPr="006D5770">
        <w:t>Wallner</w:t>
      </w:r>
      <w:proofErr w:type="spellEnd"/>
      <w:r w:rsidRPr="006D5770">
        <w:t>, G., Amann, R.</w:t>
      </w:r>
      <w:r w:rsidR="00C94FE1" w:rsidRPr="006D5770">
        <w:t>,</w:t>
      </w:r>
      <w:r w:rsidRPr="006D5770">
        <w:t xml:space="preserve"> and </w:t>
      </w:r>
      <w:proofErr w:type="spellStart"/>
      <w:r w:rsidRPr="006D5770">
        <w:t>Beisker</w:t>
      </w:r>
      <w:proofErr w:type="spellEnd"/>
      <w:r w:rsidRPr="006D5770">
        <w:t xml:space="preserve">, W. (1993). </w:t>
      </w:r>
      <w:r w:rsidRPr="00B83FA1">
        <w:t xml:space="preserve">Optimizing fluorescent in situ hybridization with rRNA-targeted oligonucleotide probes for flow cytometric identification of microorganisms. </w:t>
      </w:r>
      <w:r w:rsidRPr="00C94FE1">
        <w:rPr>
          <w:i/>
          <w:iCs/>
        </w:rPr>
        <w:t>Cytometry</w:t>
      </w:r>
      <w:r w:rsidRPr="00C94FE1">
        <w:rPr>
          <w:i/>
        </w:rPr>
        <w:t xml:space="preserve"> </w:t>
      </w:r>
      <w:r w:rsidRPr="00B83FA1">
        <w:t xml:space="preserve">14, 136–143. </w:t>
      </w:r>
      <w:proofErr w:type="spellStart"/>
      <w:r w:rsidRPr="00B83FA1">
        <w:t>doi</w:t>
      </w:r>
      <w:proofErr w:type="spellEnd"/>
      <w:r w:rsidRPr="00B83FA1">
        <w:t>: 10.1002/cyto.990140205.</w:t>
      </w:r>
      <w:r w:rsidR="00C94FE1" w:rsidRPr="00C94FE1">
        <w:t xml:space="preserve"> </w:t>
      </w:r>
    </w:p>
    <w:p w14:paraId="7FF2EDEC" w14:textId="259E663B" w:rsidR="00C94FE1" w:rsidRPr="006D5770" w:rsidRDefault="00B83FA1" w:rsidP="00C94FE1">
      <w:pPr>
        <w:spacing w:before="240"/>
        <w:jc w:val="both"/>
      </w:pPr>
      <w:r w:rsidRPr="00B83FA1">
        <w:t>Webster, N.S., Cobb, R.E., Soo, R., Anthony, S.L., Battershill, C.N.</w:t>
      </w:r>
      <w:r w:rsidR="00C94FE1">
        <w:t>,</w:t>
      </w:r>
      <w:r w:rsidRPr="00B83FA1">
        <w:t xml:space="preserve"> and </w:t>
      </w:r>
      <w:proofErr w:type="spellStart"/>
      <w:r w:rsidRPr="00B83FA1">
        <w:t>Whalan</w:t>
      </w:r>
      <w:proofErr w:type="spellEnd"/>
      <w:r w:rsidRPr="00B83FA1">
        <w:t>, S.</w:t>
      </w:r>
      <w:r w:rsidRPr="00B83FA1">
        <w:rPr>
          <w:i/>
          <w:iCs/>
        </w:rPr>
        <w:t xml:space="preserve"> et al.</w:t>
      </w:r>
      <w:r w:rsidRPr="00B83FA1">
        <w:t xml:space="preserve"> (2011). Bacterial community dynamics in the marine sponge </w:t>
      </w:r>
      <w:proofErr w:type="spellStart"/>
      <w:r w:rsidRPr="00B83FA1">
        <w:t>Rhopaloeides</w:t>
      </w:r>
      <w:proofErr w:type="spellEnd"/>
      <w:r w:rsidRPr="00B83FA1">
        <w:t xml:space="preserve"> </w:t>
      </w:r>
      <w:proofErr w:type="spellStart"/>
      <w:r w:rsidRPr="00B83FA1">
        <w:t>odorabile</w:t>
      </w:r>
      <w:proofErr w:type="spellEnd"/>
      <w:r w:rsidRPr="00B83FA1">
        <w:t xml:space="preserve"> under in situ and ex situ cultivation. </w:t>
      </w:r>
      <w:r w:rsidRPr="00C94FE1">
        <w:rPr>
          <w:i/>
          <w:iCs/>
        </w:rPr>
        <w:t xml:space="preserve">Mar. </w:t>
      </w:r>
      <w:proofErr w:type="spellStart"/>
      <w:r w:rsidRPr="00C94FE1">
        <w:rPr>
          <w:i/>
          <w:iCs/>
        </w:rPr>
        <w:t>Biotechnol</w:t>
      </w:r>
      <w:proofErr w:type="spellEnd"/>
      <w:r w:rsidRPr="00C94FE1">
        <w:rPr>
          <w:i/>
          <w:iCs/>
        </w:rPr>
        <w:t>.</w:t>
      </w:r>
      <w:r w:rsidRPr="00B83FA1">
        <w:t xml:space="preserve"> </w:t>
      </w:r>
      <w:r w:rsidRPr="006D5770">
        <w:t xml:space="preserve">13, 296–304. </w:t>
      </w:r>
      <w:proofErr w:type="spellStart"/>
      <w:r w:rsidRPr="006D5770">
        <w:t>doi</w:t>
      </w:r>
      <w:proofErr w:type="spellEnd"/>
      <w:r w:rsidRPr="006D5770">
        <w:t>: 10.1007/s10126-010-9300-4.</w:t>
      </w:r>
      <w:r w:rsidR="00C94FE1" w:rsidRPr="006D5770">
        <w:t xml:space="preserve"> </w:t>
      </w:r>
    </w:p>
    <w:p w14:paraId="74FEC175" w14:textId="5030ECA2" w:rsidR="003319F0" w:rsidRPr="001549D3" w:rsidRDefault="003319F0" w:rsidP="00C94FE1">
      <w:pPr>
        <w:spacing w:before="0" w:after="0"/>
        <w:jc w:val="both"/>
      </w:pPr>
      <w:r w:rsidRPr="006D5770">
        <w:t xml:space="preserve">Weinstein, M.J., </w:t>
      </w:r>
      <w:proofErr w:type="spellStart"/>
      <w:r w:rsidRPr="006D5770">
        <w:t>Wagman</w:t>
      </w:r>
      <w:proofErr w:type="spellEnd"/>
      <w:r w:rsidRPr="006D5770">
        <w:t>, G.H., Oden, E.M.</w:t>
      </w:r>
      <w:r w:rsidR="00C94FE1" w:rsidRPr="006D5770">
        <w:t>,</w:t>
      </w:r>
      <w:r w:rsidRPr="006D5770">
        <w:t xml:space="preserve"> and Marquez, J.A. (1967). </w:t>
      </w:r>
      <w:r w:rsidRPr="003319F0">
        <w:t>Biological activity of the antibiotic components of the gentamicin complex.</w:t>
      </w:r>
      <w:r w:rsidRPr="00C94FE1">
        <w:rPr>
          <w:i/>
        </w:rPr>
        <w:t xml:space="preserve"> </w:t>
      </w:r>
      <w:r w:rsidRPr="00C94FE1">
        <w:rPr>
          <w:i/>
          <w:iCs/>
        </w:rPr>
        <w:t xml:space="preserve">J. </w:t>
      </w:r>
      <w:proofErr w:type="spellStart"/>
      <w:r w:rsidRPr="00C94FE1">
        <w:rPr>
          <w:i/>
          <w:iCs/>
        </w:rPr>
        <w:t>Bacteriol</w:t>
      </w:r>
      <w:proofErr w:type="spellEnd"/>
      <w:r w:rsidRPr="00C94FE1">
        <w:rPr>
          <w:i/>
          <w:iCs/>
        </w:rPr>
        <w:t>.</w:t>
      </w:r>
      <w:r w:rsidRPr="00C94FE1">
        <w:rPr>
          <w:i/>
        </w:rPr>
        <w:t xml:space="preserve"> </w:t>
      </w:r>
      <w:r w:rsidRPr="00187FBD">
        <w:t>94</w:t>
      </w:r>
      <w:r w:rsidRPr="003319F0">
        <w:t>, 789–799.</w:t>
      </w:r>
    </w:p>
    <w:sectPr w:rsidR="003319F0" w:rsidRPr="001549D3" w:rsidSect="0093429D">
      <w:headerReference w:type="even" r:id="rId11"/>
      <w:footerReference w:type="even" r:id="rId12"/>
      <w:footerReference w:type="default" r:id="rId13"/>
      <w:headerReference w:type="first" r:id="rId14"/>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4A058" w14:textId="77777777" w:rsidR="007879C0" w:rsidRDefault="007879C0" w:rsidP="00117666">
      <w:pPr>
        <w:spacing w:after="0"/>
      </w:pPr>
      <w:r>
        <w:separator/>
      </w:r>
    </w:p>
  </w:endnote>
  <w:endnote w:type="continuationSeparator" w:id="0">
    <w:p w14:paraId="20E5BB0C" w14:textId="77777777" w:rsidR="007879C0" w:rsidRDefault="007879C0"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1080C" w14:textId="77777777" w:rsidR="007879C0" w:rsidRDefault="007879C0" w:rsidP="00117666">
      <w:pPr>
        <w:spacing w:after="0"/>
      </w:pPr>
      <w:r>
        <w:separator/>
      </w:r>
    </w:p>
  </w:footnote>
  <w:footnote w:type="continuationSeparator" w:id="0">
    <w:p w14:paraId="3E8B6441" w14:textId="77777777" w:rsidR="007879C0" w:rsidRDefault="007879C0"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1525"/>
    <w:rsid w:val="0001436A"/>
    <w:rsid w:val="00034304"/>
    <w:rsid w:val="00035434"/>
    <w:rsid w:val="00052A14"/>
    <w:rsid w:val="0007556C"/>
    <w:rsid w:val="00077D53"/>
    <w:rsid w:val="00105FD9"/>
    <w:rsid w:val="00114689"/>
    <w:rsid w:val="00117666"/>
    <w:rsid w:val="001549D3"/>
    <w:rsid w:val="00160065"/>
    <w:rsid w:val="00174350"/>
    <w:rsid w:val="00177D84"/>
    <w:rsid w:val="00185345"/>
    <w:rsid w:val="00187FBD"/>
    <w:rsid w:val="00267D18"/>
    <w:rsid w:val="00274347"/>
    <w:rsid w:val="002868E2"/>
    <w:rsid w:val="002869C3"/>
    <w:rsid w:val="002936E4"/>
    <w:rsid w:val="002B4A57"/>
    <w:rsid w:val="002C74CA"/>
    <w:rsid w:val="003123F4"/>
    <w:rsid w:val="003319F0"/>
    <w:rsid w:val="003544FB"/>
    <w:rsid w:val="0035570A"/>
    <w:rsid w:val="003D2F2D"/>
    <w:rsid w:val="00401590"/>
    <w:rsid w:val="00415474"/>
    <w:rsid w:val="00447801"/>
    <w:rsid w:val="00452E9C"/>
    <w:rsid w:val="004735C8"/>
    <w:rsid w:val="004947A6"/>
    <w:rsid w:val="004961FF"/>
    <w:rsid w:val="004D4C96"/>
    <w:rsid w:val="0050092B"/>
    <w:rsid w:val="00517A89"/>
    <w:rsid w:val="005250F2"/>
    <w:rsid w:val="005528CD"/>
    <w:rsid w:val="00593EEA"/>
    <w:rsid w:val="005A5EEE"/>
    <w:rsid w:val="006375C7"/>
    <w:rsid w:val="00654E8F"/>
    <w:rsid w:val="00660D05"/>
    <w:rsid w:val="006820B1"/>
    <w:rsid w:val="006B7D14"/>
    <w:rsid w:val="006D5770"/>
    <w:rsid w:val="006E5FB8"/>
    <w:rsid w:val="00701727"/>
    <w:rsid w:val="0070566C"/>
    <w:rsid w:val="00714C50"/>
    <w:rsid w:val="00721BD7"/>
    <w:rsid w:val="00725A7D"/>
    <w:rsid w:val="007501BE"/>
    <w:rsid w:val="007879C0"/>
    <w:rsid w:val="00790BB3"/>
    <w:rsid w:val="007C206C"/>
    <w:rsid w:val="00817DD6"/>
    <w:rsid w:val="008368FB"/>
    <w:rsid w:val="0083759F"/>
    <w:rsid w:val="00885156"/>
    <w:rsid w:val="009151AA"/>
    <w:rsid w:val="0093429D"/>
    <w:rsid w:val="00943573"/>
    <w:rsid w:val="00964134"/>
    <w:rsid w:val="00970F7D"/>
    <w:rsid w:val="009777CD"/>
    <w:rsid w:val="00994A3D"/>
    <w:rsid w:val="009C2B12"/>
    <w:rsid w:val="00A174D9"/>
    <w:rsid w:val="00AA4D24"/>
    <w:rsid w:val="00AB6715"/>
    <w:rsid w:val="00B1671E"/>
    <w:rsid w:val="00B25EB8"/>
    <w:rsid w:val="00B37F4D"/>
    <w:rsid w:val="00B44193"/>
    <w:rsid w:val="00B45F94"/>
    <w:rsid w:val="00B83FA1"/>
    <w:rsid w:val="00BD19A6"/>
    <w:rsid w:val="00C52A7B"/>
    <w:rsid w:val="00C55B34"/>
    <w:rsid w:val="00C56BAF"/>
    <w:rsid w:val="00C679AA"/>
    <w:rsid w:val="00C75972"/>
    <w:rsid w:val="00C94FE1"/>
    <w:rsid w:val="00CB0FC6"/>
    <w:rsid w:val="00CD066B"/>
    <w:rsid w:val="00CE4FEE"/>
    <w:rsid w:val="00D060CF"/>
    <w:rsid w:val="00D230F8"/>
    <w:rsid w:val="00DB59C3"/>
    <w:rsid w:val="00DC259A"/>
    <w:rsid w:val="00DE23E8"/>
    <w:rsid w:val="00E52377"/>
    <w:rsid w:val="00E537AD"/>
    <w:rsid w:val="00E64E17"/>
    <w:rsid w:val="00E866C9"/>
    <w:rsid w:val="00E97723"/>
    <w:rsid w:val="00EA3D3C"/>
    <w:rsid w:val="00EC090A"/>
    <w:rsid w:val="00ED20B5"/>
    <w:rsid w:val="00F01A15"/>
    <w:rsid w:val="00F46900"/>
    <w:rsid w:val="00F61D89"/>
    <w:rsid w:val="00F81836"/>
    <w:rsid w:val="00FE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4:defaultImageDpi w14:val="32767"/>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character" w:customStyle="1" w:styleId="bibliographic-informationvalue">
    <w:name w:val="bibliographic-information__value"/>
    <w:basedOn w:val="DefaultParagraphFont"/>
    <w:rsid w:val="00C94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465705888">
      <w:bodyDiv w:val="1"/>
      <w:marLeft w:val="0"/>
      <w:marRight w:val="0"/>
      <w:marTop w:val="0"/>
      <w:marBottom w:val="0"/>
      <w:divBdr>
        <w:top w:val="none" w:sz="0" w:space="0" w:color="auto"/>
        <w:left w:val="none" w:sz="0" w:space="0" w:color="auto"/>
        <w:bottom w:val="none" w:sz="0" w:space="0" w:color="auto"/>
        <w:right w:val="none" w:sz="0" w:space="0" w:color="auto"/>
      </w:divBdr>
    </w:div>
    <w:div w:id="688065295">
      <w:bodyDiv w:val="1"/>
      <w:marLeft w:val="0"/>
      <w:marRight w:val="0"/>
      <w:marTop w:val="0"/>
      <w:marBottom w:val="0"/>
      <w:divBdr>
        <w:top w:val="none" w:sz="0" w:space="0" w:color="auto"/>
        <w:left w:val="none" w:sz="0" w:space="0" w:color="auto"/>
        <w:bottom w:val="none" w:sz="0" w:space="0" w:color="auto"/>
        <w:right w:val="none" w:sz="0" w:space="0" w:color="auto"/>
      </w:divBdr>
    </w:div>
    <w:div w:id="1391613761">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1B5AFDA-FBB5-4821-A152-4E125A79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6</Pages>
  <Words>1633</Words>
  <Characters>9311</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John Magri</cp:lastModifiedBy>
  <cp:revision>6</cp:revision>
  <cp:lastPrinted>2013-10-03T12:51:00Z</cp:lastPrinted>
  <dcterms:created xsi:type="dcterms:W3CDTF">2020-03-01T08:10:00Z</dcterms:created>
  <dcterms:modified xsi:type="dcterms:W3CDTF">2020-05-08T06:37:00Z</dcterms:modified>
</cp:coreProperties>
</file>