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27EEE6" w14:textId="77777777" w:rsidR="00654E8F" w:rsidRPr="00C84B49" w:rsidRDefault="00654E8F" w:rsidP="00AE4467">
      <w:pPr>
        <w:pStyle w:val="SupplementaryMaterial"/>
        <w:spacing w:line="276" w:lineRule="auto"/>
      </w:pPr>
      <w:r w:rsidRPr="00C84B49">
        <w:t>Supplementary Material</w:t>
      </w:r>
    </w:p>
    <w:p w14:paraId="1E309ECE" w14:textId="67697321" w:rsidR="00172066" w:rsidRPr="00C84B49" w:rsidRDefault="00172066" w:rsidP="00AE4467">
      <w:pPr>
        <w:pStyle w:val="Titolo1"/>
        <w:spacing w:line="276" w:lineRule="auto"/>
      </w:pPr>
      <w:r w:rsidRPr="00C84B49">
        <w:t>Characterization of NHP407</w:t>
      </w:r>
      <w:r w:rsidR="005C7A2C" w:rsidRPr="00C84B49">
        <w:t xml:space="preserve"> and SHP407</w:t>
      </w:r>
    </w:p>
    <w:p w14:paraId="7C1A2C56" w14:textId="071B500F" w:rsidR="00172066" w:rsidRPr="00C84B49" w:rsidRDefault="007773A8" w:rsidP="00AE4467">
      <w:pPr>
        <w:spacing w:after="0" w:line="276" w:lineRule="auto"/>
        <w:jc w:val="center"/>
      </w:pPr>
      <w:r w:rsidRPr="00C84B49">
        <w:rPr>
          <w:noProof/>
          <w:lang w:val="it-IT" w:eastAsia="it-IT"/>
        </w:rPr>
        <w:drawing>
          <wp:inline distT="0" distB="0" distL="0" distR="0" wp14:anchorId="3DDB1090" wp14:editId="03557723">
            <wp:extent cx="3425952" cy="3938016"/>
            <wp:effectExtent l="0" t="0" r="3175" b="571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S.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25952" cy="3938016"/>
                    </a:xfrm>
                    <a:prstGeom prst="rect">
                      <a:avLst/>
                    </a:prstGeom>
                  </pic:spPr>
                </pic:pic>
              </a:graphicData>
            </a:graphic>
          </wp:inline>
        </w:drawing>
      </w:r>
    </w:p>
    <w:p w14:paraId="7CFF4475" w14:textId="20E44C82" w:rsidR="00172066" w:rsidRPr="00C84B49" w:rsidRDefault="00C76A0D" w:rsidP="00AE4467">
      <w:pPr>
        <w:spacing w:before="0" w:line="276" w:lineRule="auto"/>
        <w:jc w:val="both"/>
        <w:rPr>
          <w:szCs w:val="24"/>
        </w:rPr>
      </w:pPr>
      <w:r>
        <w:rPr>
          <w:b/>
          <w:szCs w:val="24"/>
        </w:rPr>
        <w:t xml:space="preserve">Supplementary </w:t>
      </w:r>
      <w:r w:rsidR="00172066" w:rsidRPr="00C84B49">
        <w:rPr>
          <w:b/>
          <w:szCs w:val="24"/>
        </w:rPr>
        <w:t>Figure S</w:t>
      </w:r>
      <w:r>
        <w:rPr>
          <w:b/>
          <w:szCs w:val="24"/>
        </w:rPr>
        <w:t>1</w:t>
      </w:r>
      <w:r w:rsidR="00172066" w:rsidRPr="00C84B49">
        <w:rPr>
          <w:b/>
          <w:szCs w:val="24"/>
        </w:rPr>
        <w:t>.</w:t>
      </w:r>
      <w:r w:rsidR="00172066" w:rsidRPr="00C84B49">
        <w:rPr>
          <w:szCs w:val="24"/>
        </w:rPr>
        <w:t xml:space="preserve"> ATR-FTIR spectra of P407 (</w:t>
      </w:r>
      <w:r w:rsidR="007773A8" w:rsidRPr="00C84B49">
        <w:rPr>
          <w:szCs w:val="24"/>
        </w:rPr>
        <w:t xml:space="preserve">black), </w:t>
      </w:r>
      <w:r w:rsidR="00172066" w:rsidRPr="00C84B49">
        <w:rPr>
          <w:szCs w:val="24"/>
        </w:rPr>
        <w:t>NHP407 (</w:t>
      </w:r>
      <w:r w:rsidR="007773A8" w:rsidRPr="00C84B49">
        <w:rPr>
          <w:szCs w:val="24"/>
        </w:rPr>
        <w:t>green</w:t>
      </w:r>
      <w:r w:rsidR="00172066" w:rsidRPr="00C84B49">
        <w:rPr>
          <w:szCs w:val="24"/>
        </w:rPr>
        <w:t>)</w:t>
      </w:r>
      <w:r w:rsidR="007773A8" w:rsidRPr="00C84B49">
        <w:rPr>
          <w:szCs w:val="24"/>
        </w:rPr>
        <w:t xml:space="preserve"> and SHP407 (red)</w:t>
      </w:r>
      <w:r w:rsidR="00172066" w:rsidRPr="00C84B49">
        <w:rPr>
          <w:szCs w:val="24"/>
        </w:rPr>
        <w:t xml:space="preserve">. Characteristic absorption bands of urethane bonds </w:t>
      </w:r>
      <w:proofErr w:type="gramStart"/>
      <w:r w:rsidR="00172066" w:rsidRPr="00C84B49">
        <w:rPr>
          <w:szCs w:val="24"/>
        </w:rPr>
        <w:t>are highlighted</w:t>
      </w:r>
      <w:proofErr w:type="gramEnd"/>
      <w:r w:rsidR="00172066" w:rsidRPr="00C84B49">
        <w:rPr>
          <w:szCs w:val="24"/>
        </w:rPr>
        <w:t xml:space="preserve"> in bold. </w:t>
      </w:r>
    </w:p>
    <w:p w14:paraId="6F8F8AC7" w14:textId="406E3F5C" w:rsidR="00172066" w:rsidRPr="00C84B49" w:rsidRDefault="007773A8" w:rsidP="00AE4467">
      <w:pPr>
        <w:spacing w:after="0" w:line="276" w:lineRule="auto"/>
        <w:jc w:val="center"/>
      </w:pPr>
      <w:r w:rsidRPr="00C84B49">
        <w:rPr>
          <w:noProof/>
          <w:lang w:val="it-IT" w:eastAsia="it-IT"/>
        </w:rPr>
        <w:lastRenderedPageBreak/>
        <w:drawing>
          <wp:inline distT="0" distB="0" distL="0" distR="0" wp14:anchorId="60819099" wp14:editId="7DF56EE3">
            <wp:extent cx="4949952" cy="3532632"/>
            <wp:effectExtent l="0" t="0" r="317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2S.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49952" cy="3532632"/>
                    </a:xfrm>
                    <a:prstGeom prst="rect">
                      <a:avLst/>
                    </a:prstGeom>
                  </pic:spPr>
                </pic:pic>
              </a:graphicData>
            </a:graphic>
          </wp:inline>
        </w:drawing>
      </w:r>
    </w:p>
    <w:p w14:paraId="1FF01EBD" w14:textId="236B5D16" w:rsidR="007773A8" w:rsidRPr="00C84B49" w:rsidRDefault="00C76A0D" w:rsidP="00AE4467">
      <w:pPr>
        <w:spacing w:line="276" w:lineRule="auto"/>
        <w:jc w:val="both"/>
        <w:rPr>
          <w:rFonts w:eastAsia="Times New Roman" w:cs="Times New Roman"/>
          <w:szCs w:val="24"/>
          <w:lang w:val="en-GB" w:eastAsia="en-GB"/>
        </w:rPr>
      </w:pPr>
      <w:r>
        <w:rPr>
          <w:b/>
          <w:szCs w:val="24"/>
        </w:rPr>
        <w:t xml:space="preserve">Supplementary </w:t>
      </w:r>
      <w:r w:rsidRPr="00C84B49">
        <w:rPr>
          <w:b/>
          <w:szCs w:val="24"/>
        </w:rPr>
        <w:t>Figure S</w:t>
      </w:r>
      <w:r>
        <w:rPr>
          <w:b/>
          <w:szCs w:val="24"/>
        </w:rPr>
        <w:t>2</w:t>
      </w:r>
      <w:r w:rsidR="007773A8" w:rsidRPr="00C84B49">
        <w:rPr>
          <w:b/>
          <w:szCs w:val="24"/>
        </w:rPr>
        <w:t>.</w:t>
      </w:r>
      <w:r w:rsidR="007773A8" w:rsidRPr="00C84B49">
        <w:rPr>
          <w:szCs w:val="24"/>
        </w:rPr>
        <w:t xml:space="preserve"> </w:t>
      </w:r>
      <w:proofErr w:type="gramStart"/>
      <w:r w:rsidR="007773A8" w:rsidRPr="00C84B49">
        <w:rPr>
          <w:szCs w:val="24"/>
          <w:vertAlign w:val="superscript"/>
        </w:rPr>
        <w:t>1</w:t>
      </w:r>
      <w:r w:rsidR="007773A8" w:rsidRPr="00C84B49">
        <w:rPr>
          <w:szCs w:val="24"/>
        </w:rPr>
        <w:t>H</w:t>
      </w:r>
      <w:proofErr w:type="gramEnd"/>
      <w:r w:rsidR="00C84B49">
        <w:rPr>
          <w:szCs w:val="24"/>
        </w:rPr>
        <w:t xml:space="preserve"> </w:t>
      </w:r>
      <w:r w:rsidR="007773A8" w:rsidRPr="00C84B49">
        <w:rPr>
          <w:szCs w:val="24"/>
        </w:rPr>
        <w:t xml:space="preserve">NMR spectra of </w:t>
      </w:r>
      <w:r w:rsidR="007773A8" w:rsidRPr="00C84B49">
        <w:rPr>
          <w:rFonts w:cs="Times New Roman"/>
          <w:szCs w:val="24"/>
        </w:rPr>
        <w:t>NHP407 (green) and SHP407 (red)</w:t>
      </w:r>
      <w:r w:rsidR="007773A8" w:rsidRPr="00C84B49">
        <w:rPr>
          <w:rFonts w:eastAsia="Times New Roman" w:cs="Times New Roman"/>
          <w:szCs w:val="24"/>
          <w:lang w:val="en-GB" w:eastAsia="en-GB"/>
        </w:rPr>
        <w:t xml:space="preserve">. Magnified inserts highlight the characteristic bands of N-H groups of urethane and urea bonds, and </w:t>
      </w:r>
      <w:proofErr w:type="spellStart"/>
      <w:r w:rsidR="007773A8" w:rsidRPr="00C84B49">
        <w:rPr>
          <w:rFonts w:eastAsia="Times New Roman" w:cs="Times New Roman"/>
          <w:szCs w:val="24"/>
          <w:lang w:val="en-GB" w:eastAsia="en-GB"/>
        </w:rPr>
        <w:t>Boc</w:t>
      </w:r>
      <w:proofErr w:type="spellEnd"/>
      <w:r w:rsidR="007773A8" w:rsidRPr="00C84B49">
        <w:rPr>
          <w:rFonts w:eastAsia="Times New Roman" w:cs="Times New Roman"/>
          <w:szCs w:val="24"/>
          <w:lang w:val="en-GB" w:eastAsia="en-GB"/>
        </w:rPr>
        <w:t xml:space="preserve"> methyl groups.</w:t>
      </w:r>
    </w:p>
    <w:p w14:paraId="70CBE103" w14:textId="77777777" w:rsidR="00172066" w:rsidRPr="00C84B49" w:rsidRDefault="00172066" w:rsidP="00AE4467">
      <w:pPr>
        <w:spacing w:line="276" w:lineRule="auto"/>
        <w:jc w:val="center"/>
      </w:pPr>
    </w:p>
    <w:p w14:paraId="155B7B9F" w14:textId="77777777" w:rsidR="00B46CF8" w:rsidRPr="00C84B49" w:rsidRDefault="00B46CF8" w:rsidP="00AE4467">
      <w:pPr>
        <w:spacing w:line="276" w:lineRule="auto"/>
        <w:jc w:val="center"/>
      </w:pPr>
    </w:p>
    <w:p w14:paraId="71A24931" w14:textId="77777777" w:rsidR="00B46CF8" w:rsidRPr="00C84B49" w:rsidRDefault="00B46CF8" w:rsidP="00AE4467">
      <w:pPr>
        <w:spacing w:line="276" w:lineRule="auto"/>
        <w:jc w:val="center"/>
      </w:pPr>
    </w:p>
    <w:p w14:paraId="79DED31C" w14:textId="77777777" w:rsidR="00B46CF8" w:rsidRPr="00C84B49" w:rsidRDefault="00B46CF8" w:rsidP="00AE4467">
      <w:pPr>
        <w:spacing w:line="276" w:lineRule="auto"/>
        <w:jc w:val="center"/>
      </w:pPr>
    </w:p>
    <w:p w14:paraId="7455D22E" w14:textId="77777777" w:rsidR="00B46CF8" w:rsidRPr="00C84B49" w:rsidRDefault="00B46CF8" w:rsidP="00AE4467">
      <w:pPr>
        <w:spacing w:line="276" w:lineRule="auto"/>
        <w:jc w:val="center"/>
      </w:pPr>
    </w:p>
    <w:p w14:paraId="1B6D160A" w14:textId="77777777" w:rsidR="00B46CF8" w:rsidRPr="00C84B49" w:rsidRDefault="00B46CF8" w:rsidP="00AE4467">
      <w:pPr>
        <w:spacing w:line="276" w:lineRule="auto"/>
        <w:jc w:val="center"/>
      </w:pPr>
    </w:p>
    <w:p w14:paraId="5EF24E11" w14:textId="77777777" w:rsidR="00B46CF8" w:rsidRPr="00C84B49" w:rsidRDefault="00B46CF8" w:rsidP="00AE4467">
      <w:pPr>
        <w:spacing w:line="276" w:lineRule="auto"/>
        <w:jc w:val="center"/>
      </w:pPr>
    </w:p>
    <w:p w14:paraId="10A9CCBA" w14:textId="77777777" w:rsidR="00B46CF8" w:rsidRPr="00C84B49" w:rsidRDefault="00B46CF8" w:rsidP="00AE4467">
      <w:pPr>
        <w:spacing w:line="276" w:lineRule="auto"/>
        <w:jc w:val="center"/>
      </w:pPr>
    </w:p>
    <w:p w14:paraId="5D1FBA49" w14:textId="77777777" w:rsidR="00B46CF8" w:rsidRPr="00C84B49" w:rsidRDefault="00B46CF8" w:rsidP="00AE4467">
      <w:pPr>
        <w:spacing w:line="276" w:lineRule="auto"/>
        <w:jc w:val="center"/>
      </w:pPr>
    </w:p>
    <w:p w14:paraId="42F343B1" w14:textId="77777777" w:rsidR="00B46CF8" w:rsidRPr="00C84B49" w:rsidRDefault="00B46CF8" w:rsidP="00AE4467">
      <w:pPr>
        <w:spacing w:line="276" w:lineRule="auto"/>
        <w:jc w:val="center"/>
      </w:pPr>
    </w:p>
    <w:p w14:paraId="0978B0C6" w14:textId="77777777" w:rsidR="00B46CF8" w:rsidRPr="00C84B49" w:rsidRDefault="00B46CF8" w:rsidP="00AE4467">
      <w:pPr>
        <w:spacing w:line="276" w:lineRule="auto"/>
        <w:jc w:val="center"/>
      </w:pPr>
    </w:p>
    <w:p w14:paraId="76225CBD" w14:textId="77777777" w:rsidR="00B46CF8" w:rsidRPr="00C84B49" w:rsidRDefault="00B46CF8" w:rsidP="00AE4467">
      <w:pPr>
        <w:spacing w:line="276" w:lineRule="auto"/>
        <w:jc w:val="center"/>
      </w:pPr>
    </w:p>
    <w:p w14:paraId="1F4CC36F" w14:textId="77777777" w:rsidR="00B46CF8" w:rsidRPr="00C84B49" w:rsidRDefault="00B46CF8" w:rsidP="00AE4467">
      <w:pPr>
        <w:spacing w:line="276" w:lineRule="auto"/>
        <w:jc w:val="center"/>
      </w:pPr>
    </w:p>
    <w:p w14:paraId="221ABF77" w14:textId="4E375928" w:rsidR="00172066" w:rsidRPr="00C84B49" w:rsidRDefault="00172066" w:rsidP="00AE4467">
      <w:pPr>
        <w:pStyle w:val="Titolo1"/>
        <w:spacing w:line="276" w:lineRule="auto"/>
      </w:pPr>
      <w:r w:rsidRPr="00C84B49">
        <w:t xml:space="preserve">Characterization of </w:t>
      </w:r>
      <w:r w:rsidR="00B46CF8" w:rsidRPr="00C84B49">
        <w:t>SIP-coated mesoporous silica nanoparticles</w:t>
      </w:r>
    </w:p>
    <w:p w14:paraId="0C8AC4C3" w14:textId="6CC5694F" w:rsidR="00B46CF8" w:rsidRPr="00C84B49" w:rsidRDefault="00B46CF8" w:rsidP="00AE4467">
      <w:pPr>
        <w:spacing w:line="276" w:lineRule="auto"/>
        <w:jc w:val="center"/>
      </w:pPr>
      <w:r w:rsidRPr="00C84B49">
        <w:rPr>
          <w:noProof/>
          <w:lang w:val="it-IT" w:eastAsia="it-IT"/>
        </w:rPr>
        <w:drawing>
          <wp:inline distT="0" distB="0" distL="0" distR="0" wp14:anchorId="6C65DC34" wp14:editId="2146F937">
            <wp:extent cx="5580888" cy="4157472"/>
            <wp:effectExtent l="0" t="0" r="127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3S.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0888" cy="4157472"/>
                    </a:xfrm>
                    <a:prstGeom prst="rect">
                      <a:avLst/>
                    </a:prstGeom>
                  </pic:spPr>
                </pic:pic>
              </a:graphicData>
            </a:graphic>
          </wp:inline>
        </w:drawing>
      </w:r>
    </w:p>
    <w:p w14:paraId="04883545" w14:textId="44147D72" w:rsidR="00B46CF8" w:rsidRPr="00C84B49" w:rsidRDefault="00C76A0D" w:rsidP="00AE4467">
      <w:pPr>
        <w:spacing w:after="200" w:line="276" w:lineRule="auto"/>
        <w:jc w:val="both"/>
        <w:rPr>
          <w:rFonts w:cs="Times New Roman"/>
          <w:szCs w:val="24"/>
        </w:rPr>
      </w:pPr>
      <w:r>
        <w:rPr>
          <w:b/>
          <w:szCs w:val="24"/>
        </w:rPr>
        <w:t xml:space="preserve">Supplementary </w:t>
      </w:r>
      <w:r w:rsidRPr="00C84B49">
        <w:rPr>
          <w:b/>
          <w:szCs w:val="24"/>
        </w:rPr>
        <w:t>Figure S</w:t>
      </w:r>
      <w:r>
        <w:rPr>
          <w:b/>
          <w:szCs w:val="24"/>
        </w:rPr>
        <w:t>3</w:t>
      </w:r>
      <w:r w:rsidR="00B46CF8" w:rsidRPr="00C84B49">
        <w:rPr>
          <w:rFonts w:cs="Times New Roman"/>
          <w:b/>
          <w:szCs w:val="24"/>
        </w:rPr>
        <w:t xml:space="preserve">. </w:t>
      </w:r>
      <w:r w:rsidR="00B46CF8" w:rsidRPr="00C84B49">
        <w:rPr>
          <w:rFonts w:cs="Times New Roman"/>
          <w:szCs w:val="24"/>
        </w:rPr>
        <w:t xml:space="preserve">Characterization of MSN-CS-SIP (blue) </w:t>
      </w:r>
      <w:r w:rsidR="00B46CF8" w:rsidRPr="00C84B49">
        <w:rPr>
          <w:rFonts w:cs="Times New Roman"/>
          <w:i/>
          <w:szCs w:val="24"/>
        </w:rPr>
        <w:t>vs</w:t>
      </w:r>
      <w:r w:rsidR="00B46CF8" w:rsidRPr="00C84B49">
        <w:rPr>
          <w:rFonts w:cs="Times New Roman"/>
          <w:szCs w:val="24"/>
        </w:rPr>
        <w:t xml:space="preserve">. MSNs (black). </w:t>
      </w:r>
      <w:r w:rsidR="00B46CF8" w:rsidRPr="00C84B49">
        <w:rPr>
          <w:rFonts w:cs="Times New Roman"/>
          <w:b/>
          <w:szCs w:val="24"/>
        </w:rPr>
        <w:t>A)</w:t>
      </w:r>
      <w:r w:rsidR="00B46CF8" w:rsidRPr="00C84B49">
        <w:rPr>
          <w:rFonts w:cs="Times New Roman"/>
          <w:szCs w:val="24"/>
        </w:rPr>
        <w:t xml:space="preserve"> XRD. </w:t>
      </w:r>
      <w:r w:rsidR="00B46CF8" w:rsidRPr="00C84B49">
        <w:rPr>
          <w:rFonts w:cs="Times New Roman"/>
          <w:b/>
          <w:szCs w:val="24"/>
        </w:rPr>
        <w:t>B)</w:t>
      </w:r>
      <w:r w:rsidR="00B46CF8" w:rsidRPr="00C84B49">
        <w:rPr>
          <w:rFonts w:cs="Times New Roman"/>
          <w:szCs w:val="24"/>
        </w:rPr>
        <w:t xml:space="preserve"> TG analysis. </w:t>
      </w:r>
      <w:r w:rsidR="00B46CF8" w:rsidRPr="00C84B49">
        <w:rPr>
          <w:rFonts w:cs="Times New Roman"/>
          <w:b/>
          <w:szCs w:val="24"/>
        </w:rPr>
        <w:t>C)</w:t>
      </w:r>
      <w:r w:rsidR="00B46CF8" w:rsidRPr="00C84B49">
        <w:rPr>
          <w:rFonts w:cs="Times New Roman"/>
          <w:szCs w:val="24"/>
        </w:rPr>
        <w:t xml:space="preserve"> ATR-FTIR spectroscopy. </w:t>
      </w:r>
      <w:r w:rsidR="00B46CF8" w:rsidRPr="00C84B49">
        <w:rPr>
          <w:rFonts w:cs="Times New Roman"/>
          <w:b/>
          <w:szCs w:val="24"/>
        </w:rPr>
        <w:t>D)</w:t>
      </w:r>
      <w:r w:rsidR="00B46CF8" w:rsidRPr="00C84B49">
        <w:rPr>
          <w:rFonts w:cs="Times New Roman"/>
          <w:szCs w:val="24"/>
        </w:rPr>
        <w:t xml:space="preserve"> N</w:t>
      </w:r>
      <w:r w:rsidR="00B46CF8" w:rsidRPr="00C84B49">
        <w:rPr>
          <w:rFonts w:cs="Times New Roman"/>
          <w:szCs w:val="24"/>
          <w:vertAlign w:val="subscript"/>
        </w:rPr>
        <w:t>2</w:t>
      </w:r>
      <w:r w:rsidR="00B46CF8" w:rsidRPr="00C84B49">
        <w:rPr>
          <w:rFonts w:cs="Times New Roman"/>
          <w:szCs w:val="24"/>
        </w:rPr>
        <w:t xml:space="preserve"> adsorption analysis.</w:t>
      </w:r>
    </w:p>
    <w:p w14:paraId="3E7D104E" w14:textId="77777777" w:rsidR="006B47A6" w:rsidRPr="00C84B49" w:rsidRDefault="006B47A6" w:rsidP="00AE4467">
      <w:pPr>
        <w:spacing w:after="200" w:line="276" w:lineRule="auto"/>
        <w:jc w:val="both"/>
        <w:rPr>
          <w:rFonts w:cs="Times New Roman"/>
          <w:szCs w:val="24"/>
        </w:rPr>
      </w:pPr>
    </w:p>
    <w:p w14:paraId="5EE7566D" w14:textId="77777777" w:rsidR="006B47A6" w:rsidRPr="00C84B49" w:rsidRDefault="006B47A6" w:rsidP="00AE4467">
      <w:pPr>
        <w:spacing w:after="200" w:line="276" w:lineRule="auto"/>
        <w:jc w:val="both"/>
        <w:rPr>
          <w:rFonts w:cs="Times New Roman"/>
          <w:szCs w:val="24"/>
        </w:rPr>
      </w:pPr>
    </w:p>
    <w:p w14:paraId="6BEB887C" w14:textId="77777777" w:rsidR="006B47A6" w:rsidRPr="00C84B49" w:rsidRDefault="006B47A6" w:rsidP="00AE4467">
      <w:pPr>
        <w:spacing w:after="200" w:line="276" w:lineRule="auto"/>
        <w:jc w:val="both"/>
        <w:rPr>
          <w:rFonts w:cs="Times New Roman"/>
          <w:szCs w:val="24"/>
        </w:rPr>
      </w:pPr>
    </w:p>
    <w:p w14:paraId="45DFE4AC" w14:textId="77777777" w:rsidR="006B47A6" w:rsidRPr="00C84B49" w:rsidRDefault="006B47A6" w:rsidP="00AE4467">
      <w:pPr>
        <w:spacing w:after="200" w:line="276" w:lineRule="auto"/>
        <w:jc w:val="both"/>
        <w:rPr>
          <w:rFonts w:cs="Times New Roman"/>
          <w:szCs w:val="24"/>
        </w:rPr>
      </w:pPr>
    </w:p>
    <w:p w14:paraId="39547C6B" w14:textId="77777777" w:rsidR="006B47A6" w:rsidRPr="00C84B49" w:rsidRDefault="006B47A6" w:rsidP="00AE4467">
      <w:pPr>
        <w:spacing w:after="200" w:line="276" w:lineRule="auto"/>
        <w:jc w:val="both"/>
        <w:rPr>
          <w:rFonts w:cs="Times New Roman"/>
          <w:szCs w:val="24"/>
        </w:rPr>
      </w:pPr>
    </w:p>
    <w:p w14:paraId="7935D7DB" w14:textId="77777777" w:rsidR="006B47A6" w:rsidRPr="00C84B49" w:rsidRDefault="006B47A6" w:rsidP="00AE4467">
      <w:pPr>
        <w:spacing w:after="200" w:line="276" w:lineRule="auto"/>
        <w:jc w:val="both"/>
        <w:rPr>
          <w:rFonts w:cs="Times New Roman"/>
          <w:szCs w:val="24"/>
        </w:rPr>
      </w:pPr>
    </w:p>
    <w:p w14:paraId="21A6D53C" w14:textId="77777777" w:rsidR="006B47A6" w:rsidRPr="00C84B49" w:rsidRDefault="006B47A6" w:rsidP="00AE4467">
      <w:pPr>
        <w:spacing w:after="200" w:line="276" w:lineRule="auto"/>
        <w:jc w:val="both"/>
        <w:rPr>
          <w:rFonts w:cs="Times New Roman"/>
          <w:szCs w:val="24"/>
        </w:rPr>
      </w:pPr>
    </w:p>
    <w:p w14:paraId="184F2F33" w14:textId="77777777" w:rsidR="006B47A6" w:rsidRPr="00C84B49" w:rsidRDefault="006B47A6" w:rsidP="00AE4467">
      <w:pPr>
        <w:spacing w:after="200" w:line="276" w:lineRule="auto"/>
        <w:jc w:val="both"/>
        <w:rPr>
          <w:rFonts w:cs="Times New Roman"/>
          <w:szCs w:val="24"/>
        </w:rPr>
      </w:pPr>
    </w:p>
    <w:p w14:paraId="30D2672F" w14:textId="77777777" w:rsidR="006B47A6" w:rsidRPr="00C84B49" w:rsidRDefault="006B47A6" w:rsidP="00AE4467">
      <w:pPr>
        <w:spacing w:after="200" w:line="276" w:lineRule="auto"/>
        <w:jc w:val="both"/>
        <w:rPr>
          <w:rFonts w:cs="Times New Roman"/>
          <w:szCs w:val="24"/>
        </w:rPr>
      </w:pPr>
    </w:p>
    <w:p w14:paraId="43B6F75D" w14:textId="77777777" w:rsidR="007773A8" w:rsidRPr="00C84B49" w:rsidRDefault="007773A8" w:rsidP="00AE4467">
      <w:pPr>
        <w:pStyle w:val="Titolo1"/>
        <w:spacing w:line="276" w:lineRule="auto"/>
      </w:pPr>
      <w:r w:rsidRPr="00C84B49">
        <w:lastRenderedPageBreak/>
        <w:t xml:space="preserve">Optimization of NHP407 </w:t>
      </w:r>
      <w:proofErr w:type="spellStart"/>
      <w:r w:rsidRPr="00C84B49">
        <w:t>deprotection</w:t>
      </w:r>
      <w:proofErr w:type="spellEnd"/>
      <w:r w:rsidRPr="00C84B49">
        <w:t xml:space="preserve"> protocol</w:t>
      </w:r>
    </w:p>
    <w:p w14:paraId="5D3C8EF6" w14:textId="77777777" w:rsidR="007773A8" w:rsidRPr="00C84B49" w:rsidRDefault="007773A8" w:rsidP="00AE4467">
      <w:pPr>
        <w:spacing w:line="276" w:lineRule="auto"/>
        <w:rPr>
          <w:b/>
          <w:u w:val="single"/>
        </w:rPr>
      </w:pPr>
      <w:r w:rsidRPr="00C84B49">
        <w:rPr>
          <w:b/>
          <w:u w:val="single"/>
        </w:rPr>
        <w:t>Materials and Methods</w:t>
      </w:r>
    </w:p>
    <w:p w14:paraId="77456DF2" w14:textId="77777777" w:rsidR="007773A8" w:rsidRPr="00C84B49" w:rsidRDefault="007773A8" w:rsidP="00AE4467">
      <w:pPr>
        <w:pStyle w:val="Titolo3"/>
        <w:numPr>
          <w:ilvl w:val="0"/>
          <w:numId w:val="0"/>
        </w:numPr>
        <w:spacing w:after="200" w:line="276" w:lineRule="auto"/>
        <w:ind w:left="567" w:hanging="567"/>
        <w:rPr>
          <w:b w:val="0"/>
          <w:i/>
        </w:rPr>
      </w:pPr>
      <w:r w:rsidRPr="00C84B49">
        <w:rPr>
          <w:b w:val="0"/>
          <w:i/>
        </w:rPr>
        <w:t xml:space="preserve">Exposure of free amines along </w:t>
      </w:r>
      <w:proofErr w:type="gramStart"/>
      <w:r w:rsidRPr="00C84B49">
        <w:rPr>
          <w:b w:val="0"/>
          <w:i/>
        </w:rPr>
        <w:t>poly(</w:t>
      </w:r>
      <w:proofErr w:type="gramEnd"/>
      <w:r w:rsidRPr="00C84B49">
        <w:rPr>
          <w:b w:val="0"/>
          <w:i/>
        </w:rPr>
        <w:t>ether urethane) backbone</w:t>
      </w:r>
    </w:p>
    <w:p w14:paraId="3D97E369" w14:textId="77777777" w:rsidR="007773A8" w:rsidRPr="00C84B49" w:rsidRDefault="007773A8" w:rsidP="00AE4467">
      <w:pPr>
        <w:spacing w:line="276" w:lineRule="auto"/>
        <w:jc w:val="both"/>
      </w:pPr>
      <w:r w:rsidRPr="00C84B49">
        <w:t>With the aim to expose available free amines along NHP407 backbone, as-synthesized polymer was solubilized in chloroform (CHCl</w:t>
      </w:r>
      <w:r w:rsidRPr="00C84B49">
        <w:rPr>
          <w:vertAlign w:val="subscript"/>
        </w:rPr>
        <w:t>3</w:t>
      </w:r>
      <w:r w:rsidRPr="00C84B49">
        <w:t xml:space="preserve">) at room temperature (RT) for 120 minutes (under stirring at 250 rpm) and then </w:t>
      </w:r>
      <w:proofErr w:type="spellStart"/>
      <w:r w:rsidRPr="00C84B49">
        <w:t>trifluoroacetic</w:t>
      </w:r>
      <w:proofErr w:type="spellEnd"/>
      <w:r w:rsidRPr="00C84B49">
        <w:t xml:space="preserve"> acid (TFA) was added to the solution and the mixture was left to react for 60 minutes at RT. In order to maximize the efficiency of the </w:t>
      </w:r>
      <w:proofErr w:type="spellStart"/>
      <w:r w:rsidRPr="00C84B49">
        <w:t>deprotection</w:t>
      </w:r>
      <w:proofErr w:type="spellEnd"/>
      <w:r w:rsidRPr="00C84B49">
        <w:t xml:space="preserve"> treatment while minimizing the amount of TFA added, an optimization of the reaction </w:t>
      </w:r>
      <w:proofErr w:type="gramStart"/>
      <w:r w:rsidRPr="00C84B49">
        <w:t>was carried</w:t>
      </w:r>
      <w:proofErr w:type="gramEnd"/>
      <w:r w:rsidRPr="00C84B49">
        <w:t xml:space="preserve"> out modulating the CHCl</w:t>
      </w:r>
      <w:r w:rsidRPr="00C84B49">
        <w:rPr>
          <w:vertAlign w:val="subscript"/>
        </w:rPr>
        <w:t>3</w:t>
      </w:r>
      <w:r w:rsidRPr="00C84B49">
        <w:t xml:space="preserve">/TFA ratio. </w:t>
      </w:r>
      <w:proofErr w:type="gramStart"/>
      <w:r w:rsidRPr="00C84B49">
        <w:t>In detail, NHP407 final concentration in the CHCl</w:t>
      </w:r>
      <w:r w:rsidRPr="00C84B49">
        <w:rPr>
          <w:vertAlign w:val="subscript"/>
        </w:rPr>
        <w:t>3</w:t>
      </w:r>
      <w:r w:rsidRPr="00C84B49">
        <w:t>/TFA mixture was left constant to 4% w/v, while the CHCl</w:t>
      </w:r>
      <w:r w:rsidRPr="00C84B49">
        <w:rPr>
          <w:vertAlign w:val="subscript"/>
        </w:rPr>
        <w:t>3</w:t>
      </w:r>
      <w:r w:rsidRPr="00C84B49">
        <w:t>/TFA ratio was set at 95/5, 90/10 and 80/20 v/v. Due to the characteristic acidic behavior of CHCl</w:t>
      </w:r>
      <w:r w:rsidRPr="00C84B49">
        <w:rPr>
          <w:vertAlign w:val="subscript"/>
        </w:rPr>
        <w:t xml:space="preserve">3 </w:t>
      </w:r>
      <w:r w:rsidRPr="00C84B49">
        <w:rPr>
          <w:vertAlign w:val="subscript"/>
        </w:rPr>
        <w:fldChar w:fldCharType="begin" w:fldLock="1"/>
      </w:r>
      <w:r w:rsidRPr="00C84B49">
        <w:rPr>
          <w:vertAlign w:val="subscript"/>
        </w:rPr>
        <w:instrText>ADDIN CSL_CITATION {"citationItems":[{"id":"ITEM-1","itemData":{"DOI":"10.1021/ja00790a001","ISSN":"15205126","abstract":"The detritiation of chloroform in aqueous buffer solutions involves only hydroxide ion; general base catalysis is not observable. No reaction with water is observable at either 25 or 50°. The rate coefficient for the hydroxide ion reaction is 0.165 M-1sec-1 at 25°, implying that the pK of chloroform is about 24. The primary hydrogen isotope effect for the proton removal process, determined by a new accurate method, is kH/kD = 1.42 at 25°. The entropy of activation for the aqueous detritiation by hydroxide is strongly positive; ΔS* at 25° is +15 eu, about 25 eu'above normal for k values in M-1 sec-1 units. This value drops sharply as DMSO is added to the reaction system implying that desolvation of hydroxide ion is a major contributor to the positive entropy. The Brønsted β for the hydroxide ion reaction, as determined in DMSO-H2O solvent mixtures using the Bell and Cox procedure, is 0.98. These several data strongly suggest that the proton removal reaction of chloroform is fully normal in the Eigen sense, even for reaction with hydroxide ion. This result is in considerable contrast to most other carbon acids, including the otherwise normal cyanocarbons, in that hydroxide reaction is usually anomalously slow and Brqnsted coefficients often differ considerably from the limiting values of zero and unity. © 1973, American Chemical Society. All rights reserved.","author":[{"dropping-particle":"","family":"Margolin","given":"Zafra","non-dropping-particle":"","parse-names":false,"suffix":""},{"dropping-particle":"","family":"Long","given":"F. A.","non-dropping-particle":"","parse-names":false,"suffix":""}],"container-title":"Journal of the American Chemical Society","id":"ITEM-1","issued":{"date-parts":[["1973"]]},"title":"Acidic Behavior of Chloroform","type":"article-journal"},"uris":["http://www.mendeley.com/documents/?uuid=caab825c-3a02-4da6-ac67-968bd758fa7f"]}],"mendeley":{"formattedCitation":"(Margolin and Long, 1973)","plainTextFormattedCitation":"(Margolin and Long, 1973)","previouslyFormattedCitation":"(Margolin and Long, 1973)"},"properties":{"noteIndex":0},"schema":"https://github.com/citation-style-language/schema/raw/master/csl-citation.json"}</w:instrText>
      </w:r>
      <w:r w:rsidRPr="00C84B49">
        <w:rPr>
          <w:vertAlign w:val="subscript"/>
        </w:rPr>
        <w:fldChar w:fldCharType="separate"/>
      </w:r>
      <w:r w:rsidRPr="00C84B49">
        <w:rPr>
          <w:noProof/>
        </w:rPr>
        <w:t>(Margolin and Long, 1973)</w:t>
      </w:r>
      <w:r w:rsidRPr="00C84B49">
        <w:rPr>
          <w:vertAlign w:val="subscript"/>
        </w:rPr>
        <w:fldChar w:fldCharType="end"/>
      </w:r>
      <w:r w:rsidRPr="00C84B49">
        <w:rPr>
          <w:vertAlign w:val="subscript"/>
        </w:rPr>
        <w:t xml:space="preserve">, </w:t>
      </w:r>
      <w:r w:rsidRPr="00C84B49">
        <w:t xml:space="preserve">the </w:t>
      </w:r>
      <w:proofErr w:type="spellStart"/>
      <w:r w:rsidRPr="00C84B49">
        <w:t>deprotection</w:t>
      </w:r>
      <w:proofErr w:type="spellEnd"/>
      <w:r w:rsidRPr="00C84B49">
        <w:t xml:space="preserve"> reaction was also carried out in the absence of TFA (i.e., CHCl</w:t>
      </w:r>
      <w:r w:rsidRPr="00C84B49">
        <w:rPr>
          <w:vertAlign w:val="subscript"/>
        </w:rPr>
        <w:t>3</w:t>
      </w:r>
      <w:r w:rsidRPr="00C84B49">
        <w:t>/TFA at 100/0 v/v).</w:t>
      </w:r>
      <w:proofErr w:type="gramEnd"/>
      <w:r w:rsidRPr="00C84B49">
        <w:t xml:space="preserve"> At the end of the </w:t>
      </w:r>
      <w:proofErr w:type="spellStart"/>
      <w:r w:rsidRPr="00C84B49">
        <w:t>deprotection</w:t>
      </w:r>
      <w:proofErr w:type="spellEnd"/>
      <w:r w:rsidRPr="00C84B49">
        <w:t xml:space="preserve"> reaction, solvents were evaporated under vacuum using a rotary evaporator (</w:t>
      </w:r>
      <w:proofErr w:type="spellStart"/>
      <w:r w:rsidRPr="00C84B49">
        <w:t>Buchi</w:t>
      </w:r>
      <w:proofErr w:type="spellEnd"/>
      <w:r w:rsidRPr="00C84B49">
        <w:t xml:space="preserve"> </w:t>
      </w:r>
      <w:proofErr w:type="spellStart"/>
      <w:r w:rsidRPr="00C84B49">
        <w:t>Rotavapor</w:t>
      </w:r>
      <w:proofErr w:type="spellEnd"/>
      <w:r w:rsidRPr="00C84B49">
        <w:t xml:space="preserve"> </w:t>
      </w:r>
      <w:proofErr w:type="spellStart"/>
      <w:r w:rsidRPr="00C84B49">
        <w:t>Labortechnik</w:t>
      </w:r>
      <w:proofErr w:type="spellEnd"/>
      <w:r w:rsidRPr="00C84B49">
        <w:t xml:space="preserve"> AG) and the collected polymer was washed </w:t>
      </w:r>
      <w:proofErr w:type="gramStart"/>
      <w:r w:rsidRPr="00C84B49">
        <w:t>twice using</w:t>
      </w:r>
      <w:proofErr w:type="gramEnd"/>
      <w:r w:rsidRPr="00C84B49">
        <w:t xml:space="preserve"> chloroform (10% w/v) to completely evaporate TFA residues. Finally, the polymer was solubilized in distilled water (5% w/v) at 4 °C overnight and dialyzed (cellulose membrane cut-off 10-12 </w:t>
      </w:r>
      <w:proofErr w:type="spellStart"/>
      <w:r w:rsidRPr="00C84B49">
        <w:t>kDa</w:t>
      </w:r>
      <w:proofErr w:type="spellEnd"/>
      <w:r w:rsidRPr="00C84B49">
        <w:t xml:space="preserve">, Sigma Aldrich, Italy) against distilled water for 2 days (water refresh three times/day) to completely wash out </w:t>
      </w:r>
      <w:proofErr w:type="spellStart"/>
      <w:r w:rsidRPr="00C84B49">
        <w:t>Boc</w:t>
      </w:r>
      <w:proofErr w:type="spellEnd"/>
      <w:r w:rsidRPr="00C84B49">
        <w:t xml:space="preserve"> groups and residual CHCl</w:t>
      </w:r>
      <w:r w:rsidRPr="00C84B49">
        <w:rPr>
          <w:vertAlign w:val="subscript"/>
        </w:rPr>
        <w:t>3</w:t>
      </w:r>
      <w:r w:rsidRPr="00C84B49">
        <w:t xml:space="preserve"> and TFA molecules. </w:t>
      </w:r>
      <w:proofErr w:type="spellStart"/>
      <w:r w:rsidRPr="00C84B49">
        <w:t>Deprotected</w:t>
      </w:r>
      <w:proofErr w:type="spellEnd"/>
      <w:r w:rsidRPr="00C84B49">
        <w:t xml:space="preserve"> polymer was then freeze dried (Martin Christ ALPHA 2–4 LSC) and stored under vacuum at 4 °C until use. </w:t>
      </w:r>
    </w:p>
    <w:p w14:paraId="06FC0EC9" w14:textId="77777777" w:rsidR="007773A8" w:rsidRPr="00C84B49" w:rsidRDefault="007773A8" w:rsidP="00AE4467">
      <w:pPr>
        <w:spacing w:line="276" w:lineRule="auto"/>
        <w:jc w:val="both"/>
      </w:pPr>
      <w:r w:rsidRPr="00C84B49">
        <w:t xml:space="preserve">Hereafter, the collected polymers after the </w:t>
      </w:r>
      <w:proofErr w:type="spellStart"/>
      <w:r w:rsidRPr="00C84B49">
        <w:t>Boc-deprotection</w:t>
      </w:r>
      <w:proofErr w:type="spellEnd"/>
      <w:r w:rsidRPr="00C84B49">
        <w:t xml:space="preserve"> reaction will be referred to with the acronym SHP407_</w:t>
      </w:r>
      <w:proofErr w:type="gramStart"/>
      <w:r w:rsidRPr="00C84B49">
        <w:t>X%TFA</w:t>
      </w:r>
      <w:proofErr w:type="gramEnd"/>
      <w:r w:rsidRPr="00C84B49">
        <w:t xml:space="preserve"> where X defines the TFA percentage content present in the CHCl</w:t>
      </w:r>
      <w:r w:rsidRPr="00C84B49">
        <w:rPr>
          <w:vertAlign w:val="subscript"/>
        </w:rPr>
        <w:t>3</w:t>
      </w:r>
      <w:r w:rsidRPr="00C84B49">
        <w:t>/TFA mixture.</w:t>
      </w:r>
    </w:p>
    <w:p w14:paraId="0ECFEE1E" w14:textId="77777777" w:rsidR="007773A8" w:rsidRPr="00C84B49" w:rsidRDefault="007773A8" w:rsidP="00AE4467">
      <w:pPr>
        <w:pStyle w:val="Titolo3"/>
        <w:numPr>
          <w:ilvl w:val="0"/>
          <w:numId w:val="0"/>
        </w:numPr>
        <w:spacing w:after="200" w:line="276" w:lineRule="auto"/>
        <w:ind w:left="567" w:hanging="567"/>
        <w:rPr>
          <w:b w:val="0"/>
          <w:i/>
        </w:rPr>
      </w:pPr>
      <w:r w:rsidRPr="00C84B49">
        <w:rPr>
          <w:b w:val="0"/>
          <w:i/>
        </w:rPr>
        <w:t xml:space="preserve">Chemical characterization </w:t>
      </w:r>
    </w:p>
    <w:p w14:paraId="59EEB81C" w14:textId="4FD34116" w:rsidR="007773A8" w:rsidRPr="00C84B49" w:rsidRDefault="007773A8" w:rsidP="00AE4467">
      <w:pPr>
        <w:pStyle w:val="Titolo3"/>
        <w:numPr>
          <w:ilvl w:val="0"/>
          <w:numId w:val="0"/>
        </w:numPr>
        <w:spacing w:after="200" w:line="276" w:lineRule="auto"/>
        <w:jc w:val="both"/>
        <w:rPr>
          <w:b w:val="0"/>
        </w:rPr>
      </w:pPr>
      <w:r w:rsidRPr="00C84B49">
        <w:rPr>
          <w:rFonts w:eastAsiaTheme="minorHAnsi" w:cstheme="minorBidi"/>
          <w:b w:val="0"/>
          <w:szCs w:val="22"/>
        </w:rPr>
        <w:t xml:space="preserve">Attenuated Total Reflectance Fourier Transform Infrared (ATR-FTIR) spectroscopy, </w:t>
      </w:r>
      <w:r w:rsidRPr="00C84B49">
        <w:rPr>
          <w:b w:val="0"/>
        </w:rPr>
        <w:t>Size Exclusion Chromatography (SEC) and Proton Nuclear Magnetic Resonance (</w:t>
      </w:r>
      <w:proofErr w:type="gramStart"/>
      <w:r w:rsidRPr="00C84B49">
        <w:rPr>
          <w:b w:val="0"/>
          <w:vertAlign w:val="superscript"/>
        </w:rPr>
        <w:t>1</w:t>
      </w:r>
      <w:r w:rsidR="00C84B49">
        <w:rPr>
          <w:b w:val="0"/>
        </w:rPr>
        <w:t>H</w:t>
      </w:r>
      <w:proofErr w:type="gramEnd"/>
      <w:r w:rsidR="00C84B49">
        <w:rPr>
          <w:b w:val="0"/>
        </w:rPr>
        <w:t xml:space="preserve"> </w:t>
      </w:r>
      <w:r w:rsidRPr="00C84B49">
        <w:rPr>
          <w:b w:val="0"/>
        </w:rPr>
        <w:t xml:space="preserve">NMR) spectroscopy were exploited for the chemical characterization of </w:t>
      </w:r>
      <w:r w:rsidRPr="00C84B49">
        <w:rPr>
          <w:rFonts w:eastAsiaTheme="minorHAnsi" w:cstheme="minorBidi"/>
          <w:b w:val="0"/>
          <w:szCs w:val="22"/>
        </w:rPr>
        <w:t xml:space="preserve">SHP407_X%TFA samples, according to the protocols described in the paper. NHP407 </w:t>
      </w:r>
      <w:proofErr w:type="gramStart"/>
      <w:r w:rsidRPr="00C84B49">
        <w:rPr>
          <w:rFonts w:eastAsiaTheme="minorHAnsi" w:cstheme="minorBidi"/>
          <w:b w:val="0"/>
          <w:szCs w:val="22"/>
        </w:rPr>
        <w:t>was also characterized</w:t>
      </w:r>
      <w:proofErr w:type="gramEnd"/>
      <w:r w:rsidRPr="00C84B49">
        <w:rPr>
          <w:rFonts w:eastAsiaTheme="minorHAnsi" w:cstheme="minorBidi"/>
          <w:b w:val="0"/>
          <w:szCs w:val="22"/>
        </w:rPr>
        <w:t xml:space="preserve"> as control sample.</w:t>
      </w:r>
    </w:p>
    <w:p w14:paraId="3619E164" w14:textId="1821CA81" w:rsidR="007773A8" w:rsidRPr="00C84B49" w:rsidRDefault="007773A8" w:rsidP="00AE4467">
      <w:pPr>
        <w:spacing w:line="276" w:lineRule="auto"/>
        <w:rPr>
          <w:b/>
          <w:u w:val="single"/>
        </w:rPr>
      </w:pPr>
      <w:r w:rsidRPr="00C84B49">
        <w:rPr>
          <w:b/>
          <w:u w:val="single"/>
        </w:rPr>
        <w:t xml:space="preserve">Results </w:t>
      </w:r>
    </w:p>
    <w:p w14:paraId="4EDCB027" w14:textId="7E007C0E" w:rsidR="007773A8" w:rsidRPr="00C84B49" w:rsidRDefault="007773A8" w:rsidP="00AE4467">
      <w:pPr>
        <w:spacing w:line="276" w:lineRule="auto"/>
        <w:jc w:val="both"/>
        <w:rPr>
          <w:rFonts w:eastAsia="Times New Roman" w:cs="Times New Roman"/>
          <w:szCs w:val="24"/>
          <w:lang w:val="en-GB" w:eastAsia="en-GB"/>
        </w:rPr>
      </w:pPr>
      <w:r w:rsidRPr="00C84B49">
        <w:t xml:space="preserve">With the aim to assess the integrity of PEU backbone upon treatment in </w:t>
      </w:r>
      <w:r w:rsidRPr="00C84B49">
        <w:rPr>
          <w:rFonts w:eastAsia="Times New Roman" w:cs="Times New Roman"/>
          <w:szCs w:val="24"/>
          <w:lang w:val="en-GB" w:eastAsia="en-GB"/>
        </w:rPr>
        <w:t>CHCl</w:t>
      </w:r>
      <w:r w:rsidRPr="00C84B49">
        <w:rPr>
          <w:rFonts w:eastAsia="Times New Roman" w:cs="Times New Roman"/>
          <w:szCs w:val="24"/>
          <w:vertAlign w:val="subscript"/>
          <w:lang w:val="en-GB" w:eastAsia="en-GB"/>
        </w:rPr>
        <w:t>3</w:t>
      </w:r>
      <w:r w:rsidRPr="00C84B49">
        <w:rPr>
          <w:rFonts w:eastAsia="Times New Roman" w:cs="Times New Roman"/>
          <w:szCs w:val="24"/>
          <w:lang w:val="en-GB" w:eastAsia="en-GB"/>
        </w:rPr>
        <w:t xml:space="preserve">/TFA mixture (100/0, 95/5, 90/10, 80/20 v/v), ATR-FTIR, SEC and </w:t>
      </w:r>
      <w:r w:rsidRPr="00C84B49">
        <w:rPr>
          <w:rFonts w:eastAsia="Times New Roman" w:cs="Times New Roman"/>
          <w:szCs w:val="24"/>
          <w:vertAlign w:val="superscript"/>
          <w:lang w:val="en-GB" w:eastAsia="en-GB"/>
        </w:rPr>
        <w:t>1</w:t>
      </w:r>
      <w:r w:rsidR="00C84B49">
        <w:rPr>
          <w:rFonts w:eastAsia="Times New Roman" w:cs="Times New Roman"/>
          <w:szCs w:val="24"/>
          <w:lang w:val="en-GB" w:eastAsia="en-GB"/>
        </w:rPr>
        <w:t xml:space="preserve">H </w:t>
      </w:r>
      <w:r w:rsidRPr="00C84B49">
        <w:rPr>
          <w:rFonts w:eastAsia="Times New Roman" w:cs="Times New Roman"/>
          <w:szCs w:val="24"/>
          <w:lang w:val="en-GB" w:eastAsia="en-GB"/>
        </w:rPr>
        <w:t>NMR analyses were performed on SHP407_</w:t>
      </w:r>
      <w:proofErr w:type="gramStart"/>
      <w:r w:rsidRPr="00C84B49">
        <w:rPr>
          <w:rFonts w:eastAsia="Times New Roman" w:cs="Times New Roman"/>
          <w:szCs w:val="24"/>
          <w:lang w:val="en-GB" w:eastAsia="en-GB"/>
        </w:rPr>
        <w:t>X%TFA</w:t>
      </w:r>
      <w:proofErr w:type="gramEnd"/>
      <w:r w:rsidRPr="00C84B49">
        <w:rPr>
          <w:rFonts w:eastAsia="Times New Roman" w:cs="Times New Roman"/>
          <w:szCs w:val="24"/>
          <w:lang w:val="en-GB" w:eastAsia="en-GB"/>
        </w:rPr>
        <w:t xml:space="preserve"> samples and NHP407 as control. </w:t>
      </w:r>
      <w:r w:rsidR="00C76A0D">
        <w:rPr>
          <w:b/>
          <w:szCs w:val="24"/>
        </w:rPr>
        <w:t xml:space="preserve">Supplementary </w:t>
      </w:r>
      <w:r w:rsidR="00C76A0D" w:rsidRPr="00C84B49">
        <w:rPr>
          <w:b/>
          <w:szCs w:val="24"/>
        </w:rPr>
        <w:t>Figure S</w:t>
      </w:r>
      <w:r w:rsidR="00C76A0D">
        <w:rPr>
          <w:b/>
          <w:szCs w:val="24"/>
        </w:rPr>
        <w:t xml:space="preserve">4 </w:t>
      </w:r>
      <w:r w:rsidR="001A221B" w:rsidRPr="00C84B49">
        <w:rPr>
          <w:rFonts w:eastAsia="Times New Roman" w:cs="Times New Roman"/>
          <w:szCs w:val="24"/>
          <w:lang w:val="en-GB" w:eastAsia="en-GB"/>
        </w:rPr>
        <w:t xml:space="preserve">and </w:t>
      </w:r>
      <w:r w:rsidR="006B47A6" w:rsidRPr="00C84B49">
        <w:rPr>
          <w:rFonts w:eastAsia="Times New Roman" w:cs="Times New Roman"/>
          <w:b/>
          <w:szCs w:val="24"/>
          <w:lang w:val="en-GB" w:eastAsia="en-GB"/>
        </w:rPr>
        <w:t>S</w:t>
      </w:r>
      <w:r w:rsidR="00C76A0D">
        <w:rPr>
          <w:rFonts w:eastAsia="Times New Roman" w:cs="Times New Roman"/>
          <w:b/>
          <w:szCs w:val="24"/>
          <w:lang w:val="en-GB" w:eastAsia="en-GB"/>
        </w:rPr>
        <w:t>5</w:t>
      </w:r>
      <w:r w:rsidR="001A221B" w:rsidRPr="00C84B49">
        <w:rPr>
          <w:rFonts w:eastAsia="Times New Roman" w:cs="Times New Roman"/>
          <w:b/>
          <w:szCs w:val="24"/>
          <w:lang w:val="en-GB" w:eastAsia="en-GB"/>
        </w:rPr>
        <w:t xml:space="preserve"> </w:t>
      </w:r>
      <w:r w:rsidR="001A221B" w:rsidRPr="00C84B49">
        <w:rPr>
          <w:rFonts w:eastAsia="Times New Roman" w:cs="Times New Roman"/>
          <w:szCs w:val="24"/>
          <w:lang w:val="en-GB" w:eastAsia="en-GB"/>
        </w:rPr>
        <w:t>report</w:t>
      </w:r>
      <w:r w:rsidRPr="00C84B49">
        <w:rPr>
          <w:rFonts w:eastAsia="Times New Roman" w:cs="Times New Roman"/>
          <w:szCs w:val="24"/>
          <w:lang w:val="en-GB" w:eastAsia="en-GB"/>
        </w:rPr>
        <w:t xml:space="preserve"> the ATR-FTIR</w:t>
      </w:r>
      <w:r w:rsidR="001A221B" w:rsidRPr="00C84B49">
        <w:rPr>
          <w:rFonts w:eastAsia="Times New Roman" w:cs="Times New Roman"/>
          <w:szCs w:val="24"/>
          <w:lang w:val="en-GB" w:eastAsia="en-GB"/>
        </w:rPr>
        <w:t xml:space="preserve"> </w:t>
      </w:r>
      <w:r w:rsidR="001A221B" w:rsidRPr="00C84B49">
        <w:rPr>
          <w:szCs w:val="24"/>
        </w:rPr>
        <w:t xml:space="preserve">and </w:t>
      </w:r>
      <w:r w:rsidR="001A221B" w:rsidRPr="00C84B49">
        <w:rPr>
          <w:szCs w:val="24"/>
          <w:vertAlign w:val="superscript"/>
        </w:rPr>
        <w:t>1</w:t>
      </w:r>
      <w:r w:rsidR="00C84B49">
        <w:rPr>
          <w:szCs w:val="24"/>
        </w:rPr>
        <w:t xml:space="preserve">H </w:t>
      </w:r>
      <w:r w:rsidR="001A221B" w:rsidRPr="00C84B49">
        <w:rPr>
          <w:szCs w:val="24"/>
        </w:rPr>
        <w:t xml:space="preserve">NMR spectra of </w:t>
      </w:r>
      <w:r w:rsidR="001A221B" w:rsidRPr="00C84B49">
        <w:rPr>
          <w:rFonts w:cs="Times New Roman"/>
          <w:szCs w:val="24"/>
        </w:rPr>
        <w:t>NHP407 (control) and SHP407_</w:t>
      </w:r>
      <w:proofErr w:type="gramStart"/>
      <w:r w:rsidR="001A221B" w:rsidRPr="00C84B49">
        <w:rPr>
          <w:rFonts w:cs="Times New Roman"/>
          <w:szCs w:val="24"/>
        </w:rPr>
        <w:t>X%TFA</w:t>
      </w:r>
      <w:proofErr w:type="gramEnd"/>
      <w:r w:rsidR="001A221B" w:rsidRPr="00C84B49">
        <w:rPr>
          <w:rFonts w:cs="Times New Roman"/>
          <w:szCs w:val="24"/>
        </w:rPr>
        <w:t xml:space="preserve"> samples, respectively.</w:t>
      </w:r>
      <w:r w:rsidRPr="00C84B49">
        <w:rPr>
          <w:rFonts w:eastAsia="Times New Roman" w:cs="Times New Roman"/>
          <w:szCs w:val="24"/>
          <w:lang w:val="en-GB" w:eastAsia="en-GB"/>
        </w:rPr>
        <w:t xml:space="preserve"> </w:t>
      </w:r>
    </w:p>
    <w:p w14:paraId="0B9209D5" w14:textId="77777777" w:rsidR="007773A8" w:rsidRPr="00C84B49" w:rsidRDefault="007773A8" w:rsidP="00AE4467">
      <w:pPr>
        <w:spacing w:before="0" w:after="0" w:line="276" w:lineRule="auto"/>
        <w:jc w:val="center"/>
      </w:pPr>
      <w:r w:rsidRPr="00C84B49">
        <w:rPr>
          <w:noProof/>
          <w:lang w:val="it-IT" w:eastAsia="it-IT"/>
        </w:rPr>
        <w:lastRenderedPageBreak/>
        <w:drawing>
          <wp:inline distT="0" distB="0" distL="0" distR="0" wp14:anchorId="37BA9382" wp14:editId="0BB9A54A">
            <wp:extent cx="3797808" cy="4818888"/>
            <wp:effectExtent l="0" t="0" r="0" b="127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S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7808" cy="4818888"/>
                    </a:xfrm>
                    <a:prstGeom prst="rect">
                      <a:avLst/>
                    </a:prstGeom>
                  </pic:spPr>
                </pic:pic>
              </a:graphicData>
            </a:graphic>
          </wp:inline>
        </w:drawing>
      </w:r>
    </w:p>
    <w:p w14:paraId="7C8FE7BF" w14:textId="7BE2D0A7" w:rsidR="007773A8" w:rsidRPr="00C84B49" w:rsidRDefault="00C76A0D" w:rsidP="00AE4467">
      <w:pPr>
        <w:keepNext/>
        <w:spacing w:before="0" w:after="0" w:line="276" w:lineRule="auto"/>
        <w:jc w:val="both"/>
        <w:rPr>
          <w:rFonts w:cs="Times New Roman"/>
          <w:b/>
          <w:szCs w:val="24"/>
        </w:rPr>
      </w:pPr>
      <w:r>
        <w:rPr>
          <w:b/>
          <w:szCs w:val="24"/>
        </w:rPr>
        <w:t xml:space="preserve">Supplementary </w:t>
      </w:r>
      <w:r w:rsidRPr="00C84B49">
        <w:rPr>
          <w:b/>
          <w:szCs w:val="24"/>
        </w:rPr>
        <w:t>Figure S</w:t>
      </w:r>
      <w:r>
        <w:rPr>
          <w:b/>
          <w:szCs w:val="24"/>
        </w:rPr>
        <w:t>4</w:t>
      </w:r>
      <w:r w:rsidR="007773A8" w:rsidRPr="00C84B49">
        <w:rPr>
          <w:rFonts w:cs="Times New Roman"/>
          <w:b/>
          <w:szCs w:val="24"/>
        </w:rPr>
        <w:t>.</w:t>
      </w:r>
      <w:r w:rsidR="007773A8" w:rsidRPr="00C84B49">
        <w:rPr>
          <w:rFonts w:cs="Times New Roman"/>
          <w:szCs w:val="24"/>
        </w:rPr>
        <w:t xml:space="preserve"> ATR-FTIR spectra of NHP407 (control) and SHP407 PEUs (SHP407_0%TFA, SHP407_5%TFA, SHP407_10%TFA and SHP407_20%TFA) synthesized by treating NHP407 in </w:t>
      </w:r>
      <w:r w:rsidR="007773A8" w:rsidRPr="00C84B49">
        <w:rPr>
          <w:rFonts w:eastAsia="Times New Roman" w:cs="Times New Roman"/>
          <w:szCs w:val="24"/>
          <w:lang w:val="en-GB" w:eastAsia="en-GB"/>
        </w:rPr>
        <w:t>CHCl</w:t>
      </w:r>
      <w:r w:rsidR="007773A8" w:rsidRPr="00C84B49">
        <w:rPr>
          <w:rFonts w:eastAsia="Times New Roman" w:cs="Times New Roman"/>
          <w:szCs w:val="24"/>
          <w:vertAlign w:val="subscript"/>
          <w:lang w:val="en-GB" w:eastAsia="en-GB"/>
        </w:rPr>
        <w:t>3</w:t>
      </w:r>
      <w:r w:rsidR="007773A8" w:rsidRPr="00C84B49">
        <w:rPr>
          <w:rFonts w:eastAsia="Times New Roman" w:cs="Times New Roman"/>
          <w:szCs w:val="24"/>
          <w:lang w:val="en-GB" w:eastAsia="en-GB"/>
        </w:rPr>
        <w:t xml:space="preserve">/TFA at different volumetric ratios (i.e., 100/0, 95/5, 90/10, 80/20 v/v). </w:t>
      </w:r>
    </w:p>
    <w:p w14:paraId="0EF84638" w14:textId="3308320B" w:rsidR="007773A8" w:rsidRPr="00C84B49" w:rsidRDefault="007773A8" w:rsidP="00AE4467">
      <w:pPr>
        <w:spacing w:line="276" w:lineRule="auto"/>
        <w:jc w:val="both"/>
        <w:rPr>
          <w:rFonts w:eastAsia="Times New Roman" w:cs="Times New Roman"/>
          <w:szCs w:val="24"/>
          <w:lang w:val="en-GB" w:eastAsia="en-GB"/>
        </w:rPr>
      </w:pPr>
      <w:r w:rsidRPr="00C84B49">
        <w:rPr>
          <w:rFonts w:eastAsia="Times New Roman" w:cs="Times New Roman"/>
          <w:szCs w:val="24"/>
          <w:lang w:val="en-GB" w:eastAsia="en-GB"/>
        </w:rPr>
        <w:t>ATR-FTIR spectra of SHP407_X%TFA samples were completely overlapped with that of native NHP407 and no absorption peaks ascribable to residual CHCl</w:t>
      </w:r>
      <w:r w:rsidRPr="00C84B49">
        <w:rPr>
          <w:rFonts w:eastAsia="Times New Roman" w:cs="Times New Roman"/>
          <w:szCs w:val="24"/>
          <w:vertAlign w:val="subscript"/>
          <w:lang w:val="en-GB" w:eastAsia="en-GB"/>
        </w:rPr>
        <w:t xml:space="preserve">3 </w:t>
      </w:r>
      <w:r w:rsidRPr="00C84B49">
        <w:rPr>
          <w:rFonts w:eastAsia="Times New Roman" w:cs="Times New Roman"/>
          <w:szCs w:val="24"/>
          <w:lang w:val="en-GB" w:eastAsia="en-GB"/>
        </w:rPr>
        <w:t>or TFA (e.g., C-Cl and C-F stretching vibration at 600-800 cm</w:t>
      </w:r>
      <w:r w:rsidRPr="00C84B49">
        <w:rPr>
          <w:rFonts w:eastAsia="Times New Roman" w:cs="Times New Roman"/>
          <w:szCs w:val="24"/>
          <w:vertAlign w:val="superscript"/>
          <w:lang w:val="en-GB" w:eastAsia="en-GB"/>
        </w:rPr>
        <w:t xml:space="preserve">-1 </w:t>
      </w:r>
      <w:r w:rsidRPr="00C84B49">
        <w:rPr>
          <w:rFonts w:eastAsia="Times New Roman" w:cs="Times New Roman"/>
          <w:szCs w:val="24"/>
          <w:lang w:val="en-GB" w:eastAsia="en-GB"/>
        </w:rPr>
        <w:t>and 1000-1400 cm</w:t>
      </w:r>
      <w:r w:rsidRPr="00C84B49">
        <w:rPr>
          <w:rFonts w:eastAsia="Times New Roman" w:cs="Times New Roman"/>
          <w:szCs w:val="24"/>
          <w:vertAlign w:val="superscript"/>
          <w:lang w:val="en-GB" w:eastAsia="en-GB"/>
        </w:rPr>
        <w:t>-1</w:t>
      </w:r>
      <w:r w:rsidR="001A221B" w:rsidRPr="00C84B49">
        <w:rPr>
          <w:rFonts w:eastAsia="Times New Roman" w:cs="Times New Roman"/>
          <w:szCs w:val="24"/>
          <w:lang w:val="en-GB" w:eastAsia="en-GB"/>
        </w:rPr>
        <w:t>, respectively) were detected, thus confirming the retention of PEU chemical structure and the complete removal of both CHCl</w:t>
      </w:r>
      <w:r w:rsidR="001A221B" w:rsidRPr="00C84B49">
        <w:rPr>
          <w:rFonts w:eastAsia="Times New Roman" w:cs="Times New Roman"/>
          <w:szCs w:val="24"/>
          <w:vertAlign w:val="subscript"/>
          <w:lang w:val="en-GB" w:eastAsia="en-GB"/>
        </w:rPr>
        <w:t xml:space="preserve">3 </w:t>
      </w:r>
      <w:r w:rsidR="001A221B" w:rsidRPr="00C84B49">
        <w:rPr>
          <w:rFonts w:eastAsia="Times New Roman" w:cs="Times New Roman"/>
          <w:szCs w:val="24"/>
          <w:lang w:val="en-GB" w:eastAsia="en-GB"/>
        </w:rPr>
        <w:t>and</w:t>
      </w:r>
      <w:r w:rsidR="001A221B" w:rsidRPr="00C84B49">
        <w:rPr>
          <w:rFonts w:eastAsia="Times New Roman" w:cs="Times New Roman"/>
          <w:szCs w:val="24"/>
          <w:vertAlign w:val="subscript"/>
          <w:lang w:val="en-GB" w:eastAsia="en-GB"/>
        </w:rPr>
        <w:t xml:space="preserve"> </w:t>
      </w:r>
      <w:r w:rsidR="001A221B" w:rsidRPr="00C84B49">
        <w:rPr>
          <w:rFonts w:eastAsia="Times New Roman" w:cs="Times New Roman"/>
          <w:szCs w:val="24"/>
          <w:lang w:val="en-GB" w:eastAsia="en-GB"/>
        </w:rPr>
        <w:t>TFA.</w:t>
      </w:r>
      <w:r w:rsidRPr="00C84B49">
        <w:rPr>
          <w:rFonts w:cs="Times New Roman"/>
          <w:szCs w:val="24"/>
        </w:rPr>
        <w:t xml:space="preserve"> </w:t>
      </w:r>
    </w:p>
    <w:p w14:paraId="5D4C3363" w14:textId="077809CB" w:rsidR="007773A8" w:rsidRPr="00C84B49" w:rsidRDefault="007773A8" w:rsidP="00AE4467">
      <w:pPr>
        <w:spacing w:after="0"/>
        <w:jc w:val="center"/>
        <w:rPr>
          <w:rFonts w:cs="Times New Roman"/>
          <w:szCs w:val="24"/>
        </w:rPr>
      </w:pPr>
      <w:r w:rsidRPr="00C84B49">
        <w:rPr>
          <w:rFonts w:cs="Times New Roman"/>
          <w:noProof/>
          <w:szCs w:val="24"/>
          <w:lang w:val="it-IT" w:eastAsia="it-IT"/>
        </w:rPr>
        <w:lastRenderedPageBreak/>
        <w:drawing>
          <wp:inline distT="0" distB="0" distL="0" distR="0" wp14:anchorId="231C6905" wp14:editId="523ECBA1">
            <wp:extent cx="4937760" cy="3544824"/>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37760" cy="3544824"/>
                    </a:xfrm>
                    <a:prstGeom prst="rect">
                      <a:avLst/>
                    </a:prstGeom>
                  </pic:spPr>
                </pic:pic>
              </a:graphicData>
            </a:graphic>
          </wp:inline>
        </w:drawing>
      </w:r>
    </w:p>
    <w:p w14:paraId="4D805755" w14:textId="1F96E6C0" w:rsidR="007773A8" w:rsidRPr="00C84B49" w:rsidRDefault="00C76A0D" w:rsidP="00AE4467">
      <w:pPr>
        <w:spacing w:line="276" w:lineRule="auto"/>
        <w:jc w:val="both"/>
        <w:rPr>
          <w:rFonts w:eastAsia="Times New Roman" w:cs="Times New Roman"/>
          <w:szCs w:val="24"/>
          <w:lang w:val="en-GB" w:eastAsia="en-GB"/>
        </w:rPr>
      </w:pPr>
      <w:r>
        <w:rPr>
          <w:b/>
          <w:szCs w:val="24"/>
        </w:rPr>
        <w:t xml:space="preserve">Supplementary </w:t>
      </w:r>
      <w:r w:rsidRPr="00C84B49">
        <w:rPr>
          <w:b/>
          <w:szCs w:val="24"/>
        </w:rPr>
        <w:t>Figure S</w:t>
      </w:r>
      <w:r>
        <w:rPr>
          <w:b/>
          <w:szCs w:val="24"/>
        </w:rPr>
        <w:t>5</w:t>
      </w:r>
      <w:r w:rsidR="007773A8" w:rsidRPr="00C84B49">
        <w:rPr>
          <w:b/>
          <w:szCs w:val="24"/>
        </w:rPr>
        <w:t>.</w:t>
      </w:r>
      <w:r w:rsidR="007773A8" w:rsidRPr="00C84B49">
        <w:rPr>
          <w:szCs w:val="24"/>
        </w:rPr>
        <w:t xml:space="preserve"> </w:t>
      </w:r>
      <w:proofErr w:type="gramStart"/>
      <w:r w:rsidR="007773A8" w:rsidRPr="00C84B49">
        <w:rPr>
          <w:szCs w:val="24"/>
          <w:vertAlign w:val="superscript"/>
        </w:rPr>
        <w:t>1</w:t>
      </w:r>
      <w:r w:rsidR="00C84B49">
        <w:rPr>
          <w:szCs w:val="24"/>
        </w:rPr>
        <w:t xml:space="preserve">H </w:t>
      </w:r>
      <w:r w:rsidR="007773A8" w:rsidRPr="00C84B49">
        <w:rPr>
          <w:szCs w:val="24"/>
        </w:rPr>
        <w:t xml:space="preserve">NMR spectra of </w:t>
      </w:r>
      <w:r w:rsidR="007773A8" w:rsidRPr="00C84B49">
        <w:rPr>
          <w:rFonts w:cs="Times New Roman"/>
          <w:szCs w:val="24"/>
        </w:rPr>
        <w:t xml:space="preserve">NHP407 (control) and SHP407 poly(ether urethane)s (SHP407_0%TFA, SHP407_5%TFA, SHP407_10%TFA and SHP407_20%TFA) synthesized by treating NHP407 in </w:t>
      </w:r>
      <w:r w:rsidR="007773A8" w:rsidRPr="00C84B49">
        <w:rPr>
          <w:rFonts w:eastAsia="Times New Roman" w:cs="Times New Roman"/>
          <w:szCs w:val="24"/>
          <w:lang w:val="en-GB" w:eastAsia="en-GB"/>
        </w:rPr>
        <w:t>CHCl</w:t>
      </w:r>
      <w:r w:rsidR="007773A8" w:rsidRPr="00C84B49">
        <w:rPr>
          <w:rFonts w:eastAsia="Times New Roman" w:cs="Times New Roman"/>
          <w:szCs w:val="24"/>
          <w:vertAlign w:val="subscript"/>
          <w:lang w:val="en-GB" w:eastAsia="en-GB"/>
        </w:rPr>
        <w:t>3</w:t>
      </w:r>
      <w:r w:rsidR="007773A8" w:rsidRPr="00C84B49">
        <w:rPr>
          <w:rFonts w:eastAsia="Times New Roman" w:cs="Times New Roman"/>
          <w:szCs w:val="24"/>
          <w:lang w:val="en-GB" w:eastAsia="en-GB"/>
        </w:rPr>
        <w:t xml:space="preserve">/TFA at 100/0, 95/5, 90/10, 80/20 v/v. Magnified inserts highlight the characteristic bands of N-H groups of urethane and urea bonds, and </w:t>
      </w:r>
      <w:proofErr w:type="spellStart"/>
      <w:r w:rsidR="007773A8" w:rsidRPr="00C84B49">
        <w:rPr>
          <w:rFonts w:eastAsia="Times New Roman" w:cs="Times New Roman"/>
          <w:szCs w:val="24"/>
          <w:lang w:val="en-GB" w:eastAsia="en-GB"/>
        </w:rPr>
        <w:t>Boc</w:t>
      </w:r>
      <w:proofErr w:type="spellEnd"/>
      <w:r w:rsidR="007773A8" w:rsidRPr="00C84B49">
        <w:rPr>
          <w:rFonts w:eastAsia="Times New Roman" w:cs="Times New Roman"/>
          <w:szCs w:val="24"/>
          <w:lang w:val="en-GB" w:eastAsia="en-GB"/>
        </w:rPr>
        <w:t xml:space="preserve"> methyl groups.</w:t>
      </w:r>
      <w:proofErr w:type="gramEnd"/>
    </w:p>
    <w:p w14:paraId="27FBA26E" w14:textId="4348C92B" w:rsidR="001A221B" w:rsidRPr="00C84B49" w:rsidRDefault="001A221B" w:rsidP="00AE4467">
      <w:pPr>
        <w:spacing w:line="276" w:lineRule="auto"/>
        <w:jc w:val="both"/>
        <w:rPr>
          <w:rFonts w:cs="Times New Roman"/>
          <w:szCs w:val="24"/>
        </w:rPr>
      </w:pPr>
      <w:r w:rsidRPr="00C84B49">
        <w:rPr>
          <w:rFonts w:eastAsia="Times New Roman" w:cs="Times New Roman"/>
          <w:szCs w:val="24"/>
          <w:lang w:eastAsia="en-GB"/>
        </w:rPr>
        <w:t>Similarly, also</w:t>
      </w:r>
      <w:r w:rsidRPr="00C84B49">
        <w:rPr>
          <w:rFonts w:eastAsia="Times New Roman" w:cs="Times New Roman"/>
          <w:szCs w:val="24"/>
          <w:vertAlign w:val="superscript"/>
          <w:lang w:eastAsia="en-GB"/>
        </w:rPr>
        <w:t xml:space="preserve"> 1</w:t>
      </w:r>
      <w:r w:rsidRPr="00C84B49">
        <w:rPr>
          <w:rFonts w:eastAsia="Times New Roman" w:cs="Times New Roman"/>
          <w:szCs w:val="24"/>
          <w:lang w:eastAsia="en-GB"/>
        </w:rPr>
        <w:t>H</w:t>
      </w:r>
      <w:r w:rsidR="00C84B49">
        <w:rPr>
          <w:rFonts w:eastAsia="Times New Roman" w:cs="Times New Roman"/>
          <w:szCs w:val="24"/>
          <w:lang w:eastAsia="en-GB"/>
        </w:rPr>
        <w:t xml:space="preserve"> </w:t>
      </w:r>
      <w:r w:rsidRPr="00C84B49">
        <w:rPr>
          <w:rFonts w:eastAsia="Times New Roman" w:cs="Times New Roman"/>
          <w:szCs w:val="24"/>
          <w:lang w:eastAsia="en-GB"/>
        </w:rPr>
        <w:t>NMR</w:t>
      </w:r>
      <w:r w:rsidRPr="00C84B49">
        <w:rPr>
          <w:rFonts w:eastAsia="Times New Roman" w:cs="Times New Roman"/>
          <w:szCs w:val="24"/>
          <w:lang w:val="en-GB" w:eastAsia="en-GB"/>
        </w:rPr>
        <w:t xml:space="preserve"> spectra of SHP407_X%TFA samples were completely overlapped to that of native NHP407, with the exception of the peak attributed to the </w:t>
      </w:r>
      <w:r w:rsidRPr="00C84B49">
        <w:rPr>
          <w:rFonts w:cs="Times New Roman"/>
          <w:szCs w:val="24"/>
          <w:shd w:val="clear" w:color="auto" w:fill="FFFFFF"/>
        </w:rPr>
        <w:t xml:space="preserve">methyl protons of </w:t>
      </w:r>
      <w:proofErr w:type="spellStart"/>
      <w:r w:rsidRPr="00C84B49">
        <w:rPr>
          <w:rFonts w:cs="Times New Roman"/>
          <w:szCs w:val="24"/>
          <w:shd w:val="clear" w:color="auto" w:fill="FFFFFF"/>
        </w:rPr>
        <w:t>Boc</w:t>
      </w:r>
      <w:proofErr w:type="spellEnd"/>
      <w:r w:rsidRPr="00C84B49">
        <w:rPr>
          <w:rFonts w:cs="Times New Roman"/>
          <w:szCs w:val="24"/>
          <w:shd w:val="clear" w:color="auto" w:fill="FFFFFF"/>
        </w:rPr>
        <w:t xml:space="preserve"> caging groups at 1.37 ppm. Indeed,</w:t>
      </w:r>
      <w:r w:rsidRPr="00C84B49">
        <w:rPr>
          <w:rFonts w:cs="Times New Roman"/>
          <w:szCs w:val="24"/>
        </w:rPr>
        <w:t xml:space="preserve"> u</w:t>
      </w:r>
      <w:r w:rsidR="007773A8" w:rsidRPr="00C84B49">
        <w:rPr>
          <w:rFonts w:cs="Times New Roman"/>
          <w:szCs w:val="24"/>
        </w:rPr>
        <w:t xml:space="preserve">pon treatment in acid conditions, the singlet at 1.37 </w:t>
      </w:r>
      <w:r w:rsidR="00C84B49">
        <w:rPr>
          <w:rFonts w:cs="Times New Roman"/>
          <w:szCs w:val="24"/>
        </w:rPr>
        <w:t xml:space="preserve">ppm </w:t>
      </w:r>
      <w:r w:rsidR="007773A8" w:rsidRPr="00C84B49">
        <w:rPr>
          <w:rFonts w:cs="Times New Roman"/>
          <w:szCs w:val="24"/>
        </w:rPr>
        <w:t xml:space="preserve">due to </w:t>
      </w:r>
      <w:proofErr w:type="spellStart"/>
      <w:r w:rsidR="007773A8" w:rsidRPr="00C84B49">
        <w:rPr>
          <w:rFonts w:cs="Times New Roman"/>
          <w:szCs w:val="24"/>
        </w:rPr>
        <w:t>Boc</w:t>
      </w:r>
      <w:proofErr w:type="spellEnd"/>
      <w:r w:rsidR="007773A8" w:rsidRPr="00C84B49">
        <w:rPr>
          <w:rFonts w:cs="Times New Roman"/>
          <w:szCs w:val="24"/>
        </w:rPr>
        <w:t xml:space="preserve"> protons progressively decreased with increasing TFA content, indicating that the reaction conditions allowed </w:t>
      </w:r>
      <w:proofErr w:type="spellStart"/>
      <w:r w:rsidR="007773A8" w:rsidRPr="00C84B49">
        <w:rPr>
          <w:rFonts w:cs="Times New Roman"/>
          <w:szCs w:val="24"/>
        </w:rPr>
        <w:t>Boc</w:t>
      </w:r>
      <w:proofErr w:type="spellEnd"/>
      <w:r w:rsidR="007773A8" w:rsidRPr="00C84B49">
        <w:rPr>
          <w:rFonts w:cs="Times New Roman"/>
          <w:szCs w:val="24"/>
        </w:rPr>
        <w:t xml:space="preserve"> removal. Irrespective of the CHCl</w:t>
      </w:r>
      <w:r w:rsidR="007773A8" w:rsidRPr="00C84B49">
        <w:rPr>
          <w:rFonts w:cs="Times New Roman"/>
          <w:szCs w:val="24"/>
          <w:vertAlign w:val="subscript"/>
        </w:rPr>
        <w:t>3</w:t>
      </w:r>
      <w:r w:rsidR="007773A8" w:rsidRPr="00C84B49">
        <w:rPr>
          <w:rFonts w:cs="Times New Roman"/>
          <w:szCs w:val="24"/>
        </w:rPr>
        <w:t xml:space="preserve">/TFA volumetric ratio adopted for </w:t>
      </w:r>
      <w:proofErr w:type="spellStart"/>
      <w:r w:rsidR="007773A8" w:rsidRPr="00C84B49">
        <w:rPr>
          <w:rFonts w:cs="Times New Roman"/>
          <w:szCs w:val="24"/>
        </w:rPr>
        <w:t>Boc</w:t>
      </w:r>
      <w:proofErr w:type="spellEnd"/>
      <w:r w:rsidR="007773A8" w:rsidRPr="00C84B49">
        <w:rPr>
          <w:rFonts w:cs="Times New Roman"/>
          <w:szCs w:val="24"/>
        </w:rPr>
        <w:t xml:space="preserve"> cleavage, all other signals in</w:t>
      </w:r>
      <w:r w:rsidR="00FE0D66">
        <w:rPr>
          <w:rFonts w:cs="Times New Roman"/>
          <w:szCs w:val="24"/>
        </w:rPr>
        <w:t xml:space="preserve"> the</w:t>
      </w:r>
      <w:r w:rsidR="007773A8" w:rsidRPr="00C84B49">
        <w:rPr>
          <w:rFonts w:cs="Times New Roman"/>
          <w:szCs w:val="24"/>
        </w:rPr>
        <w:t xml:space="preserve"> </w:t>
      </w:r>
      <w:proofErr w:type="gramStart"/>
      <w:r w:rsidR="007773A8" w:rsidRPr="00C84B49">
        <w:rPr>
          <w:rFonts w:cs="Times New Roman"/>
          <w:szCs w:val="24"/>
          <w:vertAlign w:val="superscript"/>
        </w:rPr>
        <w:t>1</w:t>
      </w:r>
      <w:r w:rsidR="00C84B49">
        <w:rPr>
          <w:rFonts w:cs="Times New Roman"/>
          <w:szCs w:val="24"/>
        </w:rPr>
        <w:t>H</w:t>
      </w:r>
      <w:proofErr w:type="gramEnd"/>
      <w:r w:rsidR="00C84B49">
        <w:rPr>
          <w:rFonts w:cs="Times New Roman"/>
          <w:szCs w:val="24"/>
        </w:rPr>
        <w:t xml:space="preserve"> </w:t>
      </w:r>
      <w:r w:rsidR="007773A8" w:rsidRPr="00C84B49">
        <w:rPr>
          <w:rFonts w:cs="Times New Roman"/>
          <w:szCs w:val="24"/>
        </w:rPr>
        <w:t xml:space="preserve">NMR spectra remained unaltered, proving that </w:t>
      </w:r>
      <w:proofErr w:type="spellStart"/>
      <w:r w:rsidR="007773A8" w:rsidRPr="00C84B49">
        <w:rPr>
          <w:rFonts w:cs="Times New Roman"/>
          <w:szCs w:val="24"/>
        </w:rPr>
        <w:t>Boc</w:t>
      </w:r>
      <w:proofErr w:type="spellEnd"/>
      <w:r w:rsidR="007773A8" w:rsidRPr="00C84B49">
        <w:rPr>
          <w:rFonts w:cs="Times New Roman"/>
          <w:szCs w:val="24"/>
        </w:rPr>
        <w:t xml:space="preserve"> cleavage treatment did not significantly af</w:t>
      </w:r>
      <w:r w:rsidR="00177963" w:rsidRPr="00C84B49">
        <w:rPr>
          <w:rFonts w:cs="Times New Roman"/>
          <w:szCs w:val="24"/>
        </w:rPr>
        <w:t>fect polymer chemical structure</w:t>
      </w:r>
      <w:r w:rsidR="007773A8" w:rsidRPr="00C84B49">
        <w:rPr>
          <w:rFonts w:cs="Times New Roman"/>
          <w:szCs w:val="24"/>
        </w:rPr>
        <w:t>.</w:t>
      </w:r>
      <w:r w:rsidRPr="00C84B49">
        <w:rPr>
          <w:rFonts w:cs="Times New Roman"/>
          <w:szCs w:val="24"/>
        </w:rPr>
        <w:t xml:space="preserve"> </w:t>
      </w:r>
      <w:r w:rsidRPr="00C84B49">
        <w:rPr>
          <w:rFonts w:cs="Times New Roman"/>
          <w:szCs w:val="24"/>
          <w:shd w:val="clear" w:color="auto" w:fill="FFFFFF"/>
        </w:rPr>
        <w:t>Due to its acid nature</w:t>
      </w:r>
      <w:r w:rsidRPr="00C84B49">
        <w:rPr>
          <w:rFonts w:cs="Times New Roman"/>
          <w:szCs w:val="24"/>
        </w:rPr>
        <w:t>, c</w:t>
      </w:r>
      <w:r w:rsidR="007773A8" w:rsidRPr="00C84B49">
        <w:rPr>
          <w:rFonts w:cs="Times New Roman"/>
          <w:szCs w:val="24"/>
        </w:rPr>
        <w:t xml:space="preserve">hloroform as such (SHP407_0%TFA) turned out to be able to partially </w:t>
      </w:r>
      <w:proofErr w:type="spellStart"/>
      <w:r w:rsidR="007773A8" w:rsidRPr="00C84B49">
        <w:rPr>
          <w:rFonts w:cs="Times New Roman"/>
          <w:szCs w:val="24"/>
        </w:rPr>
        <w:t>deprotect</w:t>
      </w:r>
      <w:proofErr w:type="spellEnd"/>
      <w:r w:rsidR="007773A8" w:rsidRPr="00C84B49">
        <w:rPr>
          <w:rFonts w:cs="Times New Roman"/>
          <w:szCs w:val="24"/>
        </w:rPr>
        <w:t xml:space="preserve"> </w:t>
      </w:r>
      <w:proofErr w:type="spellStart"/>
      <w:r w:rsidR="007773A8" w:rsidRPr="00C84B49">
        <w:rPr>
          <w:rFonts w:cs="Times New Roman"/>
          <w:szCs w:val="24"/>
        </w:rPr>
        <w:t>Boc</w:t>
      </w:r>
      <w:proofErr w:type="spellEnd"/>
      <w:r w:rsidR="007773A8" w:rsidRPr="00C84B49">
        <w:rPr>
          <w:rFonts w:cs="Times New Roman"/>
          <w:szCs w:val="24"/>
        </w:rPr>
        <w:t xml:space="preserve">-protected amines of NHP407, with a </w:t>
      </w:r>
      <w:proofErr w:type="spellStart"/>
      <w:r w:rsidR="007773A8" w:rsidRPr="00C84B49">
        <w:rPr>
          <w:rFonts w:cs="Times New Roman"/>
          <w:szCs w:val="24"/>
        </w:rPr>
        <w:t>deprotection</w:t>
      </w:r>
      <w:proofErr w:type="spellEnd"/>
      <w:r w:rsidR="007773A8" w:rsidRPr="00C84B49">
        <w:rPr>
          <w:rFonts w:cs="Times New Roman"/>
          <w:szCs w:val="24"/>
        </w:rPr>
        <w:t xml:space="preserve"> yield of approx. 50 % (evaluated as percentage decrease in the intensity of </w:t>
      </w:r>
      <w:proofErr w:type="spellStart"/>
      <w:r w:rsidR="007773A8" w:rsidRPr="00C84B49">
        <w:rPr>
          <w:rFonts w:cs="Times New Roman"/>
          <w:szCs w:val="24"/>
        </w:rPr>
        <w:t>Boc</w:t>
      </w:r>
      <w:proofErr w:type="spellEnd"/>
      <w:r w:rsidR="007773A8" w:rsidRPr="00C84B49">
        <w:rPr>
          <w:rFonts w:cs="Times New Roman"/>
          <w:szCs w:val="24"/>
        </w:rPr>
        <w:t xml:space="preserve"> group peak). At 5% v/v TFA concentration (SHP407_5%TFA), the signal ascribed to </w:t>
      </w:r>
      <w:proofErr w:type="spellStart"/>
      <w:r w:rsidR="007773A8" w:rsidRPr="00C84B49">
        <w:rPr>
          <w:rFonts w:cs="Times New Roman"/>
          <w:szCs w:val="24"/>
        </w:rPr>
        <w:t>Boc</w:t>
      </w:r>
      <w:proofErr w:type="spellEnd"/>
      <w:r w:rsidR="007773A8" w:rsidRPr="00C84B49">
        <w:rPr>
          <w:rFonts w:cs="Times New Roman"/>
          <w:szCs w:val="24"/>
        </w:rPr>
        <w:t xml:space="preserve"> groups almost completely disappeared suggesting that the addition of TFA al low concentration can effectively cleave </w:t>
      </w:r>
      <w:proofErr w:type="spellStart"/>
      <w:r w:rsidR="007773A8" w:rsidRPr="00C84B49">
        <w:rPr>
          <w:rFonts w:cs="Times New Roman"/>
          <w:szCs w:val="24"/>
        </w:rPr>
        <w:t>Boc</w:t>
      </w:r>
      <w:proofErr w:type="spellEnd"/>
      <w:r w:rsidR="007773A8" w:rsidRPr="00C84B49">
        <w:rPr>
          <w:rFonts w:cs="Times New Roman"/>
          <w:szCs w:val="24"/>
        </w:rPr>
        <w:t xml:space="preserve"> groups from NHP407, with a yield of approx. 80 %. A further decrease in the intensity of </w:t>
      </w:r>
      <w:proofErr w:type="spellStart"/>
      <w:r w:rsidR="007773A8" w:rsidRPr="00C84B49">
        <w:rPr>
          <w:rFonts w:cs="Times New Roman"/>
          <w:szCs w:val="24"/>
        </w:rPr>
        <w:t>Boc</w:t>
      </w:r>
      <w:proofErr w:type="spellEnd"/>
      <w:r w:rsidR="007773A8" w:rsidRPr="00C84B49">
        <w:rPr>
          <w:rFonts w:cs="Times New Roman"/>
          <w:szCs w:val="24"/>
        </w:rPr>
        <w:t xml:space="preserve"> proton resonance at 1.37 </w:t>
      </w:r>
      <w:r w:rsidR="00C84B49">
        <w:rPr>
          <w:rFonts w:cs="Times New Roman"/>
          <w:szCs w:val="24"/>
        </w:rPr>
        <w:t xml:space="preserve">ppm </w:t>
      </w:r>
      <w:proofErr w:type="gramStart"/>
      <w:r w:rsidR="007773A8" w:rsidRPr="00C84B49">
        <w:rPr>
          <w:rFonts w:cs="Times New Roman"/>
          <w:szCs w:val="24"/>
        </w:rPr>
        <w:t>was observed</w:t>
      </w:r>
      <w:proofErr w:type="gramEnd"/>
      <w:r w:rsidR="007773A8" w:rsidRPr="00C84B49">
        <w:rPr>
          <w:rFonts w:cs="Times New Roman"/>
          <w:szCs w:val="24"/>
        </w:rPr>
        <w:t xml:space="preserve"> with increasing TFA concentration during the </w:t>
      </w:r>
      <w:proofErr w:type="spellStart"/>
      <w:r w:rsidR="007773A8" w:rsidRPr="00C84B49">
        <w:rPr>
          <w:rFonts w:cs="Times New Roman"/>
          <w:szCs w:val="24"/>
        </w:rPr>
        <w:t>deprotection</w:t>
      </w:r>
      <w:proofErr w:type="spellEnd"/>
      <w:r w:rsidR="007773A8" w:rsidRPr="00C84B49">
        <w:rPr>
          <w:rFonts w:cs="Times New Roman"/>
          <w:szCs w:val="24"/>
        </w:rPr>
        <w:t xml:space="preserve"> reaction to 10% v/v. No further changes in the </w:t>
      </w:r>
      <w:r w:rsidR="007773A8" w:rsidRPr="00C84B49">
        <w:rPr>
          <w:rFonts w:cs="Times New Roman"/>
          <w:szCs w:val="24"/>
          <w:vertAlign w:val="superscript"/>
        </w:rPr>
        <w:t>1</w:t>
      </w:r>
      <w:r w:rsidR="007773A8" w:rsidRPr="00C84B49">
        <w:rPr>
          <w:rFonts w:cs="Times New Roman"/>
          <w:szCs w:val="24"/>
        </w:rPr>
        <w:t>H</w:t>
      </w:r>
      <w:r w:rsidR="00C84B49">
        <w:rPr>
          <w:rFonts w:cs="Times New Roman"/>
          <w:szCs w:val="24"/>
        </w:rPr>
        <w:t xml:space="preserve"> </w:t>
      </w:r>
      <w:r w:rsidR="007773A8" w:rsidRPr="00C84B49">
        <w:rPr>
          <w:rFonts w:cs="Times New Roman"/>
          <w:szCs w:val="24"/>
        </w:rPr>
        <w:t>NMR spectrum within the spectra</w:t>
      </w:r>
      <w:r w:rsidR="00177963" w:rsidRPr="00C84B49">
        <w:rPr>
          <w:rFonts w:cs="Times New Roman"/>
          <w:szCs w:val="24"/>
        </w:rPr>
        <w:t>l</w:t>
      </w:r>
      <w:r w:rsidR="007773A8" w:rsidRPr="00C84B49">
        <w:rPr>
          <w:rFonts w:cs="Times New Roman"/>
          <w:szCs w:val="24"/>
        </w:rPr>
        <w:t xml:space="preserve"> region between 1.31 and 1.41 ppm were observed with increasing TFA content to 20% v/v, indicating that a CHCl</w:t>
      </w:r>
      <w:r w:rsidR="007773A8" w:rsidRPr="00C84B49">
        <w:rPr>
          <w:rFonts w:cs="Times New Roman"/>
          <w:szCs w:val="24"/>
          <w:vertAlign w:val="subscript"/>
        </w:rPr>
        <w:t>3</w:t>
      </w:r>
      <w:r w:rsidR="007773A8" w:rsidRPr="00C84B49">
        <w:rPr>
          <w:rFonts w:cs="Times New Roman"/>
          <w:szCs w:val="24"/>
        </w:rPr>
        <w:t xml:space="preserve">/TFA volumetric ratio of 90/10 was sufficient to reach an almost complete </w:t>
      </w:r>
      <w:proofErr w:type="spellStart"/>
      <w:r w:rsidR="007773A8" w:rsidRPr="00C84B49">
        <w:rPr>
          <w:rFonts w:cs="Times New Roman"/>
          <w:szCs w:val="24"/>
        </w:rPr>
        <w:t>Boc</w:t>
      </w:r>
      <w:proofErr w:type="spellEnd"/>
      <w:r w:rsidR="007773A8" w:rsidRPr="00C84B49">
        <w:rPr>
          <w:rFonts w:cs="Times New Roman"/>
          <w:szCs w:val="24"/>
        </w:rPr>
        <w:t xml:space="preserve"> </w:t>
      </w:r>
      <w:proofErr w:type="spellStart"/>
      <w:r w:rsidR="007773A8" w:rsidRPr="00C84B49">
        <w:rPr>
          <w:rFonts w:cs="Times New Roman"/>
          <w:szCs w:val="24"/>
        </w:rPr>
        <w:t>deprotection</w:t>
      </w:r>
      <w:proofErr w:type="spellEnd"/>
      <w:r w:rsidR="007773A8" w:rsidRPr="00C84B49">
        <w:rPr>
          <w:rFonts w:cs="Times New Roman"/>
          <w:szCs w:val="24"/>
        </w:rPr>
        <w:t xml:space="preserve"> (</w:t>
      </w:r>
      <w:proofErr w:type="spellStart"/>
      <w:r w:rsidR="007773A8" w:rsidRPr="00C84B49">
        <w:rPr>
          <w:rFonts w:cs="Times New Roman"/>
          <w:szCs w:val="24"/>
        </w:rPr>
        <w:t>deprotection</w:t>
      </w:r>
      <w:proofErr w:type="spellEnd"/>
      <w:r w:rsidR="007773A8" w:rsidRPr="00C84B49">
        <w:rPr>
          <w:rFonts w:cs="Times New Roman"/>
          <w:szCs w:val="24"/>
        </w:rPr>
        <w:t xml:space="preserve"> yield &gt; 90%). </w:t>
      </w:r>
      <w:r w:rsidRPr="00C84B49">
        <w:rPr>
          <w:rFonts w:eastAsia="Times New Roman" w:cs="Times New Roman"/>
          <w:szCs w:val="24"/>
          <w:lang w:eastAsia="en-GB"/>
        </w:rPr>
        <w:t>SEC analyses evidenced a slight decrease in SHP407_</w:t>
      </w:r>
      <w:proofErr w:type="gramStart"/>
      <w:r w:rsidRPr="00C84B49">
        <w:rPr>
          <w:rFonts w:eastAsia="Times New Roman" w:cs="Times New Roman"/>
          <w:szCs w:val="24"/>
          <w:lang w:eastAsia="en-GB"/>
        </w:rPr>
        <w:t>X%TFA</w:t>
      </w:r>
      <w:proofErr w:type="gramEnd"/>
      <w:r w:rsidRPr="00C84B49">
        <w:rPr>
          <w:rFonts w:eastAsia="Times New Roman" w:cs="Times New Roman"/>
          <w:szCs w:val="24"/>
          <w:lang w:eastAsia="en-GB"/>
        </w:rPr>
        <w:t xml:space="preserve"> number average molecular wei</w:t>
      </w:r>
      <w:r w:rsidR="00C84B49">
        <w:rPr>
          <w:rFonts w:eastAsia="Times New Roman" w:cs="Times New Roman"/>
          <w:szCs w:val="24"/>
          <w:lang w:eastAsia="en-GB"/>
        </w:rPr>
        <w:t>ght</w:t>
      </w:r>
      <w:r w:rsidR="008D0ED4">
        <w:rPr>
          <w:rFonts w:eastAsia="Times New Roman" w:cs="Times New Roman"/>
          <w:szCs w:val="24"/>
          <w:lang w:eastAsia="en-GB"/>
        </w:rPr>
        <w:t xml:space="preserve"> (</w:t>
      </w:r>
      <m:oMath>
        <m:sSub>
          <m:sSubPr>
            <m:ctrlPr>
              <w:rPr>
                <w:rFonts w:ascii="Cambria Math" w:hAnsi="Cambria Math" w:cs="Times New Roman"/>
                <w:szCs w:val="24"/>
              </w:rPr>
            </m:ctrlPr>
          </m:sSubPr>
          <m:e>
            <m:acc>
              <m:accPr>
                <m:chr m:val="̅"/>
                <m:ctrlPr>
                  <w:rPr>
                    <w:rFonts w:ascii="Cambria Math" w:hAnsi="Cambria Math" w:cs="Times New Roman"/>
                    <w:szCs w:val="24"/>
                  </w:rPr>
                </m:ctrlPr>
              </m:accPr>
              <m:e>
                <m:r>
                  <m:rPr>
                    <m:sty m:val="p"/>
                  </m:rPr>
                  <w:rPr>
                    <w:rFonts w:ascii="Cambria Math" w:hAnsi="Cambria Math" w:cs="Times New Roman"/>
                    <w:szCs w:val="24"/>
                  </w:rPr>
                  <m:t>M</m:t>
                </m:r>
              </m:e>
            </m:acc>
          </m:e>
          <m:sub>
            <m:r>
              <m:rPr>
                <m:sty m:val="p"/>
              </m:rPr>
              <w:rPr>
                <w:rFonts w:ascii="Cambria Math" w:hAnsi="Cambria Math" w:cs="Times New Roman"/>
                <w:szCs w:val="24"/>
              </w:rPr>
              <m:t>n</m:t>
            </m:r>
          </m:sub>
        </m:sSub>
      </m:oMath>
      <w:r w:rsidR="008D0ED4">
        <w:rPr>
          <w:rFonts w:eastAsia="Times New Roman" w:cs="Times New Roman"/>
          <w:szCs w:val="24"/>
        </w:rPr>
        <w:t>)</w:t>
      </w:r>
      <w:r w:rsidR="00C84B49">
        <w:rPr>
          <w:rFonts w:eastAsia="Times New Roman" w:cs="Times New Roman"/>
          <w:szCs w:val="24"/>
          <w:lang w:eastAsia="en-GB"/>
        </w:rPr>
        <w:t xml:space="preserve"> (from 44600 Da to approx. 41</w:t>
      </w:r>
      <w:r w:rsidRPr="00C84B49">
        <w:rPr>
          <w:rFonts w:eastAsia="Times New Roman" w:cs="Times New Roman"/>
          <w:szCs w:val="24"/>
          <w:lang w:eastAsia="en-GB"/>
        </w:rPr>
        <w:t xml:space="preserve">000 Da) associated with an increase in </w:t>
      </w:r>
      <w:proofErr w:type="spellStart"/>
      <w:r w:rsidRPr="00C84B49">
        <w:rPr>
          <w:rFonts w:eastAsia="Times New Roman" w:cs="Times New Roman"/>
          <w:szCs w:val="24"/>
          <w:lang w:eastAsia="en-GB"/>
        </w:rPr>
        <w:lastRenderedPageBreak/>
        <w:t>polydispersity</w:t>
      </w:r>
      <w:proofErr w:type="spellEnd"/>
      <w:r w:rsidRPr="00C84B49">
        <w:rPr>
          <w:rFonts w:eastAsia="Times New Roman" w:cs="Times New Roman"/>
          <w:szCs w:val="24"/>
          <w:lang w:eastAsia="en-GB"/>
        </w:rPr>
        <w:t xml:space="preserve"> index</w:t>
      </w:r>
      <w:r w:rsidR="00177963" w:rsidRPr="00C84B49">
        <w:rPr>
          <w:rFonts w:eastAsia="Times New Roman" w:cs="Times New Roman"/>
          <w:szCs w:val="24"/>
          <w:lang w:eastAsia="en-GB"/>
        </w:rPr>
        <w:t xml:space="preserve"> (D)</w:t>
      </w:r>
      <w:r w:rsidRPr="00C84B49">
        <w:rPr>
          <w:rFonts w:eastAsia="Times New Roman" w:cs="Times New Roman"/>
          <w:szCs w:val="24"/>
          <w:lang w:eastAsia="en-GB"/>
        </w:rPr>
        <w:t xml:space="preserve"> </w:t>
      </w:r>
      <w:r w:rsidR="00C84B49">
        <w:rPr>
          <w:rFonts w:eastAsia="Times New Roman" w:cs="Times New Roman"/>
          <w:szCs w:val="24"/>
          <w:lang w:eastAsia="en-GB"/>
        </w:rPr>
        <w:t>values (from 1.42 to around 1.56</w:t>
      </w:r>
      <w:r w:rsidRPr="00C84B49">
        <w:rPr>
          <w:rFonts w:eastAsia="Times New Roman" w:cs="Times New Roman"/>
          <w:szCs w:val="24"/>
          <w:lang w:eastAsia="en-GB"/>
        </w:rPr>
        <w:t>) (</w:t>
      </w:r>
      <w:r w:rsidR="00C76A0D">
        <w:rPr>
          <w:b/>
          <w:szCs w:val="24"/>
        </w:rPr>
        <w:t xml:space="preserve">Supplementary </w:t>
      </w:r>
      <w:r w:rsidR="00C76A0D" w:rsidRPr="00C84B49">
        <w:rPr>
          <w:b/>
          <w:szCs w:val="24"/>
        </w:rPr>
        <w:t>Figure S</w:t>
      </w:r>
      <w:r w:rsidR="00C76A0D">
        <w:rPr>
          <w:b/>
          <w:szCs w:val="24"/>
        </w:rPr>
        <w:t>6</w:t>
      </w:r>
      <w:r w:rsidRPr="00C84B49">
        <w:rPr>
          <w:rFonts w:eastAsia="Times New Roman" w:cs="Times New Roman"/>
          <w:szCs w:val="24"/>
          <w:lang w:eastAsia="en-GB"/>
        </w:rPr>
        <w:t xml:space="preserve">). Although the change in </w:t>
      </w:r>
      <m:oMath>
        <m:sSub>
          <m:sSubPr>
            <m:ctrlPr>
              <w:rPr>
                <w:rFonts w:ascii="Cambria Math" w:hAnsi="Cambria Math" w:cs="Times New Roman"/>
                <w:szCs w:val="24"/>
              </w:rPr>
            </m:ctrlPr>
          </m:sSubPr>
          <m:e>
            <m:acc>
              <m:accPr>
                <m:chr m:val="̅"/>
                <m:ctrlPr>
                  <w:rPr>
                    <w:rFonts w:ascii="Cambria Math" w:hAnsi="Cambria Math" w:cs="Times New Roman"/>
                    <w:szCs w:val="24"/>
                  </w:rPr>
                </m:ctrlPr>
              </m:accPr>
              <m:e>
                <m:r>
                  <m:rPr>
                    <m:sty m:val="p"/>
                  </m:rPr>
                  <w:rPr>
                    <w:rFonts w:ascii="Cambria Math" w:hAnsi="Cambria Math" w:cs="Times New Roman"/>
                    <w:szCs w:val="24"/>
                  </w:rPr>
                  <m:t>M</m:t>
                </m:r>
              </m:e>
            </m:acc>
          </m:e>
          <m:sub>
            <m:r>
              <m:rPr>
                <m:sty m:val="p"/>
              </m:rPr>
              <w:rPr>
                <w:rFonts w:ascii="Cambria Math" w:hAnsi="Cambria Math" w:cs="Times New Roman"/>
                <w:szCs w:val="24"/>
              </w:rPr>
              <m:t>n</m:t>
            </m:r>
          </m:sub>
        </m:sSub>
      </m:oMath>
      <w:r w:rsidRPr="00C84B49">
        <w:rPr>
          <w:rFonts w:eastAsia="Times New Roman" w:cs="Times New Roman"/>
          <w:szCs w:val="24"/>
        </w:rPr>
        <w:t xml:space="preserve"> </w:t>
      </w:r>
      <w:r w:rsidRPr="00C84B49">
        <w:rPr>
          <w:rFonts w:eastAsia="Times New Roman" w:cs="Times New Roman"/>
          <w:szCs w:val="24"/>
          <w:lang w:eastAsia="en-GB"/>
        </w:rPr>
        <w:t xml:space="preserve">was not significant, being the typical SEC analysis error in the order of 10% </w:t>
      </w:r>
      <w:r w:rsidRPr="00C84B49">
        <w:rPr>
          <w:rFonts w:eastAsia="Times New Roman" w:cs="Times New Roman"/>
          <w:szCs w:val="24"/>
          <w:lang w:eastAsia="en-GB"/>
        </w:rPr>
        <w:fldChar w:fldCharType="begin" w:fldLock="1"/>
      </w:r>
      <w:r w:rsidRPr="00C84B49">
        <w:rPr>
          <w:rFonts w:eastAsia="Times New Roman" w:cs="Times New Roman"/>
          <w:szCs w:val="24"/>
          <w:lang w:eastAsia="en-GB"/>
        </w:rPr>
        <w:instrText>ADDIN CSL_CITATION {"citationItems":[{"id":"ITEM-1","itemData":{"author":[{"dropping-particle":"","family":"Trathnigg","given":"Bernd","non-dropping-particle":"","parse-names":false,"suffix":""}],"id":"ITEM-1","issued":{"date-parts":[["2000"]]},"page":"8008-8034","title":"Size-exclusion Chromatography of Polymers","type":"article-journal"},"uris":["http://www.mendeley.com/documents/?uuid=bdfffae8-e1e5-432a-b2fe-218b8c0811be"]}],"mendeley":{"formattedCitation":"(Trathnigg, 2000)","plainTextFormattedCitation":"(Trathnigg, 2000)","previouslyFormattedCitation":"(Trathnigg, 2000)"},"properties":{"noteIndex":0},"schema":"https://github.com/citation-style-language/schema/raw/master/csl-citation.json"}</w:instrText>
      </w:r>
      <w:r w:rsidRPr="00C84B49">
        <w:rPr>
          <w:rFonts w:eastAsia="Times New Roman" w:cs="Times New Roman"/>
          <w:szCs w:val="24"/>
          <w:lang w:eastAsia="en-GB"/>
        </w:rPr>
        <w:fldChar w:fldCharType="separate"/>
      </w:r>
      <w:r w:rsidRPr="00C84B49">
        <w:rPr>
          <w:rFonts w:eastAsia="Times New Roman" w:cs="Times New Roman"/>
          <w:noProof/>
          <w:szCs w:val="24"/>
          <w:lang w:eastAsia="en-GB"/>
        </w:rPr>
        <w:t>(Trathnigg, 2000)</w:t>
      </w:r>
      <w:r w:rsidRPr="00C84B49">
        <w:rPr>
          <w:rFonts w:eastAsia="Times New Roman" w:cs="Times New Roman"/>
          <w:szCs w:val="24"/>
          <w:lang w:eastAsia="en-GB"/>
        </w:rPr>
        <w:fldChar w:fldCharType="end"/>
      </w:r>
      <w:r w:rsidRPr="00C84B49">
        <w:rPr>
          <w:rFonts w:eastAsia="Times New Roman" w:cs="Times New Roman"/>
          <w:szCs w:val="24"/>
          <w:lang w:eastAsia="en-GB"/>
        </w:rPr>
        <w:t xml:space="preserve">, the concurrent decrease in the estimated molecular weight and increase in D suggested that the </w:t>
      </w:r>
      <w:proofErr w:type="spellStart"/>
      <w:r w:rsidRPr="00C84B49">
        <w:rPr>
          <w:rFonts w:eastAsia="Times New Roman" w:cs="Times New Roman"/>
          <w:szCs w:val="24"/>
          <w:lang w:eastAsia="en-GB"/>
        </w:rPr>
        <w:t>deprotection</w:t>
      </w:r>
      <w:proofErr w:type="spellEnd"/>
      <w:r w:rsidRPr="00C84B49">
        <w:rPr>
          <w:rFonts w:eastAsia="Times New Roman" w:cs="Times New Roman"/>
          <w:szCs w:val="24"/>
          <w:lang w:eastAsia="en-GB"/>
        </w:rPr>
        <w:t xml:space="preserve"> treatment slightly affected the PEU integrity inducing the cleavage of its polymer chains. Additionally, this effect was dependent over TFA concentration within the CHCl</w:t>
      </w:r>
      <w:r w:rsidRPr="00C84B49">
        <w:rPr>
          <w:rFonts w:eastAsia="Times New Roman" w:cs="Times New Roman"/>
          <w:szCs w:val="24"/>
          <w:vertAlign w:val="subscript"/>
          <w:lang w:eastAsia="en-GB"/>
        </w:rPr>
        <w:t>3</w:t>
      </w:r>
      <w:r w:rsidRPr="00C84B49">
        <w:rPr>
          <w:rFonts w:eastAsia="Times New Roman" w:cs="Times New Roman"/>
          <w:szCs w:val="24"/>
          <w:lang w:eastAsia="en-GB"/>
        </w:rPr>
        <w:t xml:space="preserve">/TFA mixture, with </w:t>
      </w:r>
      <m:oMath>
        <m:sSub>
          <m:sSubPr>
            <m:ctrlPr>
              <w:rPr>
                <w:rFonts w:ascii="Cambria Math" w:hAnsi="Cambria Math" w:cs="Times New Roman"/>
                <w:szCs w:val="24"/>
              </w:rPr>
            </m:ctrlPr>
          </m:sSubPr>
          <m:e>
            <m:acc>
              <m:accPr>
                <m:chr m:val="̅"/>
                <m:ctrlPr>
                  <w:rPr>
                    <w:rFonts w:ascii="Cambria Math" w:hAnsi="Cambria Math" w:cs="Times New Roman"/>
                    <w:szCs w:val="24"/>
                  </w:rPr>
                </m:ctrlPr>
              </m:accPr>
              <m:e>
                <m:r>
                  <m:rPr>
                    <m:sty m:val="p"/>
                  </m:rPr>
                  <w:rPr>
                    <w:rFonts w:ascii="Cambria Math" w:hAnsi="Cambria Math" w:cs="Times New Roman"/>
                    <w:szCs w:val="24"/>
                  </w:rPr>
                  <m:t>M</m:t>
                </m:r>
              </m:e>
            </m:acc>
          </m:e>
          <m:sub>
            <m:r>
              <m:rPr>
                <m:sty m:val="p"/>
              </m:rPr>
              <w:rPr>
                <w:rFonts w:ascii="Cambria Math" w:hAnsi="Cambria Math" w:cs="Times New Roman"/>
                <w:szCs w:val="24"/>
              </w:rPr>
              <m:t>n</m:t>
            </m:r>
          </m:sub>
        </m:sSub>
      </m:oMath>
      <w:r w:rsidRPr="00C84B49">
        <w:rPr>
          <w:rFonts w:eastAsia="Times New Roman" w:cs="Times New Roman"/>
          <w:szCs w:val="24"/>
        </w:rPr>
        <w:t xml:space="preserve"> </w:t>
      </w:r>
      <w:r w:rsidRPr="00C84B49">
        <w:rPr>
          <w:rFonts w:eastAsia="Times New Roman" w:cs="Times New Roman"/>
          <w:szCs w:val="24"/>
          <w:lang w:eastAsia="en-GB"/>
        </w:rPr>
        <w:t xml:space="preserve">and D trends decreasing and increasing, respectively, with increasing TFA concentration and can be correlated to hydrolysis phenomena of ethylene oxide blocks of P407 occurring in strong acid conditions </w:t>
      </w:r>
      <w:r w:rsidRPr="00C84B49">
        <w:rPr>
          <w:rFonts w:eastAsia="Times New Roman" w:cs="Times New Roman"/>
          <w:szCs w:val="24"/>
          <w:lang w:eastAsia="en-GB"/>
        </w:rPr>
        <w:fldChar w:fldCharType="begin" w:fldLock="1"/>
      </w:r>
      <w:r w:rsidRPr="00C84B49">
        <w:rPr>
          <w:rFonts w:eastAsia="Times New Roman" w:cs="Times New Roman"/>
          <w:szCs w:val="24"/>
          <w:lang w:eastAsia="en-GB"/>
        </w:rPr>
        <w:instrText>ADDIN CSL_CITATION {"citationItems":[{"id":"ITEM-1","itemData":{"DOI":"10.1021/jp0634149","ISSN":"15206106","abstract":"The acid effect on the aggregation of poly(ethylene oxide)-poly(propylene oxide)-poly(ethylene oxide) block copolymers EO20PO 70EO20 has been investigated by transmission electron microscopy (TEM), particle size analyzer (PSA), Fourier transformed infrared, and fluorescence spectroscopy. The critical micellization temperature for Pluronic P123 in different HCl aqueous solutions increases with the increase of acid concentration. Additionally, the hydrolysis degradation of PEO blocks is observed in strong acid concentrations at higher temperatures. When the acid concentration is low, TEM and PSA show the increase of the micelle mean diameter and the decrease of the micelle polydispersity at room temperature, which demonstrate the extension of EO corona and tendency of uniform micelle size because of the charge repulsion. When under strong acid conditions, the aggregation of micelles through the protonated water bridges was observed. © 2006 American Chemical Society.","author":[{"dropping-particle":"","family":"Yang","given":"Bin","non-dropping-particle":"","parse-names":false,"suffix":""},{"dropping-particle":"","family":"Guo","given":"Chen","non-dropping-particle":"","parse-names":false,"suffix":""},{"dropping-particle":"","family":"Chen","given":"Shu","non-dropping-particle":"","parse-names":false,"suffix":""},{"dropping-particle":"","family":"Junhe","given":"Ma","non-dropping-particle":"","parse-names":false,"suffix":""},{"dropping-particle":"","family":"Wang","given":"Jing","non-dropping-particle":"","parse-names":false,"suffix":""},{"dropping-particle":"","family":"Liang","given":"Xiangfeng","non-dropping-particle":"","parse-names":false,"suffix":""},{"dropping-particle":"","family":"Zheng","given":"Lily","non-dropping-particle":"","parse-names":false,"suffix":""},{"dropping-particle":"","family":"Liu","given":"Huizhou","non-dropping-particle":"","parse-names":false,"suffix":""}],"container-title":"Journal of Physical Chemistry B","id":"ITEM-1","issue":"46","issued":{"date-parts":[["2006"]]},"page":"23068-23074","title":"Effect of acid on the aggregation of poly(ethylene oxide)-poly(propylene oxide)-poly(ethylene oxide) block copolymers","type":"article-journal","volume":"110"},"uris":["http://www.mendeley.com/documents/?uuid=40877de9-bdc9-4b89-be67-fc3996fc0f0a"]},{"id":"ITEM-2","itemData":{"DOI":"10.1016/j.solidstatesciences.2005.04.006","ISSN":"12932558","abstract":"The use of a reaction mixture, characterized by high dilution (H 2O/TEOS = 495), low to medium acid concentration (0.4-1.6 M HCl) and the presence of a cosurfactant (CTMABr), allows the synthesis of micron-sized particles of SBA-16 type mesoporous silica with different morphologies and structural characteristics. With a F127/TEOS molar ratio around 0.005 and a temperature between 70°C and 95°C, perfect rhombododecahedra (Ø 2-8 μm) are obtained. High acid concentration (1.6 M HCl) and/or temperature higher than 100°C produce a smoothening of the edges and lead to the formation of spherical particles. This morphology is also favoured by low F127/TEOS molar ratios and corresponds to a disordered mesoporous structure. At a temperature of 40°C or lower, the gel-like particles with poorly organized mesostructure are difficult to transform into well-organized materials. High F127/TEOS molar ratios lead to the same result. These different behaviours can be rationalized taking into account the strength of the interactions between the surfactant and the silica species which depends on the conformation of the hydrophilic poly-ethylene-oxide chains. Temperature and acid concentration are the main parameters to modify the conformation. But these two parameters are also responsible of the degradation of the Pluronic F127. © 2005 Elsevier SAS. All rights reserved.","author":[{"dropping-particle":"","family":"Mesa","given":"Monica","non-dropping-particle":"","parse-names":false,"suffix":""},{"dropping-particle":"","family":"Sierra","given":"Ligia","non-dropping-particle":"","parse-names":false,"suffix":""},{"dropping-particle":"","family":"Patarin","given":"Joël","non-dropping-particle":"","parse-names":false,"suffix":""},{"dropping-particle":"","family":"Guth","given":"Jean Louis","non-dropping-particle":"","parse-names":false,"suffix":""}],"container-title":"Solid State Sciences","id":"ITEM-2","issued":{"date-parts":[["2005"]]},"title":"Morphology and porosity characteristics control of SBA-16 mesoporous silica. Effect of the triblock surfactant Pluronic F127 degradation during the synthesis","type":"article-journal"},"uris":["http://www.mendeley.com/documents/?uuid=efb816bd-0a4d-4b8f-8836-890f3f6fab3c"]}],"mendeley":{"formattedCitation":"(Mesa et al., 2005; Yang et al., 2006)","plainTextFormattedCitation":"(Mesa et al., 2005; Yang et al., 2006)","previouslyFormattedCitation":"(Mesa et al., 2005; Yang et al., 2006)"},"properties":{"noteIndex":0},"schema":"https://github.com/citation-style-language/schema/raw/master/csl-citation.json"}</w:instrText>
      </w:r>
      <w:r w:rsidRPr="00C84B49">
        <w:rPr>
          <w:rFonts w:eastAsia="Times New Roman" w:cs="Times New Roman"/>
          <w:szCs w:val="24"/>
          <w:lang w:eastAsia="en-GB"/>
        </w:rPr>
        <w:fldChar w:fldCharType="separate"/>
      </w:r>
      <w:r w:rsidRPr="00C84B49">
        <w:rPr>
          <w:rFonts w:eastAsia="Times New Roman" w:cs="Times New Roman"/>
          <w:noProof/>
          <w:szCs w:val="24"/>
          <w:lang w:eastAsia="en-GB"/>
        </w:rPr>
        <w:t>(Mesa et al., 2005; Yang et al., 2006)</w:t>
      </w:r>
      <w:r w:rsidRPr="00C84B49">
        <w:rPr>
          <w:rFonts w:eastAsia="Times New Roman" w:cs="Times New Roman"/>
          <w:szCs w:val="24"/>
          <w:lang w:eastAsia="en-GB"/>
        </w:rPr>
        <w:fldChar w:fldCharType="end"/>
      </w:r>
      <w:r w:rsidRPr="00C84B49">
        <w:rPr>
          <w:rFonts w:eastAsia="Times New Roman" w:cs="Times New Roman"/>
          <w:szCs w:val="24"/>
          <w:lang w:eastAsia="en-GB"/>
        </w:rPr>
        <w:t xml:space="preserve">. </w:t>
      </w:r>
    </w:p>
    <w:p w14:paraId="55E80FDC" w14:textId="77777777" w:rsidR="001A221B" w:rsidRPr="00C84B49" w:rsidRDefault="001A221B" w:rsidP="00AE4467">
      <w:pPr>
        <w:spacing w:after="0"/>
        <w:jc w:val="center"/>
        <w:rPr>
          <w:rFonts w:eastAsia="Times New Roman" w:cs="Times New Roman"/>
          <w:szCs w:val="24"/>
          <w:lang w:val="en-GB" w:eastAsia="en-GB"/>
        </w:rPr>
      </w:pPr>
      <w:r w:rsidRPr="00C84B49">
        <w:rPr>
          <w:rFonts w:eastAsia="Times New Roman" w:cs="Times New Roman"/>
          <w:noProof/>
          <w:szCs w:val="24"/>
          <w:lang w:val="it-IT" w:eastAsia="it-IT"/>
        </w:rPr>
        <w:drawing>
          <wp:inline distT="0" distB="0" distL="0" distR="0" wp14:anchorId="4306F161" wp14:editId="7C66DCD1">
            <wp:extent cx="5897880" cy="2270760"/>
            <wp:effectExtent l="0" t="0" r="762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97880" cy="2270760"/>
                    </a:xfrm>
                    <a:prstGeom prst="rect">
                      <a:avLst/>
                    </a:prstGeom>
                  </pic:spPr>
                </pic:pic>
              </a:graphicData>
            </a:graphic>
          </wp:inline>
        </w:drawing>
      </w:r>
    </w:p>
    <w:p w14:paraId="42B55EE9" w14:textId="3265122C" w:rsidR="001A221B" w:rsidRPr="00C84B49" w:rsidRDefault="00C76A0D" w:rsidP="00AE4467">
      <w:pPr>
        <w:spacing w:before="0" w:line="276" w:lineRule="auto"/>
        <w:jc w:val="both"/>
        <w:rPr>
          <w:szCs w:val="24"/>
        </w:rPr>
      </w:pPr>
      <w:r>
        <w:rPr>
          <w:b/>
          <w:szCs w:val="24"/>
        </w:rPr>
        <w:t xml:space="preserve">Supplementary </w:t>
      </w:r>
      <w:r w:rsidRPr="00C84B49">
        <w:rPr>
          <w:b/>
          <w:szCs w:val="24"/>
        </w:rPr>
        <w:t>Figure S</w:t>
      </w:r>
      <w:r>
        <w:rPr>
          <w:b/>
          <w:szCs w:val="24"/>
        </w:rPr>
        <w:t>6</w:t>
      </w:r>
      <w:r w:rsidR="001A221B" w:rsidRPr="00C84B49">
        <w:rPr>
          <w:b/>
          <w:szCs w:val="24"/>
        </w:rPr>
        <w:t>.</w:t>
      </w:r>
      <w:r w:rsidR="001A221B" w:rsidRPr="00C84B49">
        <w:rPr>
          <w:szCs w:val="24"/>
        </w:rPr>
        <w:t xml:space="preserve"> </w:t>
      </w:r>
      <w:proofErr w:type="gramStart"/>
      <w:r w:rsidR="001A221B" w:rsidRPr="00C84B49">
        <w:rPr>
          <w:szCs w:val="24"/>
        </w:rPr>
        <w:t xml:space="preserve">Results of SEC analyses performed on </w:t>
      </w:r>
      <w:r w:rsidR="001A221B" w:rsidRPr="00C84B49">
        <w:rPr>
          <w:rFonts w:cs="Times New Roman"/>
          <w:szCs w:val="24"/>
        </w:rPr>
        <w:t xml:space="preserve">NHP407 (control) and SHP407 poly(ether urethane)s (SHP407_0%TFA, SHP407_5%TFA, SHP407_10%TFA and SHP407_20%TFA) synthesized by treating NHP407 in </w:t>
      </w:r>
      <w:r w:rsidR="001A221B" w:rsidRPr="00C84B49">
        <w:rPr>
          <w:rFonts w:eastAsia="Times New Roman" w:cs="Times New Roman"/>
          <w:szCs w:val="24"/>
          <w:lang w:val="en-GB" w:eastAsia="en-GB"/>
        </w:rPr>
        <w:t>CHCl</w:t>
      </w:r>
      <w:r w:rsidR="001A221B" w:rsidRPr="00C84B49">
        <w:rPr>
          <w:rFonts w:eastAsia="Times New Roman" w:cs="Times New Roman"/>
          <w:szCs w:val="24"/>
          <w:vertAlign w:val="subscript"/>
          <w:lang w:val="en-GB" w:eastAsia="en-GB"/>
        </w:rPr>
        <w:t>3</w:t>
      </w:r>
      <w:r w:rsidR="001A221B" w:rsidRPr="00C84B49">
        <w:rPr>
          <w:rFonts w:eastAsia="Times New Roman" w:cs="Times New Roman"/>
          <w:szCs w:val="24"/>
          <w:lang w:val="en-GB" w:eastAsia="en-GB"/>
        </w:rPr>
        <w:t xml:space="preserve">/TFA mixture at 100/0, 95/5, 90/10, 80/20 v/v. </w:t>
      </w:r>
      <w:r w:rsidR="001A221B" w:rsidRPr="00C84B49">
        <w:rPr>
          <w:rFonts w:eastAsia="Times New Roman" w:cs="Times New Roman"/>
          <w:b/>
          <w:szCs w:val="24"/>
          <w:lang w:val="en-GB" w:eastAsia="en-GB"/>
        </w:rPr>
        <w:t>(A)</w:t>
      </w:r>
      <w:r w:rsidR="001A221B" w:rsidRPr="00C84B49">
        <w:rPr>
          <w:rFonts w:eastAsia="Times New Roman" w:cs="Times New Roman"/>
          <w:szCs w:val="24"/>
          <w:lang w:val="en-GB" w:eastAsia="en-GB"/>
        </w:rPr>
        <w:t xml:space="preserve"> Trend of normalized refractive index (RI) as a function of elution time</w:t>
      </w:r>
      <w:r w:rsidR="001A221B" w:rsidRPr="00C84B49">
        <w:rPr>
          <w:rFonts w:cs="Times New Roman"/>
          <w:szCs w:val="24"/>
        </w:rPr>
        <w:t xml:space="preserve">; </w:t>
      </w:r>
      <w:r w:rsidR="001A221B" w:rsidRPr="00C84B49">
        <w:rPr>
          <w:rFonts w:cs="Times New Roman"/>
          <w:b/>
          <w:szCs w:val="24"/>
        </w:rPr>
        <w:t xml:space="preserve">(B) </w:t>
      </w:r>
      <w:r w:rsidR="001A221B" w:rsidRPr="00C84B49">
        <w:rPr>
          <w:rFonts w:cs="Times New Roman"/>
          <w:szCs w:val="24"/>
        </w:rPr>
        <w:t>Number average molecular weight (</w:t>
      </w:r>
      <m:oMath>
        <m:sSub>
          <m:sSubPr>
            <m:ctrlPr>
              <w:rPr>
                <w:rFonts w:ascii="Cambria Math" w:hAnsi="Cambria Math"/>
                <w:szCs w:val="24"/>
              </w:rPr>
            </m:ctrlPr>
          </m:sSubPr>
          <m:e>
            <m:acc>
              <m:accPr>
                <m:chr m:val="̅"/>
                <m:ctrlPr>
                  <w:rPr>
                    <w:rFonts w:ascii="Cambria Math" w:hAnsi="Cambria Math"/>
                    <w:szCs w:val="24"/>
                  </w:rPr>
                </m:ctrlPr>
              </m:accPr>
              <m:e>
                <m:r>
                  <m:rPr>
                    <m:sty m:val="p"/>
                  </m:rPr>
                  <w:rPr>
                    <w:rFonts w:ascii="Cambria Math" w:hAnsi="Cambria Math"/>
                    <w:szCs w:val="24"/>
                  </w:rPr>
                  <m:t>M</m:t>
                </m:r>
              </m:e>
            </m:acc>
          </m:e>
          <m:sub>
            <m:r>
              <m:rPr>
                <m:sty m:val="p"/>
              </m:rPr>
              <w:rPr>
                <w:rFonts w:ascii="Cambria Math" w:hAnsi="Cambria Math"/>
                <w:szCs w:val="24"/>
              </w:rPr>
              <m:t>n</m:t>
            </m:r>
          </m:sub>
        </m:sSub>
      </m:oMath>
      <w:r w:rsidR="008D0ED4">
        <w:rPr>
          <w:rFonts w:eastAsiaTheme="minorEastAsia" w:cs="Times New Roman"/>
          <w:szCs w:val="24"/>
        </w:rPr>
        <w:t>, bar chart</w:t>
      </w:r>
      <w:r w:rsidR="001A221B" w:rsidRPr="00C84B49">
        <w:rPr>
          <w:rFonts w:cs="Times New Roman"/>
          <w:szCs w:val="24"/>
        </w:rPr>
        <w:t xml:space="preserve">) and </w:t>
      </w:r>
      <w:proofErr w:type="spellStart"/>
      <w:r w:rsidR="001A221B" w:rsidRPr="00C84B49">
        <w:rPr>
          <w:rFonts w:cs="Times New Roman"/>
          <w:szCs w:val="24"/>
        </w:rPr>
        <w:t>polydispersity</w:t>
      </w:r>
      <w:proofErr w:type="spellEnd"/>
      <w:r w:rsidR="001A221B" w:rsidRPr="00C84B49">
        <w:rPr>
          <w:rFonts w:cs="Times New Roman"/>
          <w:szCs w:val="24"/>
        </w:rPr>
        <w:t xml:space="preserve"> index (D</w:t>
      </w:r>
      <w:r w:rsidR="008D0ED4">
        <w:rPr>
          <w:rFonts w:cs="Times New Roman"/>
          <w:szCs w:val="24"/>
        </w:rPr>
        <w:t>, dispersion graph</w:t>
      </w:r>
      <w:bookmarkStart w:id="0" w:name="_GoBack"/>
      <w:bookmarkEnd w:id="0"/>
      <w:r w:rsidR="001A221B" w:rsidRPr="00C84B49">
        <w:rPr>
          <w:rFonts w:cs="Times New Roman"/>
          <w:szCs w:val="24"/>
        </w:rPr>
        <w:t>) values.</w:t>
      </w:r>
      <w:proofErr w:type="gramEnd"/>
      <w:r w:rsidR="001A221B" w:rsidRPr="00C84B49">
        <w:rPr>
          <w:rFonts w:cs="Times New Roman"/>
          <w:szCs w:val="24"/>
        </w:rPr>
        <w:t xml:space="preserve"> </w:t>
      </w:r>
      <m:oMath>
        <m:sSub>
          <m:sSubPr>
            <m:ctrlPr>
              <w:rPr>
                <w:rFonts w:ascii="Cambria Math" w:hAnsi="Cambria Math"/>
                <w:szCs w:val="24"/>
              </w:rPr>
            </m:ctrlPr>
          </m:sSubPr>
          <m:e>
            <m:acc>
              <m:accPr>
                <m:chr m:val="̅"/>
                <m:ctrlPr>
                  <w:rPr>
                    <w:rFonts w:ascii="Cambria Math" w:hAnsi="Cambria Math"/>
                    <w:szCs w:val="24"/>
                  </w:rPr>
                </m:ctrlPr>
              </m:accPr>
              <m:e>
                <m:r>
                  <m:rPr>
                    <m:sty m:val="p"/>
                  </m:rPr>
                  <w:rPr>
                    <w:rFonts w:ascii="Cambria Math" w:hAnsi="Cambria Math"/>
                    <w:szCs w:val="24"/>
                  </w:rPr>
                  <m:t>M</m:t>
                </m:r>
              </m:e>
            </m:acc>
          </m:e>
          <m:sub>
            <m:r>
              <m:rPr>
                <m:sty m:val="p"/>
              </m:rPr>
              <w:rPr>
                <w:rFonts w:ascii="Cambria Math" w:hAnsi="Cambria Math"/>
                <w:szCs w:val="24"/>
              </w:rPr>
              <m:t>n</m:t>
            </m:r>
          </m:sub>
        </m:sSub>
        <m:r>
          <w:rPr>
            <w:rFonts w:ascii="Cambria Math" w:hAnsi="Cambria Math"/>
            <w:szCs w:val="24"/>
          </w:rPr>
          <m:t xml:space="preserve"> </m:t>
        </m:r>
      </m:oMath>
      <w:r w:rsidR="001A221B" w:rsidRPr="00C84B49">
        <w:rPr>
          <w:rFonts w:cs="Times New Roman"/>
          <w:szCs w:val="24"/>
        </w:rPr>
        <w:t xml:space="preserve">error has been set at ±10% according to </w:t>
      </w:r>
      <w:r w:rsidR="001A221B" w:rsidRPr="00C84B49">
        <w:rPr>
          <w:rFonts w:cs="Times New Roman"/>
          <w:szCs w:val="24"/>
        </w:rPr>
        <w:fldChar w:fldCharType="begin" w:fldLock="1"/>
      </w:r>
      <w:r w:rsidR="001A221B" w:rsidRPr="00C84B49">
        <w:rPr>
          <w:rFonts w:cs="Times New Roman"/>
          <w:szCs w:val="24"/>
        </w:rPr>
        <w:instrText>ADDIN CSL_CITATION {"citationItems":[{"id":"ITEM-1","itemData":{"author":[{"dropping-particle":"","family":"Trathnigg","given":"Bernd","non-dropping-particle":"","parse-names":false,"suffix":""}],"id":"ITEM-1","issued":{"date-parts":[["2000"]]},"page":"8008-8034","title":"Size-exclusion Chromatography of Polymers","type":"article-journal"},"uris":["http://www.mendeley.com/documents/?uuid=bdfffae8-e1e5-432a-b2fe-218b8c0811be"]}],"mendeley":{"formattedCitation":"(Trathnigg, 2000)","plainTextFormattedCitation":"(Trathnigg, 2000)","previouslyFormattedCitation":"(Trathnigg, 2000)"},"properties":{"noteIndex":0},"schema":"https://github.com/citation-style-language/schema/raw/master/csl-citation.json"}</w:instrText>
      </w:r>
      <w:r w:rsidR="001A221B" w:rsidRPr="00C84B49">
        <w:rPr>
          <w:rFonts w:cs="Times New Roman"/>
          <w:szCs w:val="24"/>
        </w:rPr>
        <w:fldChar w:fldCharType="separate"/>
      </w:r>
      <w:r w:rsidR="001A221B" w:rsidRPr="00C84B49">
        <w:rPr>
          <w:rFonts w:cs="Times New Roman"/>
          <w:noProof/>
          <w:szCs w:val="24"/>
        </w:rPr>
        <w:t>(Trathnigg, 2000)</w:t>
      </w:r>
      <w:r w:rsidR="001A221B" w:rsidRPr="00C84B49">
        <w:rPr>
          <w:rFonts w:cs="Times New Roman"/>
          <w:szCs w:val="24"/>
        </w:rPr>
        <w:fldChar w:fldCharType="end"/>
      </w:r>
      <w:r w:rsidR="001A221B" w:rsidRPr="00C84B49">
        <w:rPr>
          <w:rFonts w:cs="Times New Roman"/>
          <w:szCs w:val="24"/>
        </w:rPr>
        <w:t>.</w:t>
      </w:r>
    </w:p>
    <w:p w14:paraId="577402E4" w14:textId="56DAA2FE" w:rsidR="001A221B" w:rsidRPr="00C84B49" w:rsidRDefault="001A221B" w:rsidP="00AE4467">
      <w:pPr>
        <w:spacing w:line="276" w:lineRule="auto"/>
        <w:jc w:val="both"/>
        <w:rPr>
          <w:rFonts w:eastAsia="Times New Roman" w:cs="Times New Roman"/>
          <w:szCs w:val="24"/>
          <w:lang w:eastAsia="en-GB"/>
        </w:rPr>
      </w:pPr>
      <w:r w:rsidRPr="00C84B49">
        <w:rPr>
          <w:rFonts w:cs="Times New Roman"/>
          <w:szCs w:val="24"/>
        </w:rPr>
        <w:t xml:space="preserve">Combining SEC and </w:t>
      </w:r>
      <w:r w:rsidRPr="00C84B49">
        <w:rPr>
          <w:rFonts w:eastAsia="Times New Roman" w:cs="Times New Roman"/>
          <w:szCs w:val="24"/>
          <w:vertAlign w:val="superscript"/>
          <w:lang w:eastAsia="en-GB"/>
        </w:rPr>
        <w:t>1</w:t>
      </w:r>
      <w:r w:rsidRPr="00C84B49">
        <w:rPr>
          <w:rFonts w:eastAsia="Times New Roman" w:cs="Times New Roman"/>
          <w:szCs w:val="24"/>
          <w:lang w:eastAsia="en-GB"/>
        </w:rPr>
        <w:t>H</w:t>
      </w:r>
      <w:r w:rsidR="00C84B49">
        <w:rPr>
          <w:rFonts w:eastAsia="Times New Roman" w:cs="Times New Roman"/>
          <w:szCs w:val="24"/>
          <w:lang w:eastAsia="en-GB"/>
        </w:rPr>
        <w:t xml:space="preserve"> </w:t>
      </w:r>
      <w:r w:rsidRPr="00C84B49">
        <w:rPr>
          <w:rFonts w:eastAsia="Times New Roman" w:cs="Times New Roman"/>
          <w:szCs w:val="24"/>
          <w:lang w:eastAsia="en-GB"/>
        </w:rPr>
        <w:t>NMR results, the CHCl</w:t>
      </w:r>
      <w:r w:rsidRPr="00C84B49">
        <w:rPr>
          <w:rFonts w:eastAsia="Times New Roman" w:cs="Times New Roman"/>
          <w:szCs w:val="24"/>
          <w:vertAlign w:val="subscript"/>
          <w:lang w:eastAsia="en-GB"/>
        </w:rPr>
        <w:t>3</w:t>
      </w:r>
      <w:r w:rsidRPr="00C84B49">
        <w:rPr>
          <w:rFonts w:eastAsia="Times New Roman" w:cs="Times New Roman"/>
          <w:szCs w:val="24"/>
          <w:lang w:eastAsia="en-GB"/>
        </w:rPr>
        <w:t xml:space="preserve">/TFA mixture at 90/10 volume ratio turned out to be the best compromise to maximize </w:t>
      </w:r>
      <w:proofErr w:type="spellStart"/>
      <w:r w:rsidRPr="00C84B49">
        <w:rPr>
          <w:rFonts w:eastAsia="Times New Roman" w:cs="Times New Roman"/>
          <w:szCs w:val="24"/>
          <w:lang w:eastAsia="en-GB"/>
        </w:rPr>
        <w:t>Boc</w:t>
      </w:r>
      <w:proofErr w:type="spellEnd"/>
      <w:r w:rsidRPr="00C84B49">
        <w:rPr>
          <w:rFonts w:eastAsia="Times New Roman" w:cs="Times New Roman"/>
          <w:szCs w:val="24"/>
          <w:lang w:eastAsia="en-GB"/>
        </w:rPr>
        <w:t xml:space="preserve">-caging group </w:t>
      </w:r>
      <w:proofErr w:type="spellStart"/>
      <w:r w:rsidRPr="00C84B49">
        <w:rPr>
          <w:rFonts w:eastAsia="Times New Roman" w:cs="Times New Roman"/>
          <w:szCs w:val="24"/>
          <w:lang w:eastAsia="en-GB"/>
        </w:rPr>
        <w:t>deprotection</w:t>
      </w:r>
      <w:proofErr w:type="spellEnd"/>
      <w:r w:rsidRPr="00C84B49">
        <w:rPr>
          <w:rFonts w:eastAsia="Times New Roman" w:cs="Times New Roman"/>
          <w:szCs w:val="24"/>
          <w:lang w:eastAsia="en-GB"/>
        </w:rPr>
        <w:t>, while minimizing polymer degradation.</w:t>
      </w:r>
    </w:p>
    <w:p w14:paraId="1024B655" w14:textId="6B73994B" w:rsidR="00D52290" w:rsidRDefault="00D52290" w:rsidP="00AE4467">
      <w:pPr>
        <w:spacing w:line="276" w:lineRule="auto"/>
        <w:jc w:val="both"/>
        <w:rPr>
          <w:rFonts w:eastAsia="Times New Roman" w:cs="Times New Roman"/>
          <w:szCs w:val="24"/>
          <w:lang w:eastAsia="en-GB"/>
        </w:rPr>
      </w:pPr>
      <w:r w:rsidRPr="00C84B49">
        <w:rPr>
          <w:rFonts w:eastAsia="Times New Roman" w:cs="Times New Roman"/>
          <w:szCs w:val="24"/>
          <w:lang w:eastAsia="en-GB"/>
        </w:rPr>
        <w:t xml:space="preserve">In the recently published work by </w:t>
      </w:r>
      <w:proofErr w:type="spellStart"/>
      <w:r w:rsidRPr="00C84B49">
        <w:rPr>
          <w:rFonts w:eastAsia="Times New Roman" w:cs="Times New Roman"/>
          <w:szCs w:val="24"/>
          <w:lang w:eastAsia="en-GB"/>
        </w:rPr>
        <w:t>Laurano</w:t>
      </w:r>
      <w:proofErr w:type="spellEnd"/>
      <w:r w:rsidRPr="00C84B49">
        <w:rPr>
          <w:rFonts w:eastAsia="Times New Roman" w:cs="Times New Roman"/>
          <w:szCs w:val="24"/>
          <w:lang w:eastAsia="en-GB"/>
        </w:rPr>
        <w:t xml:space="preserve"> et al. the same </w:t>
      </w:r>
      <w:proofErr w:type="spellStart"/>
      <w:r w:rsidRPr="00C84B49">
        <w:rPr>
          <w:rFonts w:eastAsia="Times New Roman" w:cs="Times New Roman"/>
          <w:szCs w:val="24"/>
          <w:lang w:eastAsia="en-GB"/>
        </w:rPr>
        <w:t>deprotection</w:t>
      </w:r>
      <w:proofErr w:type="spellEnd"/>
      <w:r w:rsidRPr="00C84B49">
        <w:rPr>
          <w:rFonts w:eastAsia="Times New Roman" w:cs="Times New Roman"/>
          <w:szCs w:val="24"/>
          <w:lang w:eastAsia="en-GB"/>
        </w:rPr>
        <w:t xml:space="preserve"> conditions were employed to </w:t>
      </w:r>
      <w:proofErr w:type="spellStart"/>
      <w:r w:rsidRPr="00C84B49">
        <w:rPr>
          <w:rFonts w:eastAsia="Times New Roman" w:cs="Times New Roman"/>
          <w:szCs w:val="24"/>
          <w:lang w:eastAsia="en-GB"/>
        </w:rPr>
        <w:t>deprotect</w:t>
      </w:r>
      <w:proofErr w:type="spellEnd"/>
      <w:r w:rsidRPr="00C84B49">
        <w:rPr>
          <w:rFonts w:eastAsia="Times New Roman" w:cs="Times New Roman"/>
          <w:szCs w:val="24"/>
          <w:lang w:eastAsia="en-GB"/>
        </w:rPr>
        <w:t xml:space="preserve"> a similar PEU containing secondary amines along its polymer chains </w:t>
      </w:r>
      <w:r w:rsidRPr="00C84B49">
        <w:rPr>
          <w:rFonts w:eastAsia="Times New Roman" w:cs="Times New Roman"/>
          <w:szCs w:val="24"/>
          <w:lang w:eastAsia="en-GB"/>
        </w:rPr>
        <w:fldChar w:fldCharType="begin" w:fldLock="1"/>
      </w:r>
      <w:r w:rsidRPr="00C84B49">
        <w:rPr>
          <w:rFonts w:eastAsia="Times New Roman" w:cs="Times New Roman"/>
          <w:szCs w:val="24"/>
          <w:lang w:eastAsia="en-GB"/>
        </w:rPr>
        <w:instrText>ADDIN CSL_CITATION {"citationItems":[{"id":"ITEM-1","itemData":{"DOI":"10.1016/j.reactfunctpolym.2019.104413","ISSN":"13815148","abstract":"During the past few decades, thiomers have attracted interest as responsive-polymers in the design of smart hydrogels, due to thiol reactivity to physical stimuli (i.e., pH, oxygen, UV/Vis irradiation). However, thiomer potentialities have been limited by their low thiolation degree and lack of multi-responsiveness to physical cues. In this work, a new class of thiomers with tailored thiolation degree and sensitivity to multiple physical stimuli was developed. To this aim, a polyurethane (33,000 Da) was synthesised from Poloxamer® 407, 1,6-diisocyanatohexane and N-Boc diethanolamine. Secondary amino groups were exposed through Boc-removal (yield 80%, assessed by 1H NMR) giving up to 4.5 × 1020 ± 1.8 × 1019 –NH units/gpolymer (Orange II Sodium Salt colorimetric assay) without polymer chemical degradation. Polymer thermo-responsiveness was proved by the increase in micelle hydrodynamic diameter upon system heating up to 45 °C and through estimated critical micellar temperatures. Thioglycolic acid grafting to exposed amines via carbodiimide chemistry was optimised to give up to 1.73 × 1019 thiols/gpolymer (Ellman's method), while minimising disulphide bond formation. Finally, the best storage conditions against oxidation were investigated by quantifying free thiols at different time points.","author":[{"dropping-particle":"","family":"Laurano","given":"Rossella","non-dropping-particle":"","parse-names":false,"suffix":""},{"dropping-particle":"","family":"Cassino","given":"Claudio","non-dropping-particle":"","parse-names":false,"suffix":""},{"dropping-particle":"","family":"Ciardelli","given":"Gianluca","non-dropping-particle":"","parse-names":false,"suffix":""},{"dropping-particle":"","family":"Chiono","given":"Valeria","non-dropping-particle":"","parse-names":false,"suffix":""},{"dropping-particle":"","family":"Boffito","given":"Monica","non-dropping-particle":"","parse-names":false,"suffix":""}],"container-title":"Reactive and Functional Polymers","id":"ITEM-1","issued":{"date-parts":[["2020"]]},"title":"Polyurethane-based thiomers: A new multifunctional copolymer platform for biomedical applications","type":"article-journal"},"uris":["http://www.mendeley.com/documents/?uuid=5e5deb60-3eb8-4ff6-a998-5914a504ba3f"]}],"mendeley":{"formattedCitation":"(Laurano et al., 2020)","plainTextFormattedCitation":"(Laurano et al., 2020)","previouslyFormattedCitation":"(Laurano et al., 2020)"},"properties":{"noteIndex":0},"schema":"https://github.com/citation-style-language/schema/raw/master/csl-citation.json"}</w:instrText>
      </w:r>
      <w:r w:rsidRPr="00C84B49">
        <w:rPr>
          <w:rFonts w:eastAsia="Times New Roman" w:cs="Times New Roman"/>
          <w:szCs w:val="24"/>
          <w:lang w:eastAsia="en-GB"/>
        </w:rPr>
        <w:fldChar w:fldCharType="separate"/>
      </w:r>
      <w:r w:rsidRPr="00C84B49">
        <w:rPr>
          <w:rFonts w:eastAsia="Times New Roman" w:cs="Times New Roman"/>
          <w:noProof/>
          <w:szCs w:val="24"/>
          <w:lang w:eastAsia="en-GB"/>
        </w:rPr>
        <w:t>(Laurano et al., 2020)</w:t>
      </w:r>
      <w:r w:rsidRPr="00C84B49">
        <w:rPr>
          <w:rFonts w:eastAsia="Times New Roman" w:cs="Times New Roman"/>
          <w:szCs w:val="24"/>
          <w:lang w:eastAsia="en-GB"/>
        </w:rPr>
        <w:fldChar w:fldCharType="end"/>
      </w:r>
      <w:r w:rsidRPr="00C84B49">
        <w:rPr>
          <w:rFonts w:eastAsia="Times New Roman" w:cs="Times New Roman"/>
          <w:szCs w:val="24"/>
          <w:lang w:eastAsia="en-GB"/>
        </w:rPr>
        <w:t xml:space="preserve">. However, in that work only 80% </w:t>
      </w:r>
      <w:proofErr w:type="spellStart"/>
      <w:r w:rsidRPr="00C84B49">
        <w:rPr>
          <w:rFonts w:eastAsia="Times New Roman" w:cs="Times New Roman"/>
          <w:szCs w:val="24"/>
          <w:lang w:eastAsia="en-GB"/>
        </w:rPr>
        <w:t>deprotection</w:t>
      </w:r>
      <w:proofErr w:type="spellEnd"/>
      <w:r w:rsidRPr="00C84B49">
        <w:rPr>
          <w:rFonts w:eastAsia="Times New Roman" w:cs="Times New Roman"/>
          <w:szCs w:val="24"/>
          <w:lang w:eastAsia="en-GB"/>
        </w:rPr>
        <w:t xml:space="preserve"> yield was achieved probably because of the higher amount of amino groups present in each polymer chain (the authors adopted a modified synthesis protocol to maximize the yield of the chain extension reaction). This result suggests the need to optimize the </w:t>
      </w:r>
      <w:proofErr w:type="spellStart"/>
      <w:r w:rsidRPr="00C84B49">
        <w:rPr>
          <w:rFonts w:eastAsia="Times New Roman" w:cs="Times New Roman"/>
          <w:szCs w:val="24"/>
          <w:lang w:eastAsia="en-GB"/>
        </w:rPr>
        <w:t>deprotection</w:t>
      </w:r>
      <w:proofErr w:type="spellEnd"/>
      <w:r w:rsidRPr="00C84B49">
        <w:rPr>
          <w:rFonts w:eastAsia="Times New Roman" w:cs="Times New Roman"/>
          <w:szCs w:val="24"/>
          <w:lang w:eastAsia="en-GB"/>
        </w:rPr>
        <w:t xml:space="preserve"> reaction depending on the number of </w:t>
      </w:r>
      <w:proofErr w:type="spellStart"/>
      <w:r w:rsidRPr="00C84B49">
        <w:rPr>
          <w:rFonts w:eastAsia="Times New Roman" w:cs="Times New Roman"/>
          <w:szCs w:val="24"/>
          <w:lang w:eastAsia="en-GB"/>
        </w:rPr>
        <w:t>Boc</w:t>
      </w:r>
      <w:proofErr w:type="spellEnd"/>
      <w:r w:rsidRPr="00C84B49">
        <w:rPr>
          <w:rFonts w:eastAsia="Times New Roman" w:cs="Times New Roman"/>
          <w:szCs w:val="24"/>
          <w:lang w:eastAsia="en-GB"/>
        </w:rPr>
        <w:t xml:space="preserve"> groups to be removed (by increasing TFA content with increasing the number of amino groups to be </w:t>
      </w:r>
      <w:proofErr w:type="spellStart"/>
      <w:r w:rsidRPr="00C84B49">
        <w:rPr>
          <w:rFonts w:eastAsia="Times New Roman" w:cs="Times New Roman"/>
          <w:szCs w:val="24"/>
          <w:lang w:eastAsia="en-GB"/>
        </w:rPr>
        <w:t>deprotected</w:t>
      </w:r>
      <w:proofErr w:type="spellEnd"/>
      <w:r w:rsidRPr="00C84B49">
        <w:rPr>
          <w:rFonts w:eastAsia="Times New Roman" w:cs="Times New Roman"/>
          <w:szCs w:val="24"/>
          <w:lang w:eastAsia="en-GB"/>
        </w:rPr>
        <w:t xml:space="preserve">, while saving the polymer from degradation). </w:t>
      </w:r>
      <w:proofErr w:type="gramStart"/>
      <w:r w:rsidRPr="00C84B49">
        <w:rPr>
          <w:rFonts w:eastAsia="Times New Roman" w:cs="Times New Roman"/>
          <w:szCs w:val="24"/>
          <w:lang w:eastAsia="en-GB"/>
        </w:rPr>
        <w:t xml:space="preserve">On the other hand, compared to the protocol published by </w:t>
      </w:r>
      <w:proofErr w:type="spellStart"/>
      <w:r w:rsidRPr="00C84B49">
        <w:rPr>
          <w:rFonts w:eastAsia="Times New Roman" w:cs="Times New Roman"/>
          <w:szCs w:val="24"/>
          <w:lang w:eastAsia="en-GB"/>
        </w:rPr>
        <w:t>Caddeo</w:t>
      </w:r>
      <w:proofErr w:type="spellEnd"/>
      <w:r w:rsidRPr="00C84B49">
        <w:rPr>
          <w:rFonts w:eastAsia="Times New Roman" w:cs="Times New Roman"/>
          <w:szCs w:val="24"/>
          <w:lang w:eastAsia="en-GB"/>
        </w:rPr>
        <w:t xml:space="preserve"> et al. </w:t>
      </w:r>
      <w:r w:rsidRPr="00C84B49">
        <w:rPr>
          <w:rFonts w:eastAsia="Times New Roman" w:cs="Times New Roman"/>
          <w:szCs w:val="24"/>
          <w:lang w:eastAsia="en-GB"/>
        </w:rPr>
        <w:fldChar w:fldCharType="begin" w:fldLock="1"/>
      </w:r>
      <w:r w:rsidRPr="00C84B49">
        <w:rPr>
          <w:rFonts w:eastAsia="Times New Roman" w:cs="Times New Roman"/>
          <w:szCs w:val="24"/>
          <w:lang w:eastAsia="en-GB"/>
        </w:rPr>
        <w:instrText>ADDIN CSL_CITATION {"citationItems":[{"id":"ITEM-1","itemData":{"DOI":"10.1016/j.msec.2018.11.012","ISSN":"18730191","abstract":"In the present work, a new combination of synthetic and natural biomaterials is proposed for bone tissue engineering (BTE) applications. In order to mimic the inorganic and organic phases of bone extracellular matrix (ECM), a bioactive glass-ceramic deriving from a SiO 2 –P 2 O 5 –CaO–MgO–Na 2 O–K 2 O parent glass, acting as a substrate in form of a slice, was surface-functionalised with a type I collagen-based coating. In particular, the collagen was blended with a water soluble polyurethane (PUR), synthesised from poly(ethylene glycol), 1,6-hexamethylene diisocyanate and N-BOC-serinol. The PUR was designed to expose amino groups on the polymeric chain, which can be exploited for the blend stabilisation through crosslinking. The newly synthesised PUR demonstrated to be non-cytotoxic, as assessed by a biological test with MG-63 osteoblast-like cells. The collagen/PUR blend showed good biocompatibility as well. The polymeric coating on the glass-ceramic samples was produced by surface-silanisation, followed by further chemical grafting of the blend, using genipin as a crosslinker. The glass-ceramic surface was characterised at each functionalisation step, demonstrating that the procedure allowed obtaining a covalent link between the blend and the substrate. Finally, biological tests performed using human periosteal derived precursor cells demonstrated that the proposed polymer-coated material was a good substrate for bone cell adhesion and growth, and a good candidate to mimic the composite nature of the bone ECM.","author":[{"dropping-particle":"","family":"Caddeo","given":"Silvia","non-dropping-particle":"","parse-names":false,"suffix":""},{"dropping-particle":"","family":"Mattioli-Belmonte","given":"Monica","non-dropping-particle":"","parse-names":false,"suffix":""},{"dropping-particle":"","family":"Cassino","given":"Claudio","non-dropping-particle":"","parse-names":false,"suffix":""},{"dropping-particle":"","family":"Barbani","given":"Niccoletta","non-dropping-particle":"","parse-names":false,"suffix":""},{"dropping-particle":"","family":"Dicarlo","given":"Manuela","non-dropping-particle":"","parse-names":false,"suffix":""},{"dropping-particle":"","family":"Gentile","given":"Piergiorgio","non-dropping-particle":"","parse-names":false,"suffix":""},{"dropping-particle":"","family":"Baino","given":"Francesco","non-dropping-particle":"","parse-names":false,"suffix":""},{"dropping-particle":"","family":"Sartori","given":"Susanna","non-dropping-particle":"","parse-names":false,"suffix":""},{"dropping-particle":"","family":"Vitale-Brovarone","given":"Chiara","non-dropping-particle":"","parse-names":false,"suffix":""},{"dropping-particle":"","family":"Ciardelli","given":"Gianluca","non-dropping-particle":"","parse-names":false,"suffix":""}],"container-title":"Materials Science and Engineering C","id":"ITEM-1","issued":{"date-parts":[["2019"]]},"title":"Newly-designed collagen/polyurethane bioartificial blend as coating on bioactive glass-ceramics for bone tissue engineering applications","type":"article-journal"},"uris":["http://www.mendeley.com/documents/?uuid=ceeff865-8871-473d-b2b0-e5cd6a6f9b6f"]}],"mendeley":{"formattedCitation":"(Caddeo et al., 2019)","plainTextFormattedCitation":"(Caddeo et al., 2019)","previouslyFormattedCitation":"(Caddeo et al., 2019)"},"properties":{"noteIndex":0},"schema":"https://github.com/citation-style-language/schema/raw/master/csl-citation.json"}</w:instrText>
      </w:r>
      <w:r w:rsidRPr="00C84B49">
        <w:rPr>
          <w:rFonts w:eastAsia="Times New Roman" w:cs="Times New Roman"/>
          <w:szCs w:val="24"/>
          <w:lang w:eastAsia="en-GB"/>
        </w:rPr>
        <w:fldChar w:fldCharType="separate"/>
      </w:r>
      <w:r w:rsidRPr="00C84B49">
        <w:rPr>
          <w:rFonts w:eastAsia="Times New Roman" w:cs="Times New Roman"/>
          <w:noProof/>
          <w:szCs w:val="24"/>
          <w:lang w:eastAsia="en-GB"/>
        </w:rPr>
        <w:t>(Caddeo et al., 2019)</w:t>
      </w:r>
      <w:r w:rsidRPr="00C84B49">
        <w:rPr>
          <w:rFonts w:eastAsia="Times New Roman" w:cs="Times New Roman"/>
          <w:szCs w:val="24"/>
          <w:lang w:eastAsia="en-GB"/>
        </w:rPr>
        <w:fldChar w:fldCharType="end"/>
      </w:r>
      <w:r w:rsidRPr="00C84B49">
        <w:rPr>
          <w:rFonts w:eastAsia="Times New Roman" w:cs="Times New Roman"/>
          <w:szCs w:val="24"/>
          <w:lang w:eastAsia="en-GB"/>
        </w:rPr>
        <w:t xml:space="preserve"> for a PEO-based PEU, in the present work we succeeded in achieving the same degree of </w:t>
      </w:r>
      <w:proofErr w:type="spellStart"/>
      <w:r w:rsidRPr="00C84B49">
        <w:rPr>
          <w:rFonts w:eastAsia="Times New Roman" w:cs="Times New Roman"/>
          <w:szCs w:val="24"/>
          <w:lang w:eastAsia="en-GB"/>
        </w:rPr>
        <w:t>deprotection</w:t>
      </w:r>
      <w:proofErr w:type="spellEnd"/>
      <w:r w:rsidRPr="00C84B49">
        <w:rPr>
          <w:rFonts w:eastAsia="Times New Roman" w:cs="Times New Roman"/>
          <w:szCs w:val="24"/>
          <w:lang w:eastAsia="en-GB"/>
        </w:rPr>
        <w:t xml:space="preserve"> using a significantly lower amount of TFA; however, not in depth </w:t>
      </w:r>
      <w:r w:rsidRPr="00C84B49">
        <w:rPr>
          <w:rFonts w:eastAsia="Times New Roman" w:cs="Times New Roman"/>
          <w:szCs w:val="24"/>
          <w:lang w:eastAsia="en-GB"/>
        </w:rPr>
        <w:lastRenderedPageBreak/>
        <w:t>comparison can be made as in that work neither SEC analyses nor exposed amino groups quantification were performed.</w:t>
      </w:r>
      <w:proofErr w:type="gramEnd"/>
    </w:p>
    <w:p w14:paraId="009ECCC4" w14:textId="69E3F7AD" w:rsidR="0097473A" w:rsidRPr="00C84B49" w:rsidRDefault="0097473A" w:rsidP="00AE4467">
      <w:pPr>
        <w:pStyle w:val="Titolo1"/>
        <w:spacing w:line="276" w:lineRule="auto"/>
      </w:pPr>
      <w:r w:rsidRPr="00C84B49">
        <w:t>Characterization of SIP, MSNs and MSN-CS</w:t>
      </w:r>
    </w:p>
    <w:p w14:paraId="4FEE5A7D" w14:textId="77777777" w:rsidR="0097473A" w:rsidRPr="00C84B49" w:rsidRDefault="0097473A" w:rsidP="00AE4467">
      <w:pPr>
        <w:spacing w:line="276" w:lineRule="auto"/>
        <w:rPr>
          <w:b/>
          <w:u w:val="single"/>
        </w:rPr>
      </w:pPr>
      <w:r w:rsidRPr="00C84B49">
        <w:rPr>
          <w:b/>
          <w:u w:val="single"/>
        </w:rPr>
        <w:t>Materials and Methods</w:t>
      </w:r>
    </w:p>
    <w:p w14:paraId="08D39670" w14:textId="583A6917" w:rsidR="0097473A" w:rsidRPr="00C84B49" w:rsidRDefault="0097473A" w:rsidP="00AE4467">
      <w:pPr>
        <w:pStyle w:val="Titolo1"/>
        <w:numPr>
          <w:ilvl w:val="0"/>
          <w:numId w:val="0"/>
        </w:numPr>
        <w:spacing w:line="276" w:lineRule="auto"/>
        <w:ind w:left="567" w:hanging="567"/>
        <w:rPr>
          <w:b w:val="0"/>
          <w:i/>
        </w:rPr>
      </w:pPr>
      <w:r w:rsidRPr="00C84B49">
        <w:rPr>
          <w:b w:val="0"/>
          <w:i/>
        </w:rPr>
        <w:t>Physico-chemical characterization of SIP, MSNs and MSN-CS</w:t>
      </w:r>
    </w:p>
    <w:p w14:paraId="2B07B866" w14:textId="5198300D" w:rsidR="0097473A" w:rsidRPr="00C84B49" w:rsidRDefault="0097473A" w:rsidP="00AE4467">
      <w:pPr>
        <w:spacing w:line="276" w:lineRule="auto"/>
        <w:jc w:val="both"/>
      </w:pPr>
      <w:r w:rsidRPr="00C84B49">
        <w:t xml:space="preserve">The successful synthesis of compounds </w:t>
      </w:r>
      <w:r w:rsidRPr="00C84B49">
        <w:rPr>
          <w:b/>
        </w:rPr>
        <w:t>1</w:t>
      </w:r>
      <w:r w:rsidRPr="00C84B49">
        <w:t xml:space="preserve">, </w:t>
      </w:r>
      <w:r w:rsidRPr="00C84B49">
        <w:rPr>
          <w:b/>
        </w:rPr>
        <w:t>2</w:t>
      </w:r>
      <w:r w:rsidRPr="00C84B49">
        <w:t xml:space="preserve"> and </w:t>
      </w:r>
      <w:r w:rsidRPr="00C84B49">
        <w:rPr>
          <w:b/>
        </w:rPr>
        <w:t xml:space="preserve">3 </w:t>
      </w:r>
      <w:proofErr w:type="gramStart"/>
      <w:r w:rsidRPr="00C84B49">
        <w:t>was verified</w:t>
      </w:r>
      <w:proofErr w:type="gramEnd"/>
      <w:r w:rsidRPr="00C84B49">
        <w:t xml:space="preserve"> by </w:t>
      </w:r>
      <w:r w:rsidRPr="00C84B49">
        <w:rPr>
          <w:vertAlign w:val="superscript"/>
        </w:rPr>
        <w:t>1</w:t>
      </w:r>
      <w:r w:rsidR="00AE4467">
        <w:t xml:space="preserve">H </w:t>
      </w:r>
      <w:r w:rsidRPr="00C84B49">
        <w:t xml:space="preserve">NMR spectroscopy using a </w:t>
      </w:r>
      <w:proofErr w:type="spellStart"/>
      <w:r w:rsidRPr="00C84B49">
        <w:t>Bruker</w:t>
      </w:r>
      <w:proofErr w:type="spellEnd"/>
      <w:r w:rsidRPr="00C84B49">
        <w:t xml:space="preserve"> AV250 MHz in anhydrous </w:t>
      </w:r>
      <w:proofErr w:type="spellStart"/>
      <w:r w:rsidRPr="00C84B49">
        <w:t>deuterated</w:t>
      </w:r>
      <w:proofErr w:type="spellEnd"/>
      <w:r w:rsidRPr="00C84B49">
        <w:t xml:space="preserve"> dimethyl </w:t>
      </w:r>
      <w:proofErr w:type="spellStart"/>
      <w:r w:rsidRPr="00C84B49">
        <w:t>sulfoxide</w:t>
      </w:r>
      <w:proofErr w:type="spellEnd"/>
      <w:r w:rsidRPr="00C84B49">
        <w:t xml:space="preserve"> (DMSO-d6, 99.8% D, Sigma Aldrich). The spectra resulted from 16 scans, with 10 s relaxation time. </w:t>
      </w:r>
    </w:p>
    <w:p w14:paraId="2DC0B542" w14:textId="17A84FF6" w:rsidR="003F636D" w:rsidRPr="00C84B49" w:rsidRDefault="0097473A" w:rsidP="00AE4467">
      <w:pPr>
        <w:spacing w:line="276" w:lineRule="auto"/>
        <w:jc w:val="both"/>
      </w:pPr>
      <w:r w:rsidRPr="00C84B49">
        <w:t xml:space="preserve">MSNs and MSN-CS samples were characterized by Power X-Ray Diffraction (XRD) analyses, ATR-FTIR spectroscopy, </w:t>
      </w:r>
      <w:proofErr w:type="gramStart"/>
      <w:r w:rsidRPr="00C84B49">
        <w:t>Nitrogen</w:t>
      </w:r>
      <w:proofErr w:type="gramEnd"/>
      <w:r w:rsidRPr="00C84B49">
        <w:t xml:space="preserve"> adsorption and desorption isotherms recording, </w:t>
      </w:r>
      <w:r w:rsidR="003F636D" w:rsidRPr="00C84B49">
        <w:t xml:space="preserve">and </w:t>
      </w:r>
      <w:proofErr w:type="spellStart"/>
      <w:r w:rsidR="003F636D" w:rsidRPr="00C84B49">
        <w:t>Thermogravimetric</w:t>
      </w:r>
      <w:proofErr w:type="spellEnd"/>
      <w:r w:rsidR="003F636D" w:rsidRPr="00C84B49">
        <w:t xml:space="preserve"> (TG) analyses. All characterizations </w:t>
      </w:r>
      <w:proofErr w:type="gramStart"/>
      <w:r w:rsidR="003F636D" w:rsidRPr="00C84B49">
        <w:t>were performed</w:t>
      </w:r>
      <w:proofErr w:type="gramEnd"/>
      <w:r w:rsidR="003F636D" w:rsidRPr="00C84B49">
        <w:t xml:space="preserve"> according to the protocols </w:t>
      </w:r>
      <w:r w:rsidR="00AE4467">
        <w:t xml:space="preserve">described in </w:t>
      </w:r>
      <w:r w:rsidR="003F636D" w:rsidRPr="00C84B49">
        <w:t>the paper.</w:t>
      </w:r>
    </w:p>
    <w:p w14:paraId="6F3DC576" w14:textId="5F8C1AC1" w:rsidR="003F636D" w:rsidRPr="00C84B49" w:rsidRDefault="003F636D" w:rsidP="00AE4467">
      <w:pPr>
        <w:spacing w:line="276" w:lineRule="auto"/>
        <w:jc w:val="both"/>
      </w:pPr>
      <w:proofErr w:type="gramStart"/>
      <w:r w:rsidRPr="00C84B49">
        <w:t xml:space="preserve">MSNs were also characterized by </w:t>
      </w:r>
      <w:r w:rsidR="0097473A" w:rsidRPr="00C84B49">
        <w:t>Dynamic Light Scattering (DLS) analyses, Scanning Electron Microscopy (SEM) and Transmission Electron Microscopy (TEM) tests</w:t>
      </w:r>
      <w:proofErr w:type="gramEnd"/>
      <w:r w:rsidR="0097473A" w:rsidRPr="00C84B49">
        <w:t xml:space="preserve">. </w:t>
      </w:r>
      <w:r w:rsidRPr="00C84B49">
        <w:t xml:space="preserve">In detail, particle size distribution </w:t>
      </w:r>
      <w:proofErr w:type="gramStart"/>
      <w:r w:rsidRPr="00C84B49">
        <w:t>was evaluated</w:t>
      </w:r>
      <w:proofErr w:type="gramEnd"/>
      <w:r w:rsidRPr="00C84B49">
        <w:t xml:space="preserve"> by analyzing a particle dispersion (1 mg/ml, 5 min sonication before analysis) with a </w:t>
      </w:r>
      <w:proofErr w:type="spellStart"/>
      <w:r w:rsidRPr="00C84B49">
        <w:t>Zetasizer</w:t>
      </w:r>
      <w:proofErr w:type="spellEnd"/>
      <w:r w:rsidRPr="00C84B49">
        <w:t xml:space="preserve"> </w:t>
      </w:r>
      <w:proofErr w:type="spellStart"/>
      <w:r w:rsidRPr="00C84B49">
        <w:t>Nano</w:t>
      </w:r>
      <w:proofErr w:type="spellEnd"/>
      <w:r w:rsidRPr="00C84B49">
        <w:t xml:space="preserve"> ZS (Malvern Instrument Ltd.) Dynamic Light Scattering (DLS) instrument. </w:t>
      </w:r>
      <w:proofErr w:type="gramStart"/>
      <w:r w:rsidRPr="00C84B49">
        <w:t>Morphological characterization was performed by Scanning Electron Microscopy (SEM) and Transmission Electron Microscopy (TEM) analyses recorded on JEOL JSM 6335F and JEOL JEM 2100 instruments, respectively</w:t>
      </w:r>
      <w:proofErr w:type="gramEnd"/>
      <w:r w:rsidRPr="00C84B49">
        <w:t xml:space="preserve">. </w:t>
      </w:r>
    </w:p>
    <w:p w14:paraId="00925A13" w14:textId="49A18556" w:rsidR="0097473A" w:rsidRPr="00C84B49" w:rsidRDefault="00177963" w:rsidP="00AE4467">
      <w:pPr>
        <w:spacing w:line="276" w:lineRule="auto"/>
        <w:rPr>
          <w:b/>
          <w:u w:val="single"/>
        </w:rPr>
      </w:pPr>
      <w:r w:rsidRPr="00C84B49">
        <w:rPr>
          <w:b/>
          <w:u w:val="single"/>
        </w:rPr>
        <w:t>R</w:t>
      </w:r>
      <w:r w:rsidR="0097473A" w:rsidRPr="00C84B49">
        <w:rPr>
          <w:b/>
          <w:u w:val="single"/>
        </w:rPr>
        <w:t>esults and Discussion</w:t>
      </w:r>
    </w:p>
    <w:p w14:paraId="5888137A" w14:textId="77777777" w:rsidR="00177963" w:rsidRPr="00C84B49" w:rsidRDefault="00177963" w:rsidP="00AE4467">
      <w:pPr>
        <w:pStyle w:val="Titolo3"/>
        <w:numPr>
          <w:ilvl w:val="0"/>
          <w:numId w:val="0"/>
        </w:numPr>
        <w:spacing w:after="200" w:line="276" w:lineRule="auto"/>
        <w:ind w:left="567" w:hanging="567"/>
        <w:rPr>
          <w:b w:val="0"/>
          <w:i/>
        </w:rPr>
      </w:pPr>
      <w:r w:rsidRPr="00C84B49">
        <w:rPr>
          <w:b w:val="0"/>
          <w:i/>
        </w:rPr>
        <w:t>Characterization of as-synthesized self-</w:t>
      </w:r>
      <w:proofErr w:type="spellStart"/>
      <w:r w:rsidRPr="00C84B49">
        <w:rPr>
          <w:b w:val="0"/>
          <w:i/>
        </w:rPr>
        <w:t>immolative</w:t>
      </w:r>
      <w:proofErr w:type="spellEnd"/>
      <w:r w:rsidRPr="00C84B49">
        <w:rPr>
          <w:b w:val="0"/>
          <w:i/>
        </w:rPr>
        <w:t xml:space="preserve"> polymer  </w:t>
      </w:r>
    </w:p>
    <w:p w14:paraId="7760233B" w14:textId="2FFD8B34" w:rsidR="00177963" w:rsidRPr="00C84B49" w:rsidRDefault="00177963" w:rsidP="00AE4467">
      <w:pPr>
        <w:spacing w:line="276" w:lineRule="auto"/>
        <w:jc w:val="both"/>
      </w:pPr>
      <w:r w:rsidRPr="00C84B49">
        <w:rPr>
          <w:rFonts w:cs="Times New Roman"/>
          <w:szCs w:val="24"/>
        </w:rPr>
        <w:t>ABA was employed as building block for SIP synthesis owing to its well-known self-</w:t>
      </w:r>
      <w:proofErr w:type="spellStart"/>
      <w:r w:rsidRPr="00C84B49">
        <w:rPr>
          <w:rFonts w:cs="Times New Roman"/>
          <w:szCs w:val="24"/>
        </w:rPr>
        <w:t>immolative</w:t>
      </w:r>
      <w:proofErr w:type="spellEnd"/>
      <w:r w:rsidRPr="00C84B49">
        <w:rPr>
          <w:rFonts w:cs="Times New Roman"/>
          <w:szCs w:val="24"/>
        </w:rPr>
        <w:t xml:space="preserve"> properties </w:t>
      </w:r>
      <w:r w:rsidRPr="00C84B49">
        <w:rPr>
          <w:rFonts w:cs="Times New Roman"/>
          <w:szCs w:val="24"/>
        </w:rPr>
        <w:fldChar w:fldCharType="begin" w:fldLock="1"/>
      </w:r>
      <w:r w:rsidRPr="00C84B49">
        <w:rPr>
          <w:rFonts w:cs="Times New Roman"/>
          <w:szCs w:val="24"/>
        </w:rPr>
        <w:instrText>ADDIN CSL_CITATION {"citationItems":[{"id":"ITEM-1","itemData":{"author":[{"dropping-particle":"","family":"Müller","given":"Ivonne A","non-dropping-particle":"","parse-names":false,"suffix":""},{"dropping-particle":"","family":"Kratz","given":"Felix","non-dropping-particle":"","parse-names":false,"suffix":""},{"dropping-particle":"","family":"Jung","given":"Manfred","non-dropping-particle":"","parse-names":false,"suffix":""},{"dropping-particle":"","family":"Warnecke","given":"André","non-dropping-particle":"","parse-names":false,"suffix":""}],"id":"ITEM-1","issued":{"date-parts":[["2010"]]},"page":"4371-4374","title":"Schiff bases derived from p-aminobenzyl alcohol as trigger groups for pH-dependent prodrug activation","type":"article-journal","volume":"51"},"uris":["http://www.mendeley.com/documents/?uuid=5a07981f-9148-49b2-83f7-06758e4b41a6"]},{"id":"ITEM-2","itemData":{"author":[{"dropping-particle":"","family":"Toki","given":"Brian E","non-dropping-particle":"","parse-names":false,"suffix":""},{"dropping-particle":"","family":"Cerveny","given":"Charles G","non-dropping-particle":"","parse-names":false,"suffix":""},{"dropping-particle":"","family":"Wahl","given":"Alan F","non-dropping-particle":"","parse-names":false,"suffix":""},{"dropping-particle":"","family":"Senter","given":"Peter D","non-dropping-particle":"","parse-names":false,"suffix":""}],"container-title":"Journal of Organic Chemistry","id":"ITEM-2","issued":{"date-parts":[["2002"]]},"page":"1866-1872","title":"Protease-Mediated Fragmentation of p-Amidobenzyl Ethers: A New Strategy for the Activation of Anticancer Prodrugs","type":"article-journal","volume":"67"},"uris":["http://www.mendeley.com/documents/?uuid=14827adb-91fe-4b51-98b8-8eedd4cb6155"]}],"mendeley":{"formattedCitation":"(Toki et al., 2002; Müller et al., 2010)","plainTextFormattedCitation":"(Toki et al., 2002; Müller et al., 2010)","previouslyFormattedCitation":"(Toki et al., 2002; Müller et al., 2010)"},"properties":{"noteIndex":0},"schema":"https://github.com/citation-style-language/schema/raw/master/csl-citation.json"}</w:instrText>
      </w:r>
      <w:r w:rsidRPr="00C84B49">
        <w:rPr>
          <w:rFonts w:cs="Times New Roman"/>
          <w:szCs w:val="24"/>
        </w:rPr>
        <w:fldChar w:fldCharType="separate"/>
      </w:r>
      <w:r w:rsidRPr="00C84B49">
        <w:rPr>
          <w:rFonts w:cs="Times New Roman"/>
          <w:noProof/>
          <w:szCs w:val="24"/>
        </w:rPr>
        <w:t>(Toki et al., 2002; Müller et al., 2010)</w:t>
      </w:r>
      <w:r w:rsidRPr="00C84B49">
        <w:rPr>
          <w:rFonts w:cs="Times New Roman"/>
          <w:szCs w:val="24"/>
        </w:rPr>
        <w:fldChar w:fldCharType="end"/>
      </w:r>
      <w:r w:rsidRPr="00C84B49">
        <w:rPr>
          <w:rFonts w:cs="Times New Roman"/>
          <w:szCs w:val="24"/>
        </w:rPr>
        <w:t>. The synthesis of SIP involved the polymerization of a self-</w:t>
      </w:r>
      <w:proofErr w:type="spellStart"/>
      <w:r w:rsidRPr="00C84B49">
        <w:rPr>
          <w:rFonts w:cs="Times New Roman"/>
          <w:szCs w:val="24"/>
        </w:rPr>
        <w:t>immolative</w:t>
      </w:r>
      <w:proofErr w:type="spellEnd"/>
      <w:r w:rsidRPr="00C84B49">
        <w:rPr>
          <w:rFonts w:cs="Times New Roman"/>
          <w:szCs w:val="24"/>
        </w:rPr>
        <w:t xml:space="preserve"> monomer in the presence of a tin catalyst. Then, the polymer chain </w:t>
      </w:r>
      <w:proofErr w:type="gramStart"/>
      <w:r w:rsidRPr="00C84B49">
        <w:rPr>
          <w:rFonts w:cs="Times New Roman"/>
          <w:szCs w:val="24"/>
        </w:rPr>
        <w:t>was endowed</w:t>
      </w:r>
      <w:proofErr w:type="gramEnd"/>
      <w:r w:rsidRPr="00C84B49">
        <w:rPr>
          <w:rFonts w:cs="Times New Roman"/>
          <w:szCs w:val="24"/>
        </w:rPr>
        <w:t xml:space="preserve"> with pH-responsiveness using a triggering monomer as end-cap for the polymer chain. Compound </w:t>
      </w:r>
      <w:proofErr w:type="gramStart"/>
      <w:r w:rsidRPr="00C84B49">
        <w:rPr>
          <w:rFonts w:cs="Times New Roman"/>
          <w:b/>
          <w:szCs w:val="24"/>
        </w:rPr>
        <w:t>1</w:t>
      </w:r>
      <w:proofErr w:type="gramEnd"/>
      <w:r w:rsidRPr="00C84B49">
        <w:rPr>
          <w:rFonts w:cs="Times New Roman"/>
          <w:b/>
          <w:szCs w:val="24"/>
        </w:rPr>
        <w:t xml:space="preserve"> </w:t>
      </w:r>
      <w:r w:rsidRPr="00C84B49">
        <w:rPr>
          <w:rFonts w:cs="Times New Roman"/>
          <w:szCs w:val="24"/>
        </w:rPr>
        <w:t xml:space="preserve">was obtained by reacting ABA with phenyl </w:t>
      </w:r>
      <w:proofErr w:type="spellStart"/>
      <w:r w:rsidRPr="00C84B49">
        <w:rPr>
          <w:rFonts w:cs="Times New Roman"/>
          <w:szCs w:val="24"/>
        </w:rPr>
        <w:t>chloroformate</w:t>
      </w:r>
      <w:proofErr w:type="spellEnd"/>
      <w:r w:rsidRPr="00C84B49">
        <w:rPr>
          <w:rFonts w:cs="Times New Roman"/>
          <w:szCs w:val="24"/>
        </w:rPr>
        <w:t xml:space="preserve">. In parallel, compound </w:t>
      </w:r>
      <w:proofErr w:type="gramStart"/>
      <w:r w:rsidRPr="00C84B49">
        <w:rPr>
          <w:rFonts w:cs="Times New Roman"/>
          <w:b/>
          <w:szCs w:val="24"/>
        </w:rPr>
        <w:t>2</w:t>
      </w:r>
      <w:proofErr w:type="gramEnd"/>
      <w:r w:rsidRPr="00C84B49">
        <w:rPr>
          <w:rFonts w:cs="Times New Roman"/>
          <w:b/>
          <w:szCs w:val="24"/>
        </w:rPr>
        <w:t xml:space="preserve"> </w:t>
      </w:r>
      <w:r w:rsidRPr="00C84B49">
        <w:rPr>
          <w:rFonts w:cs="Times New Roman"/>
          <w:szCs w:val="24"/>
        </w:rPr>
        <w:t>resulted from the reaction of ABA with BOC</w:t>
      </w:r>
      <w:r w:rsidRPr="00C84B49">
        <w:rPr>
          <w:rFonts w:cs="Times New Roman"/>
          <w:szCs w:val="24"/>
          <w:vertAlign w:val="subscript"/>
        </w:rPr>
        <w:t>2</w:t>
      </w:r>
      <w:r w:rsidRPr="00C84B49">
        <w:rPr>
          <w:rFonts w:cs="Times New Roman"/>
          <w:szCs w:val="24"/>
        </w:rPr>
        <w:t xml:space="preserve">O, yielding a monomer with the trigger already incorporated. Finally, the synthesis of </w:t>
      </w:r>
      <w:r w:rsidR="00AE4467">
        <w:rPr>
          <w:rFonts w:cs="Times New Roman"/>
          <w:szCs w:val="24"/>
        </w:rPr>
        <w:t xml:space="preserve">the </w:t>
      </w:r>
      <w:r w:rsidRPr="00C84B49">
        <w:rPr>
          <w:rFonts w:cs="Times New Roman"/>
          <w:szCs w:val="24"/>
        </w:rPr>
        <w:t>pH-res</w:t>
      </w:r>
      <w:r w:rsidR="00AE4467">
        <w:rPr>
          <w:rFonts w:cs="Times New Roman"/>
          <w:szCs w:val="24"/>
        </w:rPr>
        <w:t>ponsive self-</w:t>
      </w:r>
      <w:proofErr w:type="spellStart"/>
      <w:r w:rsidR="00AE4467">
        <w:rPr>
          <w:rFonts w:cs="Times New Roman"/>
          <w:szCs w:val="24"/>
        </w:rPr>
        <w:t>immolative</w:t>
      </w:r>
      <w:proofErr w:type="spellEnd"/>
      <w:r w:rsidR="00AE4467">
        <w:rPr>
          <w:rFonts w:cs="Times New Roman"/>
          <w:szCs w:val="24"/>
        </w:rPr>
        <w:t xml:space="preserve"> polymer</w:t>
      </w:r>
      <w:r w:rsidRPr="00C84B49">
        <w:rPr>
          <w:rFonts w:cs="Times New Roman"/>
          <w:szCs w:val="24"/>
        </w:rPr>
        <w:t xml:space="preserve"> </w:t>
      </w:r>
      <w:proofErr w:type="gramStart"/>
      <w:r w:rsidRPr="00C84B49">
        <w:rPr>
          <w:rFonts w:cs="Times New Roman"/>
          <w:szCs w:val="24"/>
        </w:rPr>
        <w:t>was mediated</w:t>
      </w:r>
      <w:proofErr w:type="gramEnd"/>
      <w:r w:rsidRPr="00C84B49">
        <w:rPr>
          <w:rFonts w:cs="Times New Roman"/>
          <w:szCs w:val="24"/>
        </w:rPr>
        <w:t xml:space="preserve"> by DBTDL using compound </w:t>
      </w:r>
      <w:r w:rsidRPr="00C84B49">
        <w:rPr>
          <w:rFonts w:cs="Times New Roman"/>
          <w:b/>
          <w:szCs w:val="24"/>
        </w:rPr>
        <w:t>1</w:t>
      </w:r>
      <w:r w:rsidRPr="00C84B49">
        <w:rPr>
          <w:rFonts w:cs="Times New Roman"/>
          <w:szCs w:val="24"/>
        </w:rPr>
        <w:t xml:space="preserve"> as monomer and compound </w:t>
      </w:r>
      <w:r w:rsidRPr="00C84B49">
        <w:rPr>
          <w:rFonts w:cs="Times New Roman"/>
          <w:b/>
          <w:szCs w:val="24"/>
        </w:rPr>
        <w:t xml:space="preserve">2 </w:t>
      </w:r>
      <w:r w:rsidRPr="00C84B49">
        <w:rPr>
          <w:rFonts w:cs="Times New Roman"/>
          <w:szCs w:val="24"/>
        </w:rPr>
        <w:t>as trigger. The successful synthesis of the pH-responsive self-</w:t>
      </w:r>
      <w:proofErr w:type="spellStart"/>
      <w:r w:rsidRPr="00C84B49">
        <w:rPr>
          <w:rFonts w:cs="Times New Roman"/>
          <w:szCs w:val="24"/>
        </w:rPr>
        <w:t>immolative</w:t>
      </w:r>
      <w:proofErr w:type="spellEnd"/>
      <w:r w:rsidRPr="00C84B49">
        <w:rPr>
          <w:rFonts w:cs="Times New Roman"/>
          <w:szCs w:val="24"/>
        </w:rPr>
        <w:t xml:space="preserve"> polymer (compound </w:t>
      </w:r>
      <w:r w:rsidRPr="00C84B49">
        <w:rPr>
          <w:rFonts w:cs="Times New Roman"/>
          <w:b/>
          <w:szCs w:val="24"/>
        </w:rPr>
        <w:t>3</w:t>
      </w:r>
      <w:r w:rsidRPr="00C84B49">
        <w:rPr>
          <w:rFonts w:cs="Times New Roman"/>
          <w:szCs w:val="24"/>
        </w:rPr>
        <w:t xml:space="preserve">) and of its starting reagents (i.e., compound </w:t>
      </w:r>
      <w:r w:rsidRPr="00C84B49">
        <w:rPr>
          <w:rFonts w:cs="Times New Roman"/>
          <w:b/>
          <w:szCs w:val="24"/>
        </w:rPr>
        <w:t>1</w:t>
      </w:r>
      <w:r w:rsidRPr="00C84B49">
        <w:rPr>
          <w:rFonts w:cs="Times New Roman"/>
          <w:szCs w:val="24"/>
        </w:rPr>
        <w:t xml:space="preserve"> and compound </w:t>
      </w:r>
      <w:r w:rsidRPr="00C84B49">
        <w:rPr>
          <w:rFonts w:cs="Times New Roman"/>
          <w:b/>
          <w:szCs w:val="24"/>
        </w:rPr>
        <w:t>2</w:t>
      </w:r>
      <w:r w:rsidRPr="00C84B49">
        <w:rPr>
          <w:rFonts w:cs="Times New Roman"/>
          <w:szCs w:val="24"/>
        </w:rPr>
        <w:t xml:space="preserve">) was verified by the appearance of the expected signals in </w:t>
      </w:r>
      <w:r w:rsidRPr="00C84B49">
        <w:rPr>
          <w:rFonts w:cs="Times New Roman"/>
          <w:szCs w:val="24"/>
          <w:vertAlign w:val="superscript"/>
        </w:rPr>
        <w:t>1</w:t>
      </w:r>
      <w:r w:rsidRPr="00C84B49">
        <w:rPr>
          <w:rFonts w:cs="Times New Roman"/>
          <w:szCs w:val="24"/>
        </w:rPr>
        <w:t>H</w:t>
      </w:r>
      <w:r w:rsidR="00AE4467">
        <w:rPr>
          <w:rFonts w:cs="Times New Roman"/>
          <w:szCs w:val="24"/>
        </w:rPr>
        <w:t xml:space="preserve"> </w:t>
      </w:r>
      <w:r w:rsidRPr="00C84B49">
        <w:rPr>
          <w:rFonts w:cs="Times New Roman"/>
          <w:szCs w:val="24"/>
        </w:rPr>
        <w:t>NMR spectra, which also proved the absence of undesired by-products and residual unreacted reagents (</w:t>
      </w:r>
      <w:r w:rsidR="00C76A0D">
        <w:rPr>
          <w:b/>
          <w:szCs w:val="24"/>
        </w:rPr>
        <w:t xml:space="preserve">Supplementary </w:t>
      </w:r>
      <w:r w:rsidR="00C76A0D" w:rsidRPr="00C84B49">
        <w:rPr>
          <w:b/>
          <w:szCs w:val="24"/>
        </w:rPr>
        <w:t>Figure S</w:t>
      </w:r>
      <w:r w:rsidR="00C76A0D">
        <w:rPr>
          <w:b/>
          <w:szCs w:val="24"/>
        </w:rPr>
        <w:t>7</w:t>
      </w:r>
      <w:r w:rsidRPr="00C84B49">
        <w:rPr>
          <w:rFonts w:cs="Times New Roman"/>
          <w:szCs w:val="24"/>
        </w:rPr>
        <w:t xml:space="preserve">). The molecular weight of compound </w:t>
      </w:r>
      <w:proofErr w:type="gramStart"/>
      <w:r w:rsidRPr="00C84B49">
        <w:rPr>
          <w:rFonts w:cs="Times New Roman"/>
          <w:b/>
          <w:szCs w:val="24"/>
        </w:rPr>
        <w:t>3</w:t>
      </w:r>
      <w:proofErr w:type="gramEnd"/>
      <w:r w:rsidRPr="00C84B49">
        <w:rPr>
          <w:rFonts w:cs="Times New Roman"/>
          <w:szCs w:val="24"/>
        </w:rPr>
        <w:t xml:space="preserve"> (i.e., the SIP) was calculated from </w:t>
      </w:r>
      <w:r w:rsidRPr="00C84B49">
        <w:rPr>
          <w:rFonts w:cs="Times New Roman"/>
          <w:szCs w:val="24"/>
          <w:vertAlign w:val="superscript"/>
        </w:rPr>
        <w:t>1</w:t>
      </w:r>
      <w:r w:rsidRPr="00C84B49">
        <w:rPr>
          <w:rFonts w:cs="Times New Roman"/>
          <w:szCs w:val="24"/>
        </w:rPr>
        <w:t>H</w:t>
      </w:r>
      <w:r w:rsidR="00AE4467">
        <w:rPr>
          <w:rFonts w:cs="Times New Roman"/>
          <w:szCs w:val="24"/>
        </w:rPr>
        <w:t xml:space="preserve"> </w:t>
      </w:r>
      <w:r w:rsidRPr="00C84B49">
        <w:rPr>
          <w:rFonts w:cs="Times New Roman"/>
          <w:szCs w:val="24"/>
        </w:rPr>
        <w:t xml:space="preserve">NMR spectrum. The number of monomers per polymer chain </w:t>
      </w:r>
      <w:proofErr w:type="gramStart"/>
      <w:r w:rsidRPr="00C84B49">
        <w:rPr>
          <w:rFonts w:cs="Times New Roman"/>
          <w:szCs w:val="24"/>
        </w:rPr>
        <w:t>was calculated</w:t>
      </w:r>
      <w:proofErr w:type="gramEnd"/>
      <w:r w:rsidRPr="00C84B49">
        <w:rPr>
          <w:rFonts w:cs="Times New Roman"/>
          <w:szCs w:val="24"/>
        </w:rPr>
        <w:t xml:space="preserve"> through the ratio “</w:t>
      </w:r>
      <w:proofErr w:type="spellStart"/>
      <w:r w:rsidRPr="00C84B49">
        <w:rPr>
          <w:rFonts w:cs="Times New Roman"/>
          <w:szCs w:val="24"/>
        </w:rPr>
        <w:t>benzylic</w:t>
      </w:r>
      <w:proofErr w:type="spellEnd"/>
      <w:r w:rsidRPr="00C84B49">
        <w:rPr>
          <w:rFonts w:cs="Times New Roman"/>
          <w:szCs w:val="24"/>
        </w:rPr>
        <w:t xml:space="preserve"> hydrogens at the molecule tail </w:t>
      </w:r>
      <w:r w:rsidRPr="00C84B49">
        <w:rPr>
          <w:rFonts w:cs="Times New Roman"/>
          <w:i/>
          <w:szCs w:val="24"/>
        </w:rPr>
        <w:t>vs</w:t>
      </w:r>
      <w:r w:rsidRPr="00C84B49">
        <w:rPr>
          <w:rFonts w:cs="Times New Roman"/>
          <w:szCs w:val="24"/>
        </w:rPr>
        <w:t xml:space="preserve"> those in the polymeric chain”. An average synthesis led to SIP molecules with </w:t>
      </w:r>
      <w:r w:rsidRPr="00C84B49">
        <w:rPr>
          <w:rFonts w:cs="Times New Roman"/>
          <w:i/>
          <w:szCs w:val="24"/>
        </w:rPr>
        <w:t>ca.</w:t>
      </w:r>
      <w:r w:rsidRPr="00C84B49">
        <w:rPr>
          <w:rFonts w:cs="Times New Roman"/>
          <w:szCs w:val="24"/>
        </w:rPr>
        <w:t xml:space="preserve"> 20 units (</w:t>
      </w:r>
      <w:r w:rsidRPr="00C84B49">
        <w:rPr>
          <w:rFonts w:cs="Times New Roman"/>
          <w:i/>
          <w:szCs w:val="24"/>
        </w:rPr>
        <w:t>ca.</w:t>
      </w:r>
      <w:r w:rsidRPr="00C84B49">
        <w:rPr>
          <w:rFonts w:cs="Times New Roman"/>
          <w:szCs w:val="24"/>
        </w:rPr>
        <w:t xml:space="preserve"> 3300 g/</w:t>
      </w:r>
      <w:proofErr w:type="spellStart"/>
      <w:r w:rsidRPr="00C84B49">
        <w:rPr>
          <w:rFonts w:cs="Times New Roman"/>
          <w:szCs w:val="24"/>
        </w:rPr>
        <w:t>mol</w:t>
      </w:r>
      <w:proofErr w:type="spellEnd"/>
      <w:r w:rsidRPr="00C84B49">
        <w:rPr>
          <w:rFonts w:cs="Times New Roman"/>
          <w:szCs w:val="24"/>
        </w:rPr>
        <w:t>).</w:t>
      </w:r>
    </w:p>
    <w:p w14:paraId="3E348E90" w14:textId="77777777" w:rsidR="00177963" w:rsidRPr="00C84B49" w:rsidRDefault="00177963" w:rsidP="00AE4467">
      <w:pPr>
        <w:spacing w:line="276" w:lineRule="auto"/>
      </w:pPr>
    </w:p>
    <w:p w14:paraId="014DF52C" w14:textId="77777777" w:rsidR="00177963" w:rsidRPr="00C84B49" w:rsidRDefault="00177963" w:rsidP="00AE4467">
      <w:pPr>
        <w:spacing w:after="0" w:line="276" w:lineRule="auto"/>
        <w:jc w:val="center"/>
      </w:pPr>
      <w:r w:rsidRPr="00C84B49">
        <w:rPr>
          <w:noProof/>
          <w:lang w:val="it-IT" w:eastAsia="it-IT"/>
        </w:rPr>
        <w:drawing>
          <wp:inline distT="0" distB="0" distL="0" distR="0" wp14:anchorId="2A3CE05D" wp14:editId="7C782B4F">
            <wp:extent cx="3413760" cy="7690104"/>
            <wp:effectExtent l="0" t="0" r="0" b="635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S4.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13760" cy="7690104"/>
                    </a:xfrm>
                    <a:prstGeom prst="rect">
                      <a:avLst/>
                    </a:prstGeom>
                  </pic:spPr>
                </pic:pic>
              </a:graphicData>
            </a:graphic>
          </wp:inline>
        </w:drawing>
      </w:r>
    </w:p>
    <w:p w14:paraId="26C337B5" w14:textId="0FC486F9" w:rsidR="00177963" w:rsidRPr="00C84B49" w:rsidRDefault="00C76A0D" w:rsidP="00AE4467">
      <w:pPr>
        <w:spacing w:before="0" w:line="276" w:lineRule="auto"/>
        <w:jc w:val="both"/>
        <w:rPr>
          <w:rFonts w:cs="Times New Roman"/>
          <w:szCs w:val="24"/>
        </w:rPr>
      </w:pPr>
      <w:r>
        <w:rPr>
          <w:b/>
          <w:szCs w:val="24"/>
        </w:rPr>
        <w:t xml:space="preserve">Supplementary </w:t>
      </w:r>
      <w:r w:rsidRPr="00C84B49">
        <w:rPr>
          <w:b/>
          <w:szCs w:val="24"/>
        </w:rPr>
        <w:t>Figure S</w:t>
      </w:r>
      <w:r>
        <w:rPr>
          <w:b/>
          <w:szCs w:val="24"/>
        </w:rPr>
        <w:t>7</w:t>
      </w:r>
      <w:r w:rsidR="00177963" w:rsidRPr="00C84B49">
        <w:rPr>
          <w:rFonts w:cs="Times New Roman"/>
          <w:b/>
          <w:w w:val="108"/>
          <w:szCs w:val="24"/>
        </w:rPr>
        <w:t xml:space="preserve">. </w:t>
      </w:r>
      <w:proofErr w:type="gramStart"/>
      <w:r w:rsidR="00177963" w:rsidRPr="00C84B49">
        <w:rPr>
          <w:rFonts w:cs="Times New Roman"/>
          <w:w w:val="108"/>
          <w:szCs w:val="24"/>
          <w:vertAlign w:val="superscript"/>
        </w:rPr>
        <w:t>1</w:t>
      </w:r>
      <w:r w:rsidR="00AE4467">
        <w:rPr>
          <w:rFonts w:cs="Times New Roman"/>
          <w:w w:val="108"/>
          <w:szCs w:val="24"/>
        </w:rPr>
        <w:t>H</w:t>
      </w:r>
      <w:proofErr w:type="gramEnd"/>
      <w:r w:rsidR="00AE4467">
        <w:rPr>
          <w:rFonts w:cs="Times New Roman"/>
          <w:w w:val="108"/>
          <w:szCs w:val="24"/>
        </w:rPr>
        <w:t xml:space="preserve"> </w:t>
      </w:r>
      <w:r w:rsidR="00177963" w:rsidRPr="00C84B49">
        <w:rPr>
          <w:rFonts w:cs="Times New Roman"/>
          <w:w w:val="108"/>
          <w:szCs w:val="24"/>
        </w:rPr>
        <w:t xml:space="preserve">NMR spectra of: </w:t>
      </w:r>
      <w:r w:rsidR="00177963" w:rsidRPr="00C84B49">
        <w:rPr>
          <w:rFonts w:cs="Times New Roman"/>
          <w:b/>
          <w:w w:val="108"/>
          <w:szCs w:val="24"/>
        </w:rPr>
        <w:t>A)</w:t>
      </w:r>
      <w:r w:rsidR="00177963" w:rsidRPr="00C84B49">
        <w:rPr>
          <w:rFonts w:cs="Times New Roman"/>
          <w:w w:val="108"/>
          <w:szCs w:val="24"/>
        </w:rPr>
        <w:t xml:space="preserve"> </w:t>
      </w:r>
      <w:r w:rsidR="00177963" w:rsidRPr="00C84B49">
        <w:rPr>
          <w:rFonts w:cs="Times New Roman"/>
          <w:szCs w:val="24"/>
        </w:rPr>
        <w:t xml:space="preserve">compound </w:t>
      </w:r>
      <w:r w:rsidR="00177963" w:rsidRPr="00C84B49">
        <w:rPr>
          <w:rFonts w:cs="Times New Roman"/>
          <w:b/>
          <w:szCs w:val="24"/>
        </w:rPr>
        <w:t>1</w:t>
      </w:r>
      <w:r w:rsidR="00177963" w:rsidRPr="00C84B49">
        <w:rPr>
          <w:rFonts w:cs="Times New Roman"/>
          <w:szCs w:val="24"/>
        </w:rPr>
        <w:t>.</w:t>
      </w:r>
      <w:r w:rsidR="00177963" w:rsidRPr="00C84B49">
        <w:rPr>
          <w:szCs w:val="24"/>
        </w:rPr>
        <w:t xml:space="preserve"> </w:t>
      </w:r>
      <w:proofErr w:type="gramStart"/>
      <w:r w:rsidR="00177963" w:rsidRPr="00C84B49">
        <w:rPr>
          <w:rFonts w:cs="Times New Roman"/>
          <w:szCs w:val="24"/>
        </w:rPr>
        <w:t>δ</w:t>
      </w:r>
      <w:proofErr w:type="gramEnd"/>
      <w:r w:rsidR="00177963" w:rsidRPr="00C84B49">
        <w:rPr>
          <w:rFonts w:cs="Times New Roman"/>
          <w:szCs w:val="24"/>
        </w:rPr>
        <w:t xml:space="preserve"> 10.20 (s, 1H), 7.25-7,45 (m, 9H), 5.12 (t, 1H), 4.45 (d, 2H); </w:t>
      </w:r>
      <w:r w:rsidR="00177963" w:rsidRPr="00C84B49">
        <w:rPr>
          <w:rFonts w:cs="Times New Roman"/>
          <w:b/>
          <w:szCs w:val="24"/>
        </w:rPr>
        <w:t xml:space="preserve">B) </w:t>
      </w:r>
      <w:r w:rsidR="00177963" w:rsidRPr="00C84B49">
        <w:rPr>
          <w:rFonts w:cs="Times New Roman"/>
          <w:szCs w:val="24"/>
        </w:rPr>
        <w:t xml:space="preserve">compound </w:t>
      </w:r>
      <w:r w:rsidR="00177963" w:rsidRPr="00C84B49">
        <w:rPr>
          <w:rFonts w:cs="Times New Roman"/>
          <w:b/>
          <w:szCs w:val="24"/>
        </w:rPr>
        <w:t>2</w:t>
      </w:r>
      <w:r w:rsidR="00177963" w:rsidRPr="00C84B49">
        <w:rPr>
          <w:rFonts w:cs="Times New Roman"/>
          <w:szCs w:val="24"/>
        </w:rPr>
        <w:t xml:space="preserve">. </w:t>
      </w:r>
      <w:proofErr w:type="gramStart"/>
      <w:r w:rsidR="00177963" w:rsidRPr="00C84B49">
        <w:rPr>
          <w:rFonts w:cs="Times New Roman"/>
          <w:szCs w:val="24"/>
        </w:rPr>
        <w:t>δ</w:t>
      </w:r>
      <w:proofErr w:type="gramEnd"/>
      <w:r w:rsidR="00177963" w:rsidRPr="00C84B49">
        <w:rPr>
          <w:rFonts w:cs="Times New Roman"/>
          <w:szCs w:val="24"/>
        </w:rPr>
        <w:t xml:space="preserve"> 9,29 (s, 1H), 7.17-7,41 (m, 4H), 5.05 (t, 1H), 4.40 (d, 2H), </w:t>
      </w:r>
      <w:r w:rsidR="00177963" w:rsidRPr="00C84B49">
        <w:rPr>
          <w:rFonts w:cs="Times New Roman"/>
          <w:szCs w:val="24"/>
        </w:rPr>
        <w:lastRenderedPageBreak/>
        <w:t xml:space="preserve">1,48 (s, 9H); </w:t>
      </w:r>
      <w:r w:rsidR="00177963" w:rsidRPr="00C84B49">
        <w:rPr>
          <w:rFonts w:cs="Times New Roman"/>
          <w:b/>
          <w:szCs w:val="24"/>
        </w:rPr>
        <w:t xml:space="preserve">C) </w:t>
      </w:r>
      <w:r w:rsidR="00177963" w:rsidRPr="00C84B49">
        <w:rPr>
          <w:rFonts w:cs="Times New Roman"/>
          <w:szCs w:val="24"/>
        </w:rPr>
        <w:t xml:space="preserve">compound </w:t>
      </w:r>
      <w:r w:rsidR="00177963" w:rsidRPr="00C84B49">
        <w:rPr>
          <w:rFonts w:cs="Times New Roman"/>
          <w:b/>
          <w:szCs w:val="24"/>
        </w:rPr>
        <w:t>3</w:t>
      </w:r>
      <w:r w:rsidR="00177963" w:rsidRPr="00C84B49">
        <w:rPr>
          <w:rFonts w:cs="Times New Roman"/>
          <w:szCs w:val="24"/>
        </w:rPr>
        <w:t xml:space="preserve">. </w:t>
      </w:r>
      <w:proofErr w:type="gramStart"/>
      <w:r w:rsidR="00177963" w:rsidRPr="00C84B49">
        <w:rPr>
          <w:rFonts w:cs="Times New Roman"/>
          <w:szCs w:val="24"/>
        </w:rPr>
        <w:t>δ</w:t>
      </w:r>
      <w:proofErr w:type="gramEnd"/>
      <w:r w:rsidR="00177963" w:rsidRPr="00C84B49">
        <w:rPr>
          <w:rFonts w:cs="Times New Roman"/>
          <w:szCs w:val="24"/>
        </w:rPr>
        <w:t xml:space="preserve"> 9.82 (s, 10H), 7.56-7.15 (m, 49H), 5.15(s, 23H), 4.43 (d, 2H), 1.48 (s, 1H). In compound </w:t>
      </w:r>
      <w:r w:rsidR="00177963" w:rsidRPr="00C84B49">
        <w:rPr>
          <w:rFonts w:cs="Times New Roman"/>
          <w:b/>
          <w:szCs w:val="24"/>
        </w:rPr>
        <w:t>3</w:t>
      </w:r>
      <w:r w:rsidR="00177963" w:rsidRPr="00C84B49">
        <w:rPr>
          <w:rFonts w:cs="Times New Roman"/>
          <w:szCs w:val="24"/>
        </w:rPr>
        <w:t xml:space="preserve"> </w:t>
      </w:r>
      <w:proofErr w:type="gramStart"/>
      <w:r w:rsidR="00177963" w:rsidRPr="00C84B49">
        <w:rPr>
          <w:rFonts w:cs="Times New Roman"/>
          <w:w w:val="108"/>
          <w:szCs w:val="24"/>
          <w:vertAlign w:val="superscript"/>
        </w:rPr>
        <w:t>1</w:t>
      </w:r>
      <w:r w:rsidR="00AE4467">
        <w:rPr>
          <w:rFonts w:cs="Times New Roman"/>
          <w:w w:val="108"/>
          <w:szCs w:val="24"/>
        </w:rPr>
        <w:t>H</w:t>
      </w:r>
      <w:proofErr w:type="gramEnd"/>
      <w:r w:rsidR="00AE4467">
        <w:rPr>
          <w:rFonts w:cs="Times New Roman"/>
          <w:w w:val="108"/>
          <w:szCs w:val="24"/>
        </w:rPr>
        <w:t xml:space="preserve"> </w:t>
      </w:r>
      <w:r w:rsidR="00177963" w:rsidRPr="00C84B49">
        <w:rPr>
          <w:rFonts w:cs="Times New Roman"/>
          <w:w w:val="108"/>
          <w:szCs w:val="24"/>
        </w:rPr>
        <w:t>NMR spectrum t</w:t>
      </w:r>
      <w:r w:rsidR="00177963" w:rsidRPr="00C84B49">
        <w:rPr>
          <w:rFonts w:cs="Times New Roman"/>
          <w:szCs w:val="24"/>
        </w:rPr>
        <w:t>he ratio between integrals of peaks 2 and 1 provided the number of monomers in the chain. Signal 4 integral provided the amount of trigger incorporated.</w:t>
      </w:r>
    </w:p>
    <w:p w14:paraId="32A52D8B" w14:textId="1682EFE3" w:rsidR="00F60440" w:rsidRPr="00C84B49" w:rsidRDefault="00F60440" w:rsidP="00AE4467">
      <w:pPr>
        <w:pStyle w:val="Titolo3"/>
        <w:numPr>
          <w:ilvl w:val="0"/>
          <w:numId w:val="0"/>
        </w:numPr>
        <w:spacing w:after="200" w:line="276" w:lineRule="auto"/>
        <w:ind w:left="567" w:hanging="567"/>
        <w:jc w:val="both"/>
        <w:rPr>
          <w:b w:val="0"/>
          <w:i/>
        </w:rPr>
      </w:pPr>
      <w:r w:rsidRPr="00C84B49">
        <w:rPr>
          <w:b w:val="0"/>
          <w:i/>
        </w:rPr>
        <w:t xml:space="preserve">Characterization of MSNs and MSN-CSs </w:t>
      </w:r>
    </w:p>
    <w:p w14:paraId="1C423994" w14:textId="6A02F2DB" w:rsidR="00D92B1E" w:rsidRPr="00C84B49" w:rsidRDefault="00A07BC9" w:rsidP="00AE4467">
      <w:pPr>
        <w:spacing w:line="276" w:lineRule="auto"/>
        <w:jc w:val="both"/>
        <w:rPr>
          <w:rFonts w:cs="Times New Roman"/>
          <w:szCs w:val="24"/>
        </w:rPr>
      </w:pPr>
      <w:r w:rsidRPr="00C84B49">
        <w:rPr>
          <w:rFonts w:cs="Times New Roman"/>
          <w:szCs w:val="24"/>
        </w:rPr>
        <w:t xml:space="preserve">SEM micrographs of MSNs demonstrated the successful synthesis of particles with homogenous shape and a size of </w:t>
      </w:r>
      <w:r w:rsidRPr="00C84B49">
        <w:rPr>
          <w:rFonts w:cs="Times New Roman"/>
          <w:i/>
          <w:szCs w:val="24"/>
        </w:rPr>
        <w:t>ca</w:t>
      </w:r>
      <w:r w:rsidRPr="00C84B49">
        <w:rPr>
          <w:rFonts w:cs="Times New Roman"/>
          <w:szCs w:val="24"/>
        </w:rPr>
        <w:t>. 200 nm (</w:t>
      </w:r>
      <w:r w:rsidR="00C76A0D">
        <w:rPr>
          <w:b/>
          <w:szCs w:val="24"/>
        </w:rPr>
        <w:t xml:space="preserve">Supplementary </w:t>
      </w:r>
      <w:r w:rsidR="00C76A0D" w:rsidRPr="00C84B49">
        <w:rPr>
          <w:b/>
          <w:szCs w:val="24"/>
        </w:rPr>
        <w:t>Figure S</w:t>
      </w:r>
      <w:r w:rsidR="00C76A0D">
        <w:rPr>
          <w:b/>
          <w:szCs w:val="24"/>
        </w:rPr>
        <w:t>8A</w:t>
      </w:r>
      <w:r w:rsidRPr="00C84B49">
        <w:rPr>
          <w:rFonts w:cs="Times New Roman"/>
          <w:szCs w:val="24"/>
        </w:rPr>
        <w:t xml:space="preserve">), meanwhile the achievement of a mesoporous </w:t>
      </w:r>
      <w:r w:rsidR="001A221B" w:rsidRPr="00C84B49">
        <w:rPr>
          <w:rFonts w:cs="Times New Roman"/>
          <w:szCs w:val="24"/>
        </w:rPr>
        <w:t>framework</w:t>
      </w:r>
      <w:r w:rsidRPr="00C84B49">
        <w:rPr>
          <w:rFonts w:cs="Times New Roman"/>
          <w:szCs w:val="24"/>
        </w:rPr>
        <w:t xml:space="preserve"> </w:t>
      </w:r>
      <w:proofErr w:type="gramStart"/>
      <w:r w:rsidRPr="00C84B49">
        <w:rPr>
          <w:rFonts w:cs="Times New Roman"/>
          <w:szCs w:val="24"/>
        </w:rPr>
        <w:t>was demonstrated</w:t>
      </w:r>
      <w:proofErr w:type="gramEnd"/>
      <w:r w:rsidRPr="00C84B49">
        <w:rPr>
          <w:rFonts w:cs="Times New Roman"/>
          <w:szCs w:val="24"/>
        </w:rPr>
        <w:t xml:space="preserve"> by TEM (</w:t>
      </w:r>
      <w:r w:rsidR="00C76A0D">
        <w:rPr>
          <w:b/>
          <w:szCs w:val="24"/>
        </w:rPr>
        <w:t xml:space="preserve">Supplementary </w:t>
      </w:r>
      <w:r w:rsidR="00C76A0D" w:rsidRPr="00C84B49">
        <w:rPr>
          <w:b/>
          <w:szCs w:val="24"/>
        </w:rPr>
        <w:t>Figure S</w:t>
      </w:r>
      <w:r w:rsidR="00C76A0D">
        <w:rPr>
          <w:b/>
          <w:szCs w:val="24"/>
        </w:rPr>
        <w:t>8B</w:t>
      </w:r>
      <w:r w:rsidRPr="00C84B49">
        <w:rPr>
          <w:rFonts w:cs="Times New Roman"/>
          <w:szCs w:val="24"/>
        </w:rPr>
        <w:t xml:space="preserve">). </w:t>
      </w:r>
      <w:r w:rsidR="00D92B1E" w:rsidRPr="00C84B49">
        <w:rPr>
          <w:rFonts w:cs="Times New Roman"/>
          <w:szCs w:val="24"/>
        </w:rPr>
        <w:t>DLS analyses revealed the absence of aggregates within MSN dispersion, and an average size of about 200 nm (</w:t>
      </w:r>
      <w:proofErr w:type="spellStart"/>
      <w:r w:rsidR="00D92B1E" w:rsidRPr="00C84B49">
        <w:rPr>
          <w:rFonts w:cs="Times New Roman"/>
          <w:szCs w:val="24"/>
        </w:rPr>
        <w:t>polydispersity</w:t>
      </w:r>
      <w:proofErr w:type="spellEnd"/>
      <w:r w:rsidR="00D92B1E" w:rsidRPr="00C84B49">
        <w:rPr>
          <w:rFonts w:cs="Times New Roman"/>
          <w:szCs w:val="24"/>
        </w:rPr>
        <w:t xml:space="preserve"> index of 0.47), in agreement with SEM micrographs.</w:t>
      </w:r>
    </w:p>
    <w:p w14:paraId="493EABA3" w14:textId="1282A042" w:rsidR="009D7F7C" w:rsidRPr="00C84B49" w:rsidRDefault="009D7F7C" w:rsidP="00AE4467">
      <w:pPr>
        <w:spacing w:before="0" w:after="0" w:line="276" w:lineRule="auto"/>
        <w:jc w:val="center"/>
        <w:rPr>
          <w:rFonts w:cs="Times New Roman"/>
          <w:szCs w:val="24"/>
        </w:rPr>
      </w:pPr>
      <w:r w:rsidRPr="00C84B49">
        <w:rPr>
          <w:rFonts w:cs="Times New Roman"/>
          <w:noProof/>
          <w:szCs w:val="24"/>
          <w:lang w:val="it-IT" w:eastAsia="it-IT"/>
        </w:rPr>
        <w:drawing>
          <wp:inline distT="0" distB="0" distL="0" distR="0" wp14:anchorId="384ABD73" wp14:editId="7B6A8115">
            <wp:extent cx="3553968" cy="1569720"/>
            <wp:effectExtent l="0" t="0" r="889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m e tem.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53968" cy="1569720"/>
                    </a:xfrm>
                    <a:prstGeom prst="rect">
                      <a:avLst/>
                    </a:prstGeom>
                  </pic:spPr>
                </pic:pic>
              </a:graphicData>
            </a:graphic>
          </wp:inline>
        </w:drawing>
      </w:r>
    </w:p>
    <w:p w14:paraId="0DF26B11" w14:textId="437238AD" w:rsidR="005E056B" w:rsidRPr="00C84B49" w:rsidRDefault="00C76A0D" w:rsidP="00AE4467">
      <w:pPr>
        <w:spacing w:before="0" w:line="276" w:lineRule="auto"/>
        <w:jc w:val="center"/>
        <w:rPr>
          <w:rFonts w:cs="Times New Roman"/>
          <w:szCs w:val="24"/>
        </w:rPr>
      </w:pPr>
      <w:r>
        <w:rPr>
          <w:b/>
          <w:szCs w:val="24"/>
        </w:rPr>
        <w:t xml:space="preserve">Supplementary </w:t>
      </w:r>
      <w:r w:rsidRPr="00C84B49">
        <w:rPr>
          <w:b/>
          <w:szCs w:val="24"/>
        </w:rPr>
        <w:t>Figure S</w:t>
      </w:r>
      <w:r>
        <w:rPr>
          <w:b/>
          <w:szCs w:val="24"/>
        </w:rPr>
        <w:t>8</w:t>
      </w:r>
      <w:r w:rsidR="009D7F7C" w:rsidRPr="00C84B49">
        <w:rPr>
          <w:b/>
          <w:szCs w:val="24"/>
        </w:rPr>
        <w:t xml:space="preserve">. </w:t>
      </w:r>
      <w:r w:rsidR="005E056B" w:rsidRPr="00C84B49">
        <w:rPr>
          <w:szCs w:val="24"/>
        </w:rPr>
        <w:t>SEM</w:t>
      </w:r>
      <w:r w:rsidR="005E056B" w:rsidRPr="00C84B49">
        <w:rPr>
          <w:b/>
          <w:szCs w:val="24"/>
        </w:rPr>
        <w:t xml:space="preserve"> (A) </w:t>
      </w:r>
      <w:r w:rsidR="005E056B" w:rsidRPr="00C84B49">
        <w:rPr>
          <w:szCs w:val="24"/>
        </w:rPr>
        <w:t>and TEM</w:t>
      </w:r>
      <w:r w:rsidR="005E056B" w:rsidRPr="00C84B49">
        <w:rPr>
          <w:b/>
          <w:szCs w:val="24"/>
        </w:rPr>
        <w:t xml:space="preserve"> (B)</w:t>
      </w:r>
      <w:r w:rsidR="005E056B" w:rsidRPr="00C84B49">
        <w:rPr>
          <w:szCs w:val="24"/>
        </w:rPr>
        <w:t xml:space="preserve"> micrographs of </w:t>
      </w:r>
      <w:r w:rsidR="005E056B" w:rsidRPr="00C84B49">
        <w:rPr>
          <w:rFonts w:cs="Times New Roman"/>
          <w:szCs w:val="24"/>
        </w:rPr>
        <w:t>MSNs.</w:t>
      </w:r>
    </w:p>
    <w:p w14:paraId="05D0FB6D" w14:textId="1DCEE4B1" w:rsidR="00F60440" w:rsidRPr="00C84B49" w:rsidRDefault="001A221B" w:rsidP="00AE4467">
      <w:pPr>
        <w:spacing w:line="276" w:lineRule="auto"/>
        <w:jc w:val="both"/>
        <w:rPr>
          <w:rFonts w:cs="Times New Roman"/>
          <w:szCs w:val="24"/>
        </w:rPr>
      </w:pPr>
      <w:r w:rsidRPr="00C84B49">
        <w:rPr>
          <w:rFonts w:cs="Times New Roman"/>
          <w:szCs w:val="24"/>
        </w:rPr>
        <w:t xml:space="preserve">The symmetry of the obtained porous structure was demonstrated by XRD analysis that evidenced </w:t>
      </w:r>
      <w:r w:rsidR="00F60440" w:rsidRPr="00C84B49">
        <w:rPr>
          <w:rFonts w:cs="Times New Roman"/>
          <w:szCs w:val="24"/>
        </w:rPr>
        <w:t>(</w:t>
      </w:r>
      <w:r w:rsidR="00C76A0D">
        <w:rPr>
          <w:b/>
          <w:szCs w:val="24"/>
        </w:rPr>
        <w:t xml:space="preserve">Supplementary </w:t>
      </w:r>
      <w:r w:rsidR="00C76A0D" w:rsidRPr="00C84B49">
        <w:rPr>
          <w:b/>
          <w:szCs w:val="24"/>
        </w:rPr>
        <w:t>Figure S</w:t>
      </w:r>
      <w:r w:rsidR="00C76A0D">
        <w:rPr>
          <w:b/>
          <w:szCs w:val="24"/>
        </w:rPr>
        <w:t>9A</w:t>
      </w:r>
      <w:r w:rsidR="00F60440" w:rsidRPr="00C84B49">
        <w:rPr>
          <w:rFonts w:cs="Times New Roman"/>
          <w:szCs w:val="24"/>
        </w:rPr>
        <w:t xml:space="preserve">) the typical diffraction </w:t>
      </w:r>
      <w:r w:rsidRPr="00C84B49">
        <w:rPr>
          <w:rFonts w:cs="Times New Roman"/>
          <w:szCs w:val="24"/>
        </w:rPr>
        <w:t>peaks</w:t>
      </w:r>
      <w:r w:rsidR="00F60440" w:rsidRPr="00C84B49">
        <w:rPr>
          <w:rFonts w:cs="Times New Roman"/>
          <w:szCs w:val="24"/>
        </w:rPr>
        <w:t xml:space="preserve"> of the hexagonally ordered pore distribution with </w:t>
      </w:r>
      <w:r w:rsidR="00F60440" w:rsidRPr="00C84B49">
        <w:rPr>
          <w:rFonts w:cs="Times New Roman"/>
          <w:i/>
          <w:szCs w:val="24"/>
        </w:rPr>
        <w:t>p6mm</w:t>
      </w:r>
      <w:r w:rsidR="00F60440" w:rsidRPr="00C84B49">
        <w:rPr>
          <w:rFonts w:cs="Times New Roman"/>
          <w:szCs w:val="24"/>
        </w:rPr>
        <w:t xml:space="preserve"> spatial group of MCM-41-like materials </w:t>
      </w:r>
      <w:r w:rsidR="00F60440" w:rsidRPr="00C84B49">
        <w:rPr>
          <w:rFonts w:cs="Times New Roman"/>
          <w:szCs w:val="24"/>
        </w:rPr>
        <w:fldChar w:fldCharType="begin" w:fldLock="1"/>
      </w:r>
      <w:r w:rsidR="00F60440" w:rsidRPr="00C84B49">
        <w:rPr>
          <w:rFonts w:cs="Times New Roman"/>
          <w:szCs w:val="24"/>
        </w:rPr>
        <w:instrText>ADDIN CSL_CITATION {"citationItems":[{"id":"ITEM-1","itemData":{"abstract":"In the last few years the biomedical research field has shown a growing interest towards nanostructured mesoporous silica materials, whose chemical composition is silica and present nanometric pores. These bioceramics exhibit two important features: they can regenerate osseous tissues--the bond bioactivity of these materials has been confirmed by the formation of biological-like nanoapatites on their surface when in contact with physiological fluids--and they are able to act as controlled release systems. Drugs in the nanometre scale can be loaded on those matrices and then locally released in a controlled fashion. It is possible to chemically modify the silica walls to favour the adsorption of certain biomolecules such as peptides, proteins or growth factors. It is even possible to design smart biomaterials where the drug is released under an external stimulus. Thus, looking at all those properties, a question arises: Have these bioceramics good expectations to be used in clinical medical practice? Their biocompatibility, bioactivity, capacity to regenerate bone and ability to act as controlled release systems of biologically active species have been confirmed. In fact, their preliminary in vitro and in vivo essays have been positive. Now it is the time to adequate all these properties to the actual clinical problems, and to evaluate their efficiency in comparison with materials already known and currently employed such as bioglasses.","author":[{"dropping-particle":"","family":"Vallet-Regí","given":"M.","non-dropping-particle":"","parse-names":false,"suffix":""}],"container-title":"Journal of Internal Medicine","id":"ITEM-1","issued":{"date-parts":[["2010"]]},"page":"22-43","title":"Nanostructured mesoporous silica matrices in nanomedicine","type":"article-journal","volume":"267"},"uris":["http://www.mendeley.com/documents/?uuid=7690e782-2db9-4e92-908f-09f124b1445a"]},{"id":"ITEM-2","itemData":{"abstract":"Mesoporous MCM-41 silica functionalized by 3-aminopropyltriethoxysilane grafting was studied as a potential carrier for controlled drug release, using ibuprofen as a test drug. For comparison, non-functionalized MCM-41 was also investigated. For the purpose of testing the effect of carrier morphology on drug delivery rate, MCM-41 was prepared in the form of both, a powder consisting of irregularly shaped (and sized) particles and monodispersed spheres (490 to 770 nm in diameter). Amine-functionalized MCM-41 micro-spheres were found to show a significantly slower drug release rate than irregularly shaped powders, which should facilitate drug delivery control over a longer time period. © 2007 Elsevier B.V. All rights reserved.","author":[{"dropping-particle":"","family":"Manzano","given":"M.","non-dropping-particle":"","parse-names":false,"suffix":""},{"dropping-particle":"","family":"Aina","given":"V.","non-dropping-particle":"","parse-names":false,"suffix":""},{"dropping-particle":"","family":"Areán","given":"C. O.","non-dropping-particle":"","parse-names":false,"suffix":""},{"dropping-particle":"","family":"Balas","given":"F.","non-dropping-particle":"","parse-names":false,"suffix":""},{"dropping-particle":"","family":"Cauda","given":"V.","non-dropping-particle":"","parse-names":false,"suffix":""},{"dropping-particle":"","family":"Colilla","given":"M.","non-dropping-particle":"","parse-names":false,"suffix":""},{"dropping-particle":"","family":"Delgado","given":"M. R.","non-dropping-particle":"","parse-names":false,"suffix":""},{"dropping-particle":"","family":"Vallet-Regí","given":"M.","non-dropping-particle":"","parse-names":false,"suffix":""}],"container-title":"Chemical Engineering Journal","id":"ITEM-2","issued":{"date-parts":[["2008"]]},"page":"30-37","title":"Studies on MCM-41 mesoporous silica for drug delivery: Effect of particle morphology and amine functionalization","type":"article-journal","volume":"137"},"uris":["http://www.mendeley.com/documents/?uuid=ed23fd1a-8ebd-49cf-a89d-81d1ec09940f"]}],"mendeley":{"formattedCitation":"(Manzano et al., 2008; Vallet-Regí, 2010)","plainTextFormattedCitation":"(Manzano et al., 2008; Vallet-Regí, 2010)","previouslyFormattedCitation":"(Manzano et al., 2008; Vallet-Regí, 2010)"},"properties":{"noteIndex":0},"schema":"https://github.com/citation-style-language/schema/raw/master/csl-citation.json"}</w:instrText>
      </w:r>
      <w:r w:rsidR="00F60440" w:rsidRPr="00C84B49">
        <w:rPr>
          <w:rFonts w:cs="Times New Roman"/>
          <w:szCs w:val="24"/>
        </w:rPr>
        <w:fldChar w:fldCharType="separate"/>
      </w:r>
      <w:r w:rsidR="00F60440" w:rsidRPr="00C84B49">
        <w:rPr>
          <w:rFonts w:cs="Times New Roman"/>
          <w:noProof/>
          <w:szCs w:val="24"/>
        </w:rPr>
        <w:t>(Manzano et al., 2008; Vallet-Regí, 2010)</w:t>
      </w:r>
      <w:r w:rsidR="00F60440" w:rsidRPr="00C84B49">
        <w:rPr>
          <w:rFonts w:cs="Times New Roman"/>
          <w:szCs w:val="24"/>
        </w:rPr>
        <w:fldChar w:fldCharType="end"/>
      </w:r>
      <w:r w:rsidR="00F60440" w:rsidRPr="00C84B49">
        <w:rPr>
          <w:rFonts w:cs="Times New Roman"/>
          <w:szCs w:val="24"/>
        </w:rPr>
        <w:t>. Such diffraction maxima were still observable in MSN-CSs. ATR-FTIR spectrum (</w:t>
      </w:r>
      <w:r w:rsidR="00C76A0D">
        <w:rPr>
          <w:b/>
          <w:szCs w:val="24"/>
        </w:rPr>
        <w:t xml:space="preserve">Supplementary </w:t>
      </w:r>
      <w:r w:rsidR="00C76A0D" w:rsidRPr="00C84B49">
        <w:rPr>
          <w:b/>
          <w:szCs w:val="24"/>
        </w:rPr>
        <w:t>Figure S</w:t>
      </w:r>
      <w:r w:rsidR="00C76A0D">
        <w:rPr>
          <w:b/>
          <w:szCs w:val="24"/>
        </w:rPr>
        <w:t>9B</w:t>
      </w:r>
      <w:r w:rsidR="00F60440" w:rsidRPr="00C84B49">
        <w:rPr>
          <w:rFonts w:cs="Times New Roman"/>
          <w:szCs w:val="24"/>
        </w:rPr>
        <w:t>) reported the typical absorption peaks of both Si-O-Si and Si-OH</w:t>
      </w:r>
      <w:r w:rsidRPr="00C84B49">
        <w:rPr>
          <w:rFonts w:cs="Times New Roman"/>
          <w:szCs w:val="24"/>
        </w:rPr>
        <w:t xml:space="preserve">, which confirmed the formation of the silica backbone and the presence of </w:t>
      </w:r>
      <w:proofErr w:type="spellStart"/>
      <w:r w:rsidRPr="00C84B49">
        <w:rPr>
          <w:rFonts w:cs="Times New Roman"/>
          <w:szCs w:val="24"/>
        </w:rPr>
        <w:t>silanol</w:t>
      </w:r>
      <w:proofErr w:type="spellEnd"/>
      <w:r w:rsidRPr="00C84B49">
        <w:rPr>
          <w:rFonts w:cs="Times New Roman"/>
          <w:szCs w:val="24"/>
        </w:rPr>
        <w:t xml:space="preserve"> groups on the surface of the particles, respectively</w:t>
      </w:r>
      <w:r w:rsidR="00F60440" w:rsidRPr="00C84B49">
        <w:rPr>
          <w:rFonts w:cs="Times New Roman"/>
          <w:szCs w:val="24"/>
        </w:rPr>
        <w:t>. Successful</w:t>
      </w:r>
      <w:r w:rsidR="00F60440" w:rsidRPr="00C84B49">
        <w:t xml:space="preserve"> grafting of the </w:t>
      </w:r>
      <w:proofErr w:type="spellStart"/>
      <w:r w:rsidR="00F60440" w:rsidRPr="00C84B49">
        <w:t>chloro</w:t>
      </w:r>
      <w:proofErr w:type="spellEnd"/>
      <w:r w:rsidR="00F60440" w:rsidRPr="00C84B49">
        <w:t xml:space="preserve"> </w:t>
      </w:r>
      <w:proofErr w:type="spellStart"/>
      <w:r w:rsidR="00F60440" w:rsidRPr="00C84B49">
        <w:t>alkoxysilane</w:t>
      </w:r>
      <w:proofErr w:type="spellEnd"/>
      <w:r w:rsidR="00F60440" w:rsidRPr="00C84B49">
        <w:t xml:space="preserve"> on MSN surface </w:t>
      </w:r>
      <w:proofErr w:type="gramStart"/>
      <w:r w:rsidR="00F60440" w:rsidRPr="00C84B49">
        <w:t>was proved</w:t>
      </w:r>
      <w:proofErr w:type="gramEnd"/>
      <w:r w:rsidR="00F60440" w:rsidRPr="00C84B49">
        <w:t xml:space="preserve"> by the appearance of an additional absorption peak at 2900 cm</w:t>
      </w:r>
      <w:r w:rsidR="00F60440" w:rsidRPr="00C84B49">
        <w:rPr>
          <w:vertAlign w:val="superscript"/>
        </w:rPr>
        <w:t>-1</w:t>
      </w:r>
      <w:r w:rsidR="00F60440" w:rsidRPr="00C84B49">
        <w:t xml:space="preserve">, which can be ascribed to C-H stretching vibration. </w:t>
      </w:r>
      <w:r w:rsidR="009D7F7C" w:rsidRPr="00C84B49">
        <w:t xml:space="preserve">A further confirmation of successful functionalization was obtained from TG analyses, which evidenced </w:t>
      </w:r>
      <w:r w:rsidR="009D7F7C" w:rsidRPr="00C84B49">
        <w:rPr>
          <w:rFonts w:cs="Times New Roman"/>
          <w:szCs w:val="24"/>
        </w:rPr>
        <w:t xml:space="preserve">an increment of </w:t>
      </w:r>
      <w:r w:rsidR="009D7F7C" w:rsidRPr="00C84B49">
        <w:rPr>
          <w:rFonts w:cs="Times New Roman"/>
          <w:i/>
          <w:szCs w:val="24"/>
        </w:rPr>
        <w:t>ca</w:t>
      </w:r>
      <w:r w:rsidR="009D7F7C" w:rsidRPr="00C84B49">
        <w:rPr>
          <w:rFonts w:cs="Times New Roman"/>
          <w:szCs w:val="24"/>
        </w:rPr>
        <w:t xml:space="preserve">. 9% in the weight loss </w:t>
      </w:r>
      <w:r w:rsidR="00D92B1E" w:rsidRPr="00C84B49">
        <w:rPr>
          <w:rFonts w:cs="Times New Roman"/>
          <w:szCs w:val="24"/>
        </w:rPr>
        <w:t xml:space="preserve">of MSN-CS sample </w:t>
      </w:r>
      <w:r w:rsidR="009D7F7C" w:rsidRPr="00C84B49">
        <w:rPr>
          <w:rFonts w:cs="Times New Roman"/>
          <w:szCs w:val="24"/>
        </w:rPr>
        <w:t>compared to MSNs as such (</w:t>
      </w:r>
      <w:r w:rsidR="00C76A0D">
        <w:rPr>
          <w:b/>
          <w:szCs w:val="24"/>
        </w:rPr>
        <w:t xml:space="preserve">Supplementary </w:t>
      </w:r>
      <w:r w:rsidR="00C76A0D" w:rsidRPr="00C84B49">
        <w:rPr>
          <w:b/>
          <w:szCs w:val="24"/>
        </w:rPr>
        <w:t>Figure S</w:t>
      </w:r>
      <w:r w:rsidR="00C76A0D">
        <w:rPr>
          <w:b/>
          <w:szCs w:val="24"/>
        </w:rPr>
        <w:t>9</w:t>
      </w:r>
      <w:r w:rsidR="00D92B1E" w:rsidRPr="00C84B49">
        <w:rPr>
          <w:rFonts w:cs="Times New Roman"/>
          <w:b/>
          <w:szCs w:val="24"/>
        </w:rPr>
        <w:t>C</w:t>
      </w:r>
      <w:r w:rsidR="009D7F7C" w:rsidRPr="00C84B49">
        <w:rPr>
          <w:rFonts w:cs="Times New Roman"/>
          <w:b/>
          <w:szCs w:val="24"/>
        </w:rPr>
        <w:t>)</w:t>
      </w:r>
      <w:r w:rsidR="009D7F7C" w:rsidRPr="00C84B49">
        <w:rPr>
          <w:rFonts w:cs="Times New Roman"/>
          <w:szCs w:val="24"/>
        </w:rPr>
        <w:t xml:space="preserve">. </w:t>
      </w:r>
      <w:r w:rsidRPr="00C84B49">
        <w:rPr>
          <w:rFonts w:cs="Times New Roman"/>
          <w:szCs w:val="24"/>
        </w:rPr>
        <w:t>N</w:t>
      </w:r>
      <w:r w:rsidRPr="00C84B49">
        <w:rPr>
          <w:rFonts w:cs="Times New Roman"/>
          <w:szCs w:val="24"/>
          <w:vertAlign w:val="subscript"/>
        </w:rPr>
        <w:t>2</w:t>
      </w:r>
      <w:r w:rsidRPr="00C84B49">
        <w:rPr>
          <w:rFonts w:cs="Times New Roman"/>
          <w:szCs w:val="24"/>
        </w:rPr>
        <w:t xml:space="preserve"> adsorption analysis revealed the characteristic textural properties expected for this type of material</w:t>
      </w:r>
      <w:r w:rsidR="00D92B1E" w:rsidRPr="00C84B49">
        <w:rPr>
          <w:rFonts w:cs="Times New Roman"/>
          <w:szCs w:val="24"/>
        </w:rPr>
        <w:t xml:space="preserve"> </w:t>
      </w:r>
      <w:r w:rsidRPr="00C84B49">
        <w:rPr>
          <w:rFonts w:cs="Times New Roman"/>
          <w:szCs w:val="24"/>
        </w:rPr>
        <w:t xml:space="preserve">and the presence of cylindrical </w:t>
      </w:r>
      <w:proofErr w:type="spellStart"/>
      <w:r w:rsidRPr="00C84B49">
        <w:rPr>
          <w:rFonts w:cs="Times New Roman"/>
          <w:szCs w:val="24"/>
        </w:rPr>
        <w:t>mesopores</w:t>
      </w:r>
      <w:proofErr w:type="spellEnd"/>
      <w:r w:rsidR="00D92B1E" w:rsidRPr="00C84B49">
        <w:rPr>
          <w:rFonts w:cs="Times New Roman"/>
          <w:szCs w:val="24"/>
        </w:rPr>
        <w:t xml:space="preserve"> (Type-IV isotherm)</w:t>
      </w:r>
      <w:r w:rsidRPr="00C84B49">
        <w:rPr>
          <w:rFonts w:cs="Times New Roman"/>
          <w:szCs w:val="24"/>
        </w:rPr>
        <w:t xml:space="preserve"> (</w:t>
      </w:r>
      <w:r w:rsidR="00C76A0D">
        <w:rPr>
          <w:b/>
          <w:szCs w:val="24"/>
        </w:rPr>
        <w:t xml:space="preserve">Supplementary </w:t>
      </w:r>
      <w:r w:rsidR="00C76A0D" w:rsidRPr="00C84B49">
        <w:rPr>
          <w:b/>
          <w:szCs w:val="24"/>
        </w:rPr>
        <w:t>Figure S</w:t>
      </w:r>
      <w:r w:rsidR="00C76A0D">
        <w:rPr>
          <w:b/>
          <w:szCs w:val="24"/>
        </w:rPr>
        <w:t>9</w:t>
      </w:r>
      <w:r w:rsidR="00D92B1E" w:rsidRPr="00C84B49">
        <w:rPr>
          <w:rFonts w:cs="Times New Roman"/>
          <w:b/>
          <w:szCs w:val="24"/>
        </w:rPr>
        <w:t>D</w:t>
      </w:r>
      <w:r w:rsidRPr="00C84B49">
        <w:rPr>
          <w:rFonts w:cs="Times New Roman"/>
          <w:szCs w:val="24"/>
        </w:rPr>
        <w:t xml:space="preserve">) </w:t>
      </w:r>
      <w:r w:rsidRPr="00C84B49">
        <w:rPr>
          <w:rFonts w:cs="Times New Roman"/>
          <w:szCs w:val="24"/>
        </w:rPr>
        <w:fldChar w:fldCharType="begin" w:fldLock="1"/>
      </w:r>
      <w:r w:rsidRPr="00C84B49">
        <w:rPr>
          <w:rFonts w:cs="Times New Roman"/>
          <w:szCs w:val="24"/>
        </w:rPr>
        <w:instrText>ADDIN CSL_CITATION {"citationItems":[{"id":"ITEM-1","itemData":{"abstract":"A critical review of adsorption methods that are currently used in the characterization of ordered organic-inorganic nanocomposite materials is presented, and the adsorption methodology that is potentially useful for this characterization, but has not yet been applied, is discussed. The ordered organic-inorganic nanocomposites include surface-functionalized ordered mesoporous materials (OMMs) with siliceous frameworks (synthesized either via postsynthesis surface modification or via direct co-condensation method), periodic mesoporous organosilicas, and surfactant-containing OMMs. This review covers the methods for determination of the specific surface area and pore volume. The available methods for mesopore size analysis are critically compared and evaluated, with special emphasis on the recent developments related to the application of advanced computational methods for studying adsorption in porous media and to the direct modeling of adsorption using highly ordered surface-functionalized OMMs as model adsorbents. The review also covers adsorption methods for studying the surface properties of organic-inorganic nanocomposites, including those based on adsorption of molecules of different polarities. An emphasis is placed on the emerging opportunity for studying the surface properties of nanocomposites using lowpressure adsorption of nonpolar molecules, such as nitrogen and argon. The opportunities and challenges in adsorption characterization of specific surface sites, uniformity of coated or bonded layers, bonding density of groups on the surface, type of surface species, and so forth, are presented. Thus, this review provides an overview of adsorption studies dealing with organic-inorganic nanocomposites, a critical discussion of adsorption methods available for such studies, and some recommendations for thorough characterization of these materials using gas adsorption.","author":[{"dropping-particle":"","family":"Kruk","given":"M.","non-dropping-particle":"","parse-names":false,"suffix":""},{"dropping-particle":"","family":"Jaroniec","given":"M.","non-dropping-particle":"","parse-names":false,"suffix":""}],"container-title":"Chemistry of Materials","id":"ITEM-1","issued":{"date-parts":[["2001"]]},"page":"3169-3183","title":"Gas adsorption characterization of ordered organic-inorganic nanocomposite materials","type":"article-journal","volume":"13"},"uris":["http://www.mendeley.com/documents/?uuid=79d9f86e-f7b2-4693-adba-8fec3e22297f"]}],"mendeley":{"formattedCitation":"(Kruk and Jaroniec, 2001)","plainTextFormattedCitation":"(Kruk and Jaroniec, 2001)","previouslyFormattedCitation":"(Kruk and Jaroniec, 2001)"},"properties":{"noteIndex":0},"schema":"https://github.com/citation-style-language/schema/raw/master/csl-citation.json"}</w:instrText>
      </w:r>
      <w:r w:rsidRPr="00C84B49">
        <w:rPr>
          <w:rFonts w:cs="Times New Roman"/>
          <w:szCs w:val="24"/>
        </w:rPr>
        <w:fldChar w:fldCharType="separate"/>
      </w:r>
      <w:r w:rsidRPr="00C84B49">
        <w:rPr>
          <w:rFonts w:cs="Times New Roman"/>
          <w:noProof/>
          <w:szCs w:val="24"/>
        </w:rPr>
        <w:t>(Kruk and Jaroniec, 2001)</w:t>
      </w:r>
      <w:r w:rsidRPr="00C84B49">
        <w:rPr>
          <w:rFonts w:cs="Times New Roman"/>
          <w:szCs w:val="24"/>
        </w:rPr>
        <w:fldChar w:fldCharType="end"/>
      </w:r>
      <w:r w:rsidRPr="00C84B49">
        <w:rPr>
          <w:rFonts w:cs="Times New Roman"/>
          <w:szCs w:val="24"/>
        </w:rPr>
        <w:t xml:space="preserve">. </w:t>
      </w:r>
      <w:r w:rsidR="00F60440" w:rsidRPr="00C84B49">
        <w:rPr>
          <w:rFonts w:cs="Times New Roman"/>
          <w:szCs w:val="24"/>
        </w:rPr>
        <w:t xml:space="preserve">From a morphological point of view, </w:t>
      </w:r>
      <w:proofErr w:type="gramStart"/>
      <w:r w:rsidR="00F60440" w:rsidRPr="00C84B49">
        <w:rPr>
          <w:rFonts w:cs="Times New Roman"/>
          <w:szCs w:val="24"/>
        </w:rPr>
        <w:t xml:space="preserve">MSNs were characterized by a surface area of </w:t>
      </w:r>
      <w:r w:rsidR="00F60440" w:rsidRPr="00C84B49">
        <w:rPr>
          <w:rFonts w:cs="Times New Roman"/>
          <w:i/>
          <w:szCs w:val="24"/>
        </w:rPr>
        <w:t>ca</w:t>
      </w:r>
      <w:r w:rsidR="00F60440" w:rsidRPr="00C84B49">
        <w:rPr>
          <w:rFonts w:cs="Times New Roman"/>
          <w:szCs w:val="24"/>
        </w:rPr>
        <w:t>. 1000 m</w:t>
      </w:r>
      <w:r w:rsidR="00F60440" w:rsidRPr="00C84B49">
        <w:rPr>
          <w:rFonts w:cs="Times New Roman"/>
          <w:szCs w:val="24"/>
          <w:vertAlign w:val="superscript"/>
        </w:rPr>
        <w:t>2</w:t>
      </w:r>
      <w:r w:rsidR="00F60440" w:rsidRPr="00C84B49">
        <w:rPr>
          <w:rFonts w:cs="Times New Roman"/>
          <w:szCs w:val="24"/>
        </w:rPr>
        <w:t xml:space="preserve">/g and pore width and volume of 2.74 nm and </w:t>
      </w:r>
      <w:r w:rsidR="00F60440" w:rsidRPr="00C84B49">
        <w:rPr>
          <w:rFonts w:cs="Times New Roman"/>
          <w:i/>
          <w:szCs w:val="24"/>
        </w:rPr>
        <w:t>ca</w:t>
      </w:r>
      <w:r w:rsidR="00F60440" w:rsidRPr="00C84B49">
        <w:rPr>
          <w:rFonts w:cs="Times New Roman"/>
          <w:szCs w:val="24"/>
        </w:rPr>
        <w:t>. 1 cm</w:t>
      </w:r>
      <w:r w:rsidR="00F60440" w:rsidRPr="00C84B49">
        <w:rPr>
          <w:rFonts w:cs="Times New Roman"/>
          <w:szCs w:val="24"/>
          <w:vertAlign w:val="superscript"/>
        </w:rPr>
        <w:t>3</w:t>
      </w:r>
      <w:r w:rsidR="00F60440" w:rsidRPr="00C84B49">
        <w:rPr>
          <w:rFonts w:cs="Times New Roman"/>
          <w:szCs w:val="24"/>
        </w:rPr>
        <w:t>/g, respectively</w:t>
      </w:r>
      <w:proofErr w:type="gramEnd"/>
      <w:r w:rsidR="00F60440" w:rsidRPr="00C84B49">
        <w:rPr>
          <w:rFonts w:cs="Times New Roman"/>
          <w:szCs w:val="24"/>
        </w:rPr>
        <w:t>. A slight reduction of the textural parameters after</w:t>
      </w:r>
      <w:r w:rsidR="00D92B1E" w:rsidRPr="00C84B49">
        <w:rPr>
          <w:rFonts w:cs="Times New Roman"/>
          <w:szCs w:val="24"/>
        </w:rPr>
        <w:t xml:space="preserve"> CS grafting </w:t>
      </w:r>
      <w:proofErr w:type="gramStart"/>
      <w:r w:rsidR="00D92B1E" w:rsidRPr="00C84B49">
        <w:rPr>
          <w:rFonts w:cs="Times New Roman"/>
          <w:szCs w:val="24"/>
        </w:rPr>
        <w:t>was observed</w:t>
      </w:r>
      <w:proofErr w:type="gramEnd"/>
      <w:r w:rsidR="00D92B1E" w:rsidRPr="00C84B49">
        <w:rPr>
          <w:rFonts w:cs="Times New Roman"/>
          <w:szCs w:val="24"/>
        </w:rPr>
        <w:t>, wit</w:t>
      </w:r>
      <w:r w:rsidR="00A07BC9" w:rsidRPr="00C84B49">
        <w:rPr>
          <w:rFonts w:cs="Times New Roman"/>
          <w:szCs w:val="24"/>
        </w:rPr>
        <w:t>h pore width and surface area decreasing to approx. 2.66 nm and 915 m</w:t>
      </w:r>
      <w:r w:rsidR="00A07BC9" w:rsidRPr="00C84B49">
        <w:rPr>
          <w:rFonts w:cs="Times New Roman"/>
          <w:szCs w:val="24"/>
          <w:vertAlign w:val="superscript"/>
        </w:rPr>
        <w:t>2</w:t>
      </w:r>
      <w:r w:rsidR="00A07BC9" w:rsidRPr="00C84B49">
        <w:rPr>
          <w:rFonts w:cs="Times New Roman"/>
          <w:szCs w:val="24"/>
        </w:rPr>
        <w:t xml:space="preserve">/g, respectively. </w:t>
      </w:r>
    </w:p>
    <w:p w14:paraId="2D22933B" w14:textId="4A3671C7" w:rsidR="005E056B" w:rsidRPr="00C84B49" w:rsidRDefault="005E056B" w:rsidP="00AE4467">
      <w:pPr>
        <w:spacing w:line="276" w:lineRule="auto"/>
        <w:jc w:val="center"/>
        <w:rPr>
          <w:rFonts w:cs="Times New Roman"/>
          <w:szCs w:val="24"/>
        </w:rPr>
      </w:pPr>
      <w:r w:rsidRPr="00C84B49">
        <w:rPr>
          <w:rFonts w:cs="Times New Roman"/>
          <w:noProof/>
          <w:szCs w:val="24"/>
          <w:lang w:val="it-IT" w:eastAsia="it-IT"/>
        </w:rPr>
        <w:lastRenderedPageBreak/>
        <w:drawing>
          <wp:inline distT="0" distB="0" distL="0" distR="0" wp14:anchorId="25B7C9EB" wp14:editId="5EBDAA13">
            <wp:extent cx="4995672" cy="3965448"/>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sn msn-cs.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95672" cy="3965448"/>
                    </a:xfrm>
                    <a:prstGeom prst="rect">
                      <a:avLst/>
                    </a:prstGeom>
                  </pic:spPr>
                </pic:pic>
              </a:graphicData>
            </a:graphic>
          </wp:inline>
        </w:drawing>
      </w:r>
    </w:p>
    <w:p w14:paraId="5BD3C1A7" w14:textId="7089EDAB" w:rsidR="005E056B" w:rsidRPr="00C84B49" w:rsidRDefault="00C76A0D" w:rsidP="00AE4467">
      <w:pPr>
        <w:spacing w:after="200" w:line="276" w:lineRule="auto"/>
        <w:jc w:val="both"/>
        <w:rPr>
          <w:szCs w:val="24"/>
        </w:rPr>
      </w:pPr>
      <w:r>
        <w:rPr>
          <w:b/>
          <w:szCs w:val="24"/>
        </w:rPr>
        <w:t xml:space="preserve">Supplementary </w:t>
      </w:r>
      <w:r w:rsidRPr="00C84B49">
        <w:rPr>
          <w:b/>
          <w:szCs w:val="24"/>
        </w:rPr>
        <w:t>Figure S</w:t>
      </w:r>
      <w:r>
        <w:rPr>
          <w:b/>
          <w:szCs w:val="24"/>
        </w:rPr>
        <w:t>9</w:t>
      </w:r>
      <w:r w:rsidR="005E056B" w:rsidRPr="00C84B49">
        <w:rPr>
          <w:rFonts w:cs="Times New Roman"/>
          <w:b/>
          <w:szCs w:val="24"/>
        </w:rPr>
        <w:t xml:space="preserve">. </w:t>
      </w:r>
      <w:r w:rsidR="005E056B" w:rsidRPr="00C84B49">
        <w:rPr>
          <w:rFonts w:cs="Times New Roman"/>
          <w:szCs w:val="24"/>
        </w:rPr>
        <w:t xml:space="preserve">Characterization of MSNs </w:t>
      </w:r>
      <w:r w:rsidR="005E056B" w:rsidRPr="00C84B49">
        <w:rPr>
          <w:rFonts w:cs="Times New Roman"/>
          <w:i/>
          <w:szCs w:val="24"/>
        </w:rPr>
        <w:t>vs.</w:t>
      </w:r>
      <w:r w:rsidR="005E056B" w:rsidRPr="00C84B49">
        <w:rPr>
          <w:rFonts w:cs="Times New Roman"/>
          <w:szCs w:val="24"/>
        </w:rPr>
        <w:t xml:space="preserve"> MSN-CS. </w:t>
      </w:r>
      <w:r w:rsidR="005E056B" w:rsidRPr="00C84B49">
        <w:rPr>
          <w:rFonts w:cs="Times New Roman"/>
          <w:b/>
          <w:szCs w:val="24"/>
        </w:rPr>
        <w:t>A)</w:t>
      </w:r>
      <w:r w:rsidR="005E056B" w:rsidRPr="00C84B49">
        <w:rPr>
          <w:rFonts w:cs="Times New Roman"/>
          <w:szCs w:val="24"/>
        </w:rPr>
        <w:t xml:space="preserve"> XRD. </w:t>
      </w:r>
      <w:r w:rsidR="005E056B" w:rsidRPr="00C84B49">
        <w:rPr>
          <w:rFonts w:cs="Times New Roman"/>
          <w:b/>
          <w:szCs w:val="24"/>
        </w:rPr>
        <w:t>B)</w:t>
      </w:r>
      <w:r w:rsidR="005E056B" w:rsidRPr="00C84B49">
        <w:rPr>
          <w:rFonts w:cs="Times New Roman"/>
          <w:szCs w:val="24"/>
        </w:rPr>
        <w:t xml:space="preserve"> ATR-FTIR spectroscopy.</w:t>
      </w:r>
      <w:r w:rsidR="005E056B" w:rsidRPr="00C84B49">
        <w:rPr>
          <w:rFonts w:cs="Times New Roman"/>
          <w:b/>
          <w:szCs w:val="24"/>
        </w:rPr>
        <w:t xml:space="preserve"> C)</w:t>
      </w:r>
      <w:r w:rsidR="005E056B" w:rsidRPr="00C84B49">
        <w:rPr>
          <w:rFonts w:cs="Times New Roman"/>
          <w:szCs w:val="24"/>
        </w:rPr>
        <w:t xml:space="preserve"> TG analysis. </w:t>
      </w:r>
      <w:r w:rsidR="005E056B" w:rsidRPr="00C84B49">
        <w:rPr>
          <w:rFonts w:cs="Times New Roman"/>
          <w:b/>
          <w:szCs w:val="24"/>
        </w:rPr>
        <w:t>D)</w:t>
      </w:r>
      <w:r w:rsidR="005E056B" w:rsidRPr="00C84B49">
        <w:rPr>
          <w:rFonts w:cs="Times New Roman"/>
          <w:szCs w:val="24"/>
        </w:rPr>
        <w:t xml:space="preserve"> N</w:t>
      </w:r>
      <w:r w:rsidR="005E056B" w:rsidRPr="00C84B49">
        <w:rPr>
          <w:rFonts w:cs="Times New Roman"/>
          <w:szCs w:val="24"/>
          <w:vertAlign w:val="subscript"/>
        </w:rPr>
        <w:t>2</w:t>
      </w:r>
      <w:r w:rsidR="005E056B" w:rsidRPr="00C84B49">
        <w:rPr>
          <w:rFonts w:cs="Times New Roman"/>
          <w:szCs w:val="24"/>
        </w:rPr>
        <w:t xml:space="preserve"> adsorption analysis.</w:t>
      </w:r>
    </w:p>
    <w:p w14:paraId="574814E1" w14:textId="1399B1A2" w:rsidR="00D92B1E" w:rsidRPr="00C84B49" w:rsidRDefault="00D92B1E" w:rsidP="00AE4467">
      <w:pPr>
        <w:pStyle w:val="Titolo1"/>
        <w:spacing w:line="276" w:lineRule="auto"/>
      </w:pPr>
      <w:r w:rsidRPr="00C84B49">
        <w:t xml:space="preserve">References </w:t>
      </w:r>
    </w:p>
    <w:p w14:paraId="4D774AE5" w14:textId="77777777" w:rsidR="00177963" w:rsidRPr="00C84B49" w:rsidRDefault="00177963" w:rsidP="00AE4467">
      <w:pPr>
        <w:widowControl w:val="0"/>
        <w:autoSpaceDE w:val="0"/>
        <w:autoSpaceDN w:val="0"/>
        <w:adjustRightInd w:val="0"/>
        <w:spacing w:line="276" w:lineRule="auto"/>
        <w:ind w:left="480" w:hanging="480"/>
        <w:jc w:val="both"/>
        <w:rPr>
          <w:rFonts w:cs="Times New Roman"/>
          <w:noProof/>
          <w:szCs w:val="24"/>
        </w:rPr>
      </w:pPr>
      <w:r w:rsidRPr="00C84B49">
        <w:rPr>
          <w:rFonts w:cs="Times New Roman"/>
          <w:noProof/>
          <w:szCs w:val="24"/>
        </w:rPr>
        <w:t xml:space="preserve">Caddeo, S., Mattioli-Belmonte, M., Cassino, C., Barbani, N., Dicarlo, M., Gentile, P., et al. (2019). Newly-designed collagen/polyurethane bioartificial blend as coating on bioactive glass-ceramics for bone tissue engineering applications. </w:t>
      </w:r>
      <w:r w:rsidRPr="00C84B49">
        <w:rPr>
          <w:rFonts w:cs="Times New Roman"/>
          <w:i/>
          <w:iCs/>
          <w:noProof/>
          <w:szCs w:val="24"/>
        </w:rPr>
        <w:t>Mater. Sci. Eng. C</w:t>
      </w:r>
      <w:r w:rsidRPr="00C84B49">
        <w:rPr>
          <w:rFonts w:cs="Times New Roman"/>
          <w:noProof/>
          <w:szCs w:val="24"/>
        </w:rPr>
        <w:t xml:space="preserve"> 96, 218-233. doi:10.1016/j.msec.2018.11.012.</w:t>
      </w:r>
    </w:p>
    <w:p w14:paraId="7680BB5D" w14:textId="755F13C1" w:rsidR="00D92B1E" w:rsidRPr="00C84B49" w:rsidRDefault="00D92B1E" w:rsidP="00AE4467">
      <w:pPr>
        <w:widowControl w:val="0"/>
        <w:autoSpaceDE w:val="0"/>
        <w:autoSpaceDN w:val="0"/>
        <w:adjustRightInd w:val="0"/>
        <w:spacing w:line="276" w:lineRule="auto"/>
        <w:ind w:left="480" w:hanging="480"/>
        <w:jc w:val="both"/>
        <w:rPr>
          <w:rFonts w:cs="Times New Roman"/>
          <w:noProof/>
          <w:szCs w:val="24"/>
        </w:rPr>
      </w:pPr>
      <w:r w:rsidRPr="00C84B49">
        <w:rPr>
          <w:rFonts w:cs="Times New Roman"/>
          <w:noProof/>
          <w:szCs w:val="24"/>
        </w:rPr>
        <w:t xml:space="preserve">Kruk, M., and Jaroniec, M. (2001). Gas adsorption characterization of ordered organic-inorganic nanocomposite materials. </w:t>
      </w:r>
      <w:r w:rsidRPr="00C84B49">
        <w:rPr>
          <w:rFonts w:cs="Times New Roman"/>
          <w:i/>
          <w:iCs/>
          <w:noProof/>
          <w:szCs w:val="24"/>
        </w:rPr>
        <w:t>Chem. Mater.</w:t>
      </w:r>
      <w:r w:rsidRPr="00C84B49">
        <w:rPr>
          <w:rFonts w:cs="Times New Roman"/>
          <w:noProof/>
          <w:szCs w:val="24"/>
        </w:rPr>
        <w:t xml:space="preserve"> 13, 3169–3183. doi:</w:t>
      </w:r>
      <w:r w:rsidRPr="00C84B49">
        <w:t xml:space="preserve"> </w:t>
      </w:r>
      <w:r w:rsidRPr="00C84B49">
        <w:rPr>
          <w:rFonts w:cs="Times New Roman"/>
          <w:noProof/>
          <w:szCs w:val="24"/>
        </w:rPr>
        <w:t>10.1021/cm0101069.</w:t>
      </w:r>
      <w:r w:rsidR="00AE4467">
        <w:rPr>
          <w:rFonts w:cs="Times New Roman"/>
          <w:noProof/>
          <w:szCs w:val="24"/>
        </w:rPr>
        <w:t>H</w:t>
      </w:r>
    </w:p>
    <w:p w14:paraId="2DCDC23E" w14:textId="77777777" w:rsidR="00177963" w:rsidRPr="00C84B49" w:rsidRDefault="00177963" w:rsidP="00AE4467">
      <w:pPr>
        <w:widowControl w:val="0"/>
        <w:autoSpaceDE w:val="0"/>
        <w:autoSpaceDN w:val="0"/>
        <w:adjustRightInd w:val="0"/>
        <w:spacing w:line="276" w:lineRule="auto"/>
        <w:ind w:left="480" w:hanging="480"/>
        <w:jc w:val="both"/>
        <w:rPr>
          <w:rFonts w:cs="Times New Roman"/>
          <w:noProof/>
          <w:szCs w:val="24"/>
        </w:rPr>
      </w:pPr>
      <w:r w:rsidRPr="00C84B49">
        <w:rPr>
          <w:rFonts w:cs="Times New Roman"/>
          <w:noProof/>
          <w:szCs w:val="24"/>
        </w:rPr>
        <w:t xml:space="preserve">Laurano, R., Cassino, C., Ciardelli, G., Chiono, V., and Boffito, M. (2020). Polyurethane-based thiomers: A new multifunctional copolymer platform for biomedical applications. </w:t>
      </w:r>
      <w:r w:rsidRPr="00C84B49">
        <w:rPr>
          <w:rFonts w:cs="Times New Roman"/>
          <w:i/>
          <w:iCs/>
          <w:noProof/>
          <w:szCs w:val="24"/>
        </w:rPr>
        <w:t>React. Funct. Polym.</w:t>
      </w:r>
      <w:r w:rsidRPr="00C84B49">
        <w:rPr>
          <w:rFonts w:cs="Times New Roman"/>
          <w:noProof/>
          <w:szCs w:val="24"/>
        </w:rPr>
        <w:t xml:space="preserve"> 146, 104413. doi:10.1016/j.reactfunctpolym.2019.104413.</w:t>
      </w:r>
    </w:p>
    <w:p w14:paraId="30425CEF" w14:textId="77777777" w:rsidR="00177963" w:rsidRPr="00C84B49" w:rsidRDefault="00177963" w:rsidP="00AE4467">
      <w:pPr>
        <w:widowControl w:val="0"/>
        <w:autoSpaceDE w:val="0"/>
        <w:autoSpaceDN w:val="0"/>
        <w:adjustRightInd w:val="0"/>
        <w:spacing w:line="276" w:lineRule="auto"/>
        <w:ind w:left="480" w:hanging="480"/>
        <w:jc w:val="both"/>
        <w:rPr>
          <w:rFonts w:cs="Times New Roman"/>
          <w:noProof/>
          <w:szCs w:val="24"/>
        </w:rPr>
      </w:pPr>
      <w:r w:rsidRPr="00C84B49">
        <w:rPr>
          <w:rFonts w:cs="Times New Roman"/>
          <w:noProof/>
          <w:szCs w:val="24"/>
        </w:rPr>
        <w:t xml:space="preserve">Manzano, M., Aina, V., Areán, C. O., Balas, F., Cauda, V., Colilla, M., et al. (2008). Studies on MCM-41 mesoporous silica for drug delivery: Effect of particle morphology and amine functionalization. </w:t>
      </w:r>
      <w:r w:rsidRPr="00C84B49">
        <w:rPr>
          <w:rFonts w:cs="Times New Roman"/>
          <w:i/>
          <w:iCs/>
          <w:noProof/>
          <w:szCs w:val="24"/>
        </w:rPr>
        <w:t>Chem. Eng. J.</w:t>
      </w:r>
      <w:r w:rsidRPr="00C84B49">
        <w:rPr>
          <w:rFonts w:cs="Times New Roman"/>
          <w:noProof/>
          <w:szCs w:val="24"/>
        </w:rPr>
        <w:t xml:space="preserve"> 137, 30–37. doi: 10.1016/j.cej.2007.07.078.</w:t>
      </w:r>
    </w:p>
    <w:p w14:paraId="0F0FEAD7" w14:textId="77777777" w:rsidR="00D928DF" w:rsidRPr="00C84B49" w:rsidRDefault="00D928DF" w:rsidP="00AE4467">
      <w:pPr>
        <w:widowControl w:val="0"/>
        <w:autoSpaceDE w:val="0"/>
        <w:autoSpaceDN w:val="0"/>
        <w:adjustRightInd w:val="0"/>
        <w:spacing w:line="276" w:lineRule="auto"/>
        <w:ind w:left="480" w:hanging="480"/>
        <w:jc w:val="both"/>
        <w:rPr>
          <w:rFonts w:cs="Times New Roman"/>
          <w:noProof/>
          <w:szCs w:val="24"/>
        </w:rPr>
      </w:pPr>
      <w:r w:rsidRPr="00C84B49">
        <w:rPr>
          <w:rFonts w:cs="Times New Roman"/>
          <w:noProof/>
          <w:szCs w:val="24"/>
        </w:rPr>
        <w:t xml:space="preserve">Margolin, Z., and Long, F. A. (1973). Acidic behavior of chloroform. </w:t>
      </w:r>
      <w:r w:rsidRPr="00C84B49">
        <w:rPr>
          <w:rFonts w:cs="Times New Roman"/>
          <w:i/>
          <w:iCs/>
          <w:noProof/>
          <w:szCs w:val="24"/>
        </w:rPr>
        <w:t>J. Am. Chem. Soc.</w:t>
      </w:r>
      <w:r w:rsidRPr="00C84B49">
        <w:rPr>
          <w:rFonts w:cs="Times New Roman"/>
          <w:noProof/>
          <w:szCs w:val="24"/>
        </w:rPr>
        <w:t xml:space="preserve"> 95, 2757-2762. doi:10.1021/ja00790a001.</w:t>
      </w:r>
    </w:p>
    <w:p w14:paraId="4DEF59F2" w14:textId="77777777" w:rsidR="00177963" w:rsidRPr="00C84B49" w:rsidRDefault="00177963" w:rsidP="00AE4467">
      <w:pPr>
        <w:widowControl w:val="0"/>
        <w:autoSpaceDE w:val="0"/>
        <w:autoSpaceDN w:val="0"/>
        <w:adjustRightInd w:val="0"/>
        <w:spacing w:line="276" w:lineRule="auto"/>
        <w:ind w:left="480" w:hanging="480"/>
        <w:jc w:val="both"/>
        <w:rPr>
          <w:rFonts w:cs="Times New Roman"/>
          <w:noProof/>
          <w:szCs w:val="24"/>
        </w:rPr>
      </w:pPr>
      <w:r w:rsidRPr="00C84B49">
        <w:rPr>
          <w:rFonts w:cs="Times New Roman"/>
          <w:noProof/>
          <w:szCs w:val="24"/>
        </w:rPr>
        <w:lastRenderedPageBreak/>
        <w:t xml:space="preserve">Mesa, M., Sierra, L., Patarin, J., and Guth, J. L. (2005). Morphology and porosity characteristics control of SBA-16 mesoporous silica. Effect of the triblock surfactant Pluronic F127 degradation during the synthesis. </w:t>
      </w:r>
      <w:r w:rsidRPr="00C84B49">
        <w:rPr>
          <w:rFonts w:cs="Times New Roman"/>
          <w:i/>
          <w:iCs/>
          <w:noProof/>
          <w:szCs w:val="24"/>
        </w:rPr>
        <w:t>Solid State Sci.</w:t>
      </w:r>
      <w:r w:rsidRPr="00C84B49">
        <w:rPr>
          <w:rFonts w:cs="Times New Roman"/>
          <w:noProof/>
          <w:szCs w:val="24"/>
        </w:rPr>
        <w:t xml:space="preserve"> 7, 990-997. doi:10.1016/j.solidstatesciences.2005.04.006.</w:t>
      </w:r>
    </w:p>
    <w:p w14:paraId="709F2AF2" w14:textId="77777777" w:rsidR="00177963" w:rsidRPr="00C84B49" w:rsidRDefault="00177963" w:rsidP="00AE4467">
      <w:pPr>
        <w:widowControl w:val="0"/>
        <w:autoSpaceDE w:val="0"/>
        <w:autoSpaceDN w:val="0"/>
        <w:adjustRightInd w:val="0"/>
        <w:spacing w:line="276" w:lineRule="auto"/>
        <w:ind w:left="480" w:hanging="480"/>
        <w:jc w:val="both"/>
        <w:rPr>
          <w:rFonts w:cs="Times New Roman"/>
          <w:noProof/>
          <w:szCs w:val="24"/>
        </w:rPr>
      </w:pPr>
      <w:r w:rsidRPr="00C84B49">
        <w:rPr>
          <w:rFonts w:cs="Times New Roman"/>
          <w:noProof/>
          <w:szCs w:val="24"/>
        </w:rPr>
        <w:t>Müller, I. A., Kratz, F., Jung, M., and Warnecke, A. (2010). Schiff bases derived from p-aminobenzyl alcohol as trigger groups for pH-dependent prodrug activation. 51, 4371–4374. doi: 10.1016/j.tetlet.2010.06.055.</w:t>
      </w:r>
    </w:p>
    <w:p w14:paraId="5A57A489" w14:textId="77777777" w:rsidR="00177963" w:rsidRPr="00C84B49" w:rsidRDefault="00177963" w:rsidP="00AE4467">
      <w:pPr>
        <w:widowControl w:val="0"/>
        <w:autoSpaceDE w:val="0"/>
        <w:autoSpaceDN w:val="0"/>
        <w:adjustRightInd w:val="0"/>
        <w:spacing w:line="276" w:lineRule="auto"/>
        <w:ind w:left="480" w:hanging="480"/>
        <w:jc w:val="both"/>
        <w:rPr>
          <w:rFonts w:cs="Times New Roman"/>
          <w:noProof/>
          <w:szCs w:val="24"/>
        </w:rPr>
      </w:pPr>
      <w:r w:rsidRPr="00C84B49">
        <w:rPr>
          <w:rFonts w:cs="Times New Roman"/>
          <w:noProof/>
          <w:szCs w:val="24"/>
        </w:rPr>
        <w:t xml:space="preserve">Toki, B. E., Cerveny, C. G., Wahl, A. F., and Senter, P. D. (2002). Protease-mediated fragmentation of p-amidobenzyl ethers: A new strategy for the activation of anticancer prodrugs. </w:t>
      </w:r>
      <w:r w:rsidRPr="00C84B49">
        <w:rPr>
          <w:rFonts w:cs="Times New Roman"/>
          <w:i/>
          <w:iCs/>
          <w:noProof/>
          <w:szCs w:val="24"/>
        </w:rPr>
        <w:t>J. Org. Chem.</w:t>
      </w:r>
      <w:r w:rsidRPr="00C84B49">
        <w:rPr>
          <w:rFonts w:cs="Times New Roman"/>
          <w:noProof/>
          <w:szCs w:val="24"/>
        </w:rPr>
        <w:t xml:space="preserve"> 67, 1866–1872. doi: 10.1021/jo016187+.</w:t>
      </w:r>
    </w:p>
    <w:p w14:paraId="2F67F773" w14:textId="77777777" w:rsidR="00177963" w:rsidRPr="00C84B49" w:rsidRDefault="00177963" w:rsidP="00AE4467">
      <w:pPr>
        <w:widowControl w:val="0"/>
        <w:autoSpaceDE w:val="0"/>
        <w:autoSpaceDN w:val="0"/>
        <w:adjustRightInd w:val="0"/>
        <w:spacing w:line="276" w:lineRule="auto"/>
        <w:ind w:left="480" w:hanging="480"/>
        <w:jc w:val="both"/>
        <w:rPr>
          <w:rFonts w:cs="Times New Roman"/>
          <w:noProof/>
          <w:szCs w:val="24"/>
        </w:rPr>
      </w:pPr>
      <w:r w:rsidRPr="00C84B49">
        <w:rPr>
          <w:rFonts w:cs="Times New Roman"/>
          <w:noProof/>
          <w:szCs w:val="24"/>
        </w:rPr>
        <w:t xml:space="preserve">Trathnigg, B. (2000). "Size-exclusion chromatography of polymers", in </w:t>
      </w:r>
      <w:r w:rsidRPr="00C84B49">
        <w:rPr>
          <w:i/>
        </w:rPr>
        <w:t>Encyclopedia of Analytical Chemistry</w:t>
      </w:r>
      <w:r w:rsidRPr="00C84B49">
        <w:rPr>
          <w:rFonts w:cs="Times New Roman"/>
          <w:noProof/>
          <w:szCs w:val="24"/>
        </w:rPr>
        <w:t>, ed Meyers R. A. (Chichester, Jonh Wiley &amp; Sons Ltd), 8008–8034.</w:t>
      </w:r>
    </w:p>
    <w:p w14:paraId="3E21ADEF" w14:textId="77777777" w:rsidR="00177963" w:rsidRPr="00C84B49" w:rsidRDefault="00177963" w:rsidP="00AE4467">
      <w:pPr>
        <w:widowControl w:val="0"/>
        <w:autoSpaceDE w:val="0"/>
        <w:autoSpaceDN w:val="0"/>
        <w:adjustRightInd w:val="0"/>
        <w:spacing w:line="276" w:lineRule="auto"/>
        <w:ind w:left="480" w:hanging="480"/>
        <w:jc w:val="both"/>
        <w:rPr>
          <w:rFonts w:cs="Times New Roman"/>
          <w:noProof/>
          <w:szCs w:val="24"/>
        </w:rPr>
      </w:pPr>
      <w:r w:rsidRPr="00C84B49">
        <w:rPr>
          <w:rFonts w:cs="Times New Roman"/>
          <w:noProof/>
          <w:szCs w:val="24"/>
        </w:rPr>
        <w:t xml:space="preserve">Yang, B., Guo, C., Chen, S., Junhe, M., Wang, J., Liang, X., et al. (2006). Effect of acid on the aggregation of poly(ethylene oxide)-poly(propylene oxide)-poly(ethylene oxide) block copolymers. </w:t>
      </w:r>
      <w:r w:rsidRPr="00C84B49">
        <w:rPr>
          <w:rFonts w:cs="Times New Roman"/>
          <w:i/>
          <w:iCs/>
          <w:noProof/>
          <w:szCs w:val="24"/>
        </w:rPr>
        <w:t>J. Phys. Chem. B</w:t>
      </w:r>
      <w:r w:rsidRPr="00C84B49">
        <w:rPr>
          <w:rFonts w:cs="Times New Roman"/>
          <w:noProof/>
          <w:szCs w:val="24"/>
        </w:rPr>
        <w:t xml:space="preserve"> 110, 23068-23074. doi:10.1021/jp0634149.</w:t>
      </w:r>
    </w:p>
    <w:p w14:paraId="4D777B78" w14:textId="77777777" w:rsidR="00177963" w:rsidRPr="00C84B49" w:rsidRDefault="00177963" w:rsidP="00AE4467">
      <w:pPr>
        <w:widowControl w:val="0"/>
        <w:autoSpaceDE w:val="0"/>
        <w:autoSpaceDN w:val="0"/>
        <w:adjustRightInd w:val="0"/>
        <w:spacing w:line="276" w:lineRule="auto"/>
        <w:ind w:left="480" w:hanging="480"/>
        <w:jc w:val="both"/>
        <w:rPr>
          <w:rFonts w:cs="Times New Roman"/>
          <w:noProof/>
          <w:szCs w:val="24"/>
        </w:rPr>
      </w:pPr>
      <w:r w:rsidRPr="00C84B49">
        <w:rPr>
          <w:rFonts w:cs="Times New Roman"/>
          <w:noProof/>
          <w:szCs w:val="24"/>
        </w:rPr>
        <w:t xml:space="preserve">Vallet-Regí, M. (2010). Nanostructured mesoporous silica matrices in nanomedicine. </w:t>
      </w:r>
      <w:r w:rsidRPr="00C84B49">
        <w:rPr>
          <w:rFonts w:cs="Times New Roman"/>
          <w:i/>
          <w:iCs/>
          <w:noProof/>
          <w:szCs w:val="24"/>
        </w:rPr>
        <w:t>J. Intern. Med.</w:t>
      </w:r>
      <w:r w:rsidRPr="00C84B49">
        <w:rPr>
          <w:rFonts w:cs="Times New Roman"/>
          <w:noProof/>
          <w:szCs w:val="24"/>
        </w:rPr>
        <w:t xml:space="preserve"> 267, 22–43. doi: </w:t>
      </w:r>
      <w:r w:rsidRPr="00C84B49">
        <w:t>10.1111/j.1365-2796.2009.02190.x.</w:t>
      </w:r>
    </w:p>
    <w:p w14:paraId="7CD333CF" w14:textId="77777777" w:rsidR="00177963" w:rsidRPr="00C84B49" w:rsidRDefault="00177963" w:rsidP="00AE4467">
      <w:pPr>
        <w:widowControl w:val="0"/>
        <w:autoSpaceDE w:val="0"/>
        <w:autoSpaceDN w:val="0"/>
        <w:adjustRightInd w:val="0"/>
        <w:spacing w:line="276" w:lineRule="auto"/>
        <w:ind w:left="480" w:hanging="480"/>
        <w:jc w:val="both"/>
        <w:rPr>
          <w:rFonts w:cs="Times New Roman"/>
          <w:noProof/>
          <w:szCs w:val="24"/>
        </w:rPr>
      </w:pPr>
    </w:p>
    <w:p w14:paraId="762D2CEE" w14:textId="77777777" w:rsidR="00177963" w:rsidRPr="00C84B49" w:rsidRDefault="00177963" w:rsidP="00AE4467">
      <w:pPr>
        <w:widowControl w:val="0"/>
        <w:autoSpaceDE w:val="0"/>
        <w:autoSpaceDN w:val="0"/>
        <w:adjustRightInd w:val="0"/>
        <w:spacing w:line="276" w:lineRule="auto"/>
        <w:ind w:left="480" w:hanging="480"/>
        <w:jc w:val="both"/>
        <w:rPr>
          <w:rFonts w:cs="Times New Roman"/>
          <w:noProof/>
          <w:szCs w:val="24"/>
        </w:rPr>
      </w:pPr>
    </w:p>
    <w:p w14:paraId="7B65BC41" w14:textId="77777777" w:rsidR="00DE23E8" w:rsidRPr="00C84B49" w:rsidRDefault="00DE23E8" w:rsidP="00AE4467">
      <w:pPr>
        <w:spacing w:before="240" w:line="276" w:lineRule="auto"/>
      </w:pPr>
    </w:p>
    <w:sectPr w:rsidR="00DE23E8" w:rsidRPr="00C84B49" w:rsidSect="0093429D">
      <w:headerReference w:type="even" r:id="rId17"/>
      <w:footerReference w:type="even" r:id="rId18"/>
      <w:footerReference w:type="default" r:id="rId19"/>
      <w:headerReference w:type="first" r:id="rId20"/>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03A602" w14:textId="77777777" w:rsidR="00BB6099" w:rsidRDefault="00BB6099" w:rsidP="00117666">
      <w:pPr>
        <w:spacing w:after="0"/>
      </w:pPr>
      <w:r>
        <w:separator/>
      </w:r>
    </w:p>
  </w:endnote>
  <w:endnote w:type="continuationSeparator" w:id="0">
    <w:p w14:paraId="658E80A4" w14:textId="77777777" w:rsidR="00BB6099" w:rsidRDefault="00BB6099"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3025F" w14:textId="77777777" w:rsidR="00995F6A" w:rsidRPr="00577C4C" w:rsidRDefault="00C52A7B">
    <w:pPr>
      <w:rPr>
        <w:color w:val="C00000"/>
        <w:szCs w:val="24"/>
      </w:rPr>
    </w:pPr>
    <w:r>
      <w:rPr>
        <w:noProof/>
        <w:lang w:val="it-IT" w:eastAsia="it-IT"/>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446C8">
                            <w:rPr>
                              <w:noProof/>
                              <w:color w:val="000000" w:themeColor="text1"/>
                              <w:szCs w:val="40"/>
                            </w:rPr>
                            <w:t>12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446C8">
                      <w:rPr>
                        <w:noProof/>
                        <w:color w:val="000000" w:themeColor="text1"/>
                        <w:szCs w:val="40"/>
                      </w:rPr>
                      <w:t>12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D6A35" w14:textId="77777777" w:rsidR="00995F6A" w:rsidRPr="00577C4C" w:rsidRDefault="00C52A7B">
    <w:pPr>
      <w:rPr>
        <w:b/>
        <w:sz w:val="20"/>
        <w:szCs w:val="24"/>
      </w:rPr>
    </w:pPr>
    <w:r>
      <w:rPr>
        <w:noProof/>
        <w:lang w:val="it-IT" w:eastAsia="it-IT"/>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446C8">
                            <w:rPr>
                              <w:noProof/>
                              <w:color w:val="000000" w:themeColor="text1"/>
                              <w:szCs w:val="40"/>
                            </w:rPr>
                            <w:t>11</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446C8">
                      <w:rPr>
                        <w:noProof/>
                        <w:color w:val="000000" w:themeColor="text1"/>
                        <w:szCs w:val="40"/>
                      </w:rPr>
                      <w:t>11</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BA96FB" w14:textId="77777777" w:rsidR="00BB6099" w:rsidRDefault="00BB6099" w:rsidP="00117666">
      <w:pPr>
        <w:spacing w:after="0"/>
      </w:pPr>
      <w:r>
        <w:separator/>
      </w:r>
    </w:p>
  </w:footnote>
  <w:footnote w:type="continuationSeparator" w:id="0">
    <w:p w14:paraId="30293F77" w14:textId="77777777" w:rsidR="00BB6099" w:rsidRDefault="00BB6099"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D68C6" w14:textId="77777777" w:rsidR="00995F6A" w:rsidRDefault="0093429D" w:rsidP="0093429D">
    <w:r w:rsidRPr="005A1D84">
      <w:rPr>
        <w:b/>
        <w:noProof/>
        <w:color w:val="A6A6A6" w:themeColor="background1" w:themeShade="A6"/>
        <w:lang w:val="it-IT" w:eastAsia="it-IT"/>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Titolo1"/>
      <w:lvlText w:val="%1"/>
      <w:lvlJc w:val="left"/>
      <w:pPr>
        <w:tabs>
          <w:tab w:val="num" w:pos="567"/>
        </w:tabs>
        <w:ind w:left="567" w:hanging="567"/>
      </w:pPr>
      <w:rPr>
        <w:rFonts w:hint="default"/>
      </w:rPr>
    </w:lvl>
    <w:lvl w:ilvl="1">
      <w:start w:val="1"/>
      <w:numFmt w:val="decimal"/>
      <w:pStyle w:val="Titolo2"/>
      <w:lvlText w:val="%1.%2"/>
      <w:lvlJc w:val="left"/>
      <w:pPr>
        <w:tabs>
          <w:tab w:val="num" w:pos="567"/>
        </w:tabs>
        <w:ind w:left="567" w:hanging="567"/>
      </w:pPr>
      <w:rPr>
        <w:rFonts w:hint="default"/>
      </w:rPr>
    </w:lvl>
    <w:lvl w:ilvl="2">
      <w:start w:val="1"/>
      <w:numFmt w:val="decimal"/>
      <w:pStyle w:val="Titolo3"/>
      <w:lvlText w:val="%1.%2.%3"/>
      <w:lvlJc w:val="left"/>
      <w:pPr>
        <w:tabs>
          <w:tab w:val="num" w:pos="567"/>
        </w:tabs>
        <w:ind w:left="567" w:hanging="567"/>
      </w:pPr>
      <w:rPr>
        <w:rFonts w:hint="default"/>
      </w:rPr>
    </w:lvl>
    <w:lvl w:ilvl="3">
      <w:start w:val="1"/>
      <w:numFmt w:val="decimal"/>
      <w:pStyle w:val="Titolo4"/>
      <w:lvlText w:val="%1.%2.%3.%4"/>
      <w:lvlJc w:val="left"/>
      <w:pPr>
        <w:tabs>
          <w:tab w:val="num" w:pos="567"/>
        </w:tabs>
        <w:ind w:left="567" w:hanging="567"/>
      </w:pPr>
      <w:rPr>
        <w:rFonts w:hint="default"/>
      </w:rPr>
    </w:lvl>
    <w:lvl w:ilvl="4">
      <w:start w:val="1"/>
      <w:numFmt w:val="decimal"/>
      <w:pStyle w:val="Tito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Paragrafoelenco"/>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302A7CAC"/>
    <w:multiLevelType w:val="multilevel"/>
    <w:tmpl w:val="2D740DBE"/>
    <w:numStyleLink w:val="Headings"/>
  </w:abstractNum>
  <w:abstractNum w:abstractNumId="5">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7"/>
  </w:num>
  <w:num w:numId="9">
    <w:abstractNumId w:val="7"/>
  </w:num>
  <w:num w:numId="10">
    <w:abstractNumId w:val="7"/>
  </w:num>
  <w:num w:numId="11">
    <w:abstractNumId w:val="7"/>
  </w:num>
  <w:num w:numId="12">
    <w:abstractNumId w:val="7"/>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lvlOverride w:ilvl="0">
      <w:lvl w:ilvl="0">
        <w:start w:val="1"/>
        <w:numFmt w:val="decimal"/>
        <w:pStyle w:val="Titolo1"/>
        <w:lvlText w:val="%1"/>
        <w:lvlJc w:val="left"/>
        <w:pPr>
          <w:tabs>
            <w:tab w:val="num" w:pos="567"/>
          </w:tabs>
          <w:ind w:left="567" w:hanging="567"/>
        </w:pPr>
        <w:rPr>
          <w:rFonts w:hint="default"/>
        </w:rPr>
      </w:lvl>
    </w:lvlOverride>
    <w:lvlOverride w:ilvl="1">
      <w:lvl w:ilvl="1">
        <w:start w:val="1"/>
        <w:numFmt w:val="decimal"/>
        <w:pStyle w:val="Titolo2"/>
        <w:lvlText w:val="%1.%2"/>
        <w:lvlJc w:val="left"/>
        <w:pPr>
          <w:tabs>
            <w:tab w:val="num" w:pos="567"/>
          </w:tabs>
          <w:ind w:left="567" w:hanging="567"/>
        </w:pPr>
        <w:rPr>
          <w:rFonts w:hint="default"/>
        </w:rPr>
      </w:lvl>
    </w:lvlOverride>
  </w:num>
  <w:num w:numId="21">
    <w:abstractNumId w:val="4"/>
  </w:num>
  <w:num w:numId="22">
    <w:abstractNumId w:val="2"/>
    <w:lvlOverride w:ilvl="0">
      <w:lvl w:ilvl="0">
        <w:start w:val="1"/>
        <w:numFmt w:val="decimal"/>
        <w:pStyle w:val="Titolo1"/>
        <w:lvlText w:val="%1"/>
        <w:lvlJc w:val="left"/>
        <w:pPr>
          <w:tabs>
            <w:tab w:val="num" w:pos="567"/>
          </w:tabs>
          <w:ind w:left="567" w:hanging="567"/>
        </w:pPr>
        <w:rPr>
          <w:rFonts w:hint="default"/>
        </w:rPr>
      </w:lvl>
    </w:lvlOverride>
    <w:lvlOverride w:ilvl="1">
      <w:lvl w:ilvl="1">
        <w:start w:val="1"/>
        <w:numFmt w:val="decimal"/>
        <w:pStyle w:val="Titolo2"/>
        <w:lvlText w:val="%1.%2"/>
        <w:lvlJc w:val="left"/>
        <w:pPr>
          <w:tabs>
            <w:tab w:val="num" w:pos="567"/>
          </w:tabs>
          <w:ind w:left="567" w:hanging="567"/>
        </w:pPr>
        <w:rPr>
          <w:rFonts w:hint="default"/>
        </w:rPr>
      </w:lvl>
    </w:lvlOverride>
    <w:lvlOverride w:ilvl="2">
      <w:lvl w:ilvl="2">
        <w:start w:val="1"/>
        <w:numFmt w:val="decimal"/>
        <w:pStyle w:val="Titolo3"/>
        <w:lvlText w:val="%1.%2.%3"/>
        <w:lvlJc w:val="left"/>
        <w:pPr>
          <w:tabs>
            <w:tab w:val="num" w:pos="1134"/>
          </w:tabs>
          <w:ind w:left="1134" w:hanging="567"/>
        </w:pPr>
        <w:rPr>
          <w:rFonts w:hint="default"/>
          <w:i w:val="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attachedTemplate r:id="rId1"/>
  <w:defaultTabStop w:val="720"/>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00B55"/>
    <w:rsid w:val="0001436A"/>
    <w:rsid w:val="00034304"/>
    <w:rsid w:val="00035434"/>
    <w:rsid w:val="00052A14"/>
    <w:rsid w:val="00077D53"/>
    <w:rsid w:val="00105FD9"/>
    <w:rsid w:val="00117666"/>
    <w:rsid w:val="00151858"/>
    <w:rsid w:val="001549D3"/>
    <w:rsid w:val="00160065"/>
    <w:rsid w:val="00172066"/>
    <w:rsid w:val="00177963"/>
    <w:rsid w:val="00177D84"/>
    <w:rsid w:val="001A221B"/>
    <w:rsid w:val="00267D18"/>
    <w:rsid w:val="00274347"/>
    <w:rsid w:val="002868E2"/>
    <w:rsid w:val="002869C3"/>
    <w:rsid w:val="002936E4"/>
    <w:rsid w:val="002B4A57"/>
    <w:rsid w:val="002C74CA"/>
    <w:rsid w:val="003123F4"/>
    <w:rsid w:val="00316F57"/>
    <w:rsid w:val="003544FB"/>
    <w:rsid w:val="003D2F2D"/>
    <w:rsid w:val="003F636D"/>
    <w:rsid w:val="00401590"/>
    <w:rsid w:val="00415E45"/>
    <w:rsid w:val="00447801"/>
    <w:rsid w:val="00452E9C"/>
    <w:rsid w:val="004735C8"/>
    <w:rsid w:val="004947A6"/>
    <w:rsid w:val="004961FF"/>
    <w:rsid w:val="004B4E64"/>
    <w:rsid w:val="00517A89"/>
    <w:rsid w:val="005250F2"/>
    <w:rsid w:val="005446C8"/>
    <w:rsid w:val="00593EEA"/>
    <w:rsid w:val="005A5EEE"/>
    <w:rsid w:val="005C7A2C"/>
    <w:rsid w:val="005E056B"/>
    <w:rsid w:val="006375C7"/>
    <w:rsid w:val="00654E8F"/>
    <w:rsid w:val="00660D05"/>
    <w:rsid w:val="006820B1"/>
    <w:rsid w:val="006B47A6"/>
    <w:rsid w:val="006B7D14"/>
    <w:rsid w:val="00701727"/>
    <w:rsid w:val="0070566C"/>
    <w:rsid w:val="00710AEF"/>
    <w:rsid w:val="00714C50"/>
    <w:rsid w:val="00725A7D"/>
    <w:rsid w:val="007464F9"/>
    <w:rsid w:val="007501BE"/>
    <w:rsid w:val="00752196"/>
    <w:rsid w:val="007773A8"/>
    <w:rsid w:val="0078513B"/>
    <w:rsid w:val="00790BB3"/>
    <w:rsid w:val="007C206C"/>
    <w:rsid w:val="00817DD6"/>
    <w:rsid w:val="0083759F"/>
    <w:rsid w:val="00876E61"/>
    <w:rsid w:val="00885156"/>
    <w:rsid w:val="008D0ED4"/>
    <w:rsid w:val="009151AA"/>
    <w:rsid w:val="0093429D"/>
    <w:rsid w:val="00937571"/>
    <w:rsid w:val="00943573"/>
    <w:rsid w:val="00964134"/>
    <w:rsid w:val="00970F7D"/>
    <w:rsid w:val="0097473A"/>
    <w:rsid w:val="00994A3D"/>
    <w:rsid w:val="009C2B12"/>
    <w:rsid w:val="009D7F7C"/>
    <w:rsid w:val="00A07BC9"/>
    <w:rsid w:val="00A174D9"/>
    <w:rsid w:val="00A34F8D"/>
    <w:rsid w:val="00A8420D"/>
    <w:rsid w:val="00AA4D24"/>
    <w:rsid w:val="00AB6715"/>
    <w:rsid w:val="00AE4467"/>
    <w:rsid w:val="00B1671E"/>
    <w:rsid w:val="00B25EB8"/>
    <w:rsid w:val="00B36298"/>
    <w:rsid w:val="00B37F4D"/>
    <w:rsid w:val="00B46CF8"/>
    <w:rsid w:val="00B82E63"/>
    <w:rsid w:val="00B9625B"/>
    <w:rsid w:val="00BB6099"/>
    <w:rsid w:val="00C52A7B"/>
    <w:rsid w:val="00C56BAF"/>
    <w:rsid w:val="00C64B75"/>
    <w:rsid w:val="00C679AA"/>
    <w:rsid w:val="00C75972"/>
    <w:rsid w:val="00C76A0D"/>
    <w:rsid w:val="00C84B49"/>
    <w:rsid w:val="00C9100D"/>
    <w:rsid w:val="00CD066B"/>
    <w:rsid w:val="00CD1CD3"/>
    <w:rsid w:val="00CE4FEE"/>
    <w:rsid w:val="00D060CF"/>
    <w:rsid w:val="00D31721"/>
    <w:rsid w:val="00D52290"/>
    <w:rsid w:val="00D928DF"/>
    <w:rsid w:val="00D92B1E"/>
    <w:rsid w:val="00DB59C3"/>
    <w:rsid w:val="00DC259A"/>
    <w:rsid w:val="00DE23E8"/>
    <w:rsid w:val="00E01407"/>
    <w:rsid w:val="00E52377"/>
    <w:rsid w:val="00E537AD"/>
    <w:rsid w:val="00E64E17"/>
    <w:rsid w:val="00E866C9"/>
    <w:rsid w:val="00EA3D3C"/>
    <w:rsid w:val="00EC090A"/>
    <w:rsid w:val="00ED20B5"/>
    <w:rsid w:val="00ED58C3"/>
    <w:rsid w:val="00EF735D"/>
    <w:rsid w:val="00F25F7C"/>
    <w:rsid w:val="00F46900"/>
    <w:rsid w:val="00F476D1"/>
    <w:rsid w:val="00F60440"/>
    <w:rsid w:val="00F61D89"/>
    <w:rsid w:val="00FE0D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B6715"/>
    <w:pPr>
      <w:spacing w:before="120" w:after="240" w:line="240" w:lineRule="auto"/>
    </w:pPr>
    <w:rPr>
      <w:rFonts w:ascii="Times New Roman" w:hAnsi="Times New Roman"/>
      <w:sz w:val="24"/>
    </w:rPr>
  </w:style>
  <w:style w:type="paragraph" w:styleId="Titolo1">
    <w:name w:val="heading 1"/>
    <w:basedOn w:val="Paragrafoelenco"/>
    <w:next w:val="Normale"/>
    <w:link w:val="Titolo1Carattere"/>
    <w:uiPriority w:val="2"/>
    <w:qFormat/>
    <w:rsid w:val="00AB6715"/>
    <w:pPr>
      <w:numPr>
        <w:numId w:val="19"/>
      </w:numPr>
      <w:spacing w:before="240"/>
      <w:contextualSpacing w:val="0"/>
      <w:outlineLvl w:val="0"/>
    </w:pPr>
    <w:rPr>
      <w:b/>
    </w:rPr>
  </w:style>
  <w:style w:type="paragraph" w:styleId="Titolo2">
    <w:name w:val="heading 2"/>
    <w:basedOn w:val="Titolo1"/>
    <w:next w:val="Normale"/>
    <w:link w:val="Titolo2Carattere"/>
    <w:uiPriority w:val="2"/>
    <w:qFormat/>
    <w:rsid w:val="00AB6715"/>
    <w:pPr>
      <w:numPr>
        <w:ilvl w:val="1"/>
      </w:numPr>
      <w:spacing w:after="200"/>
      <w:outlineLvl w:val="1"/>
    </w:pPr>
  </w:style>
  <w:style w:type="paragraph" w:styleId="Titolo3">
    <w:name w:val="heading 3"/>
    <w:basedOn w:val="Normale"/>
    <w:next w:val="Normale"/>
    <w:link w:val="Titolo3Carattere"/>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itolo4">
    <w:name w:val="heading 4"/>
    <w:basedOn w:val="Titolo3"/>
    <w:next w:val="Normale"/>
    <w:link w:val="Titolo4Carattere"/>
    <w:uiPriority w:val="2"/>
    <w:qFormat/>
    <w:rsid w:val="00AB6715"/>
    <w:pPr>
      <w:numPr>
        <w:ilvl w:val="3"/>
      </w:numPr>
      <w:outlineLvl w:val="3"/>
    </w:pPr>
    <w:rPr>
      <w:iCs/>
    </w:rPr>
  </w:style>
  <w:style w:type="paragraph" w:styleId="Titolo5">
    <w:name w:val="heading 5"/>
    <w:basedOn w:val="Titolo4"/>
    <w:next w:val="Normale"/>
    <w:link w:val="Titolo5Carattere"/>
    <w:uiPriority w:val="2"/>
    <w:qFormat/>
    <w:rsid w:val="00AB6715"/>
    <w:pPr>
      <w:numPr>
        <w:ilvl w:val="4"/>
      </w:numPr>
      <w:outlineLvl w:val="4"/>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2"/>
    <w:rsid w:val="00AB6715"/>
    <w:rPr>
      <w:rFonts w:ascii="Times New Roman" w:eastAsia="Cambria" w:hAnsi="Times New Roman" w:cs="Times New Roman"/>
      <w:b/>
      <w:sz w:val="24"/>
      <w:szCs w:val="24"/>
    </w:rPr>
  </w:style>
  <w:style w:type="character" w:customStyle="1" w:styleId="Titolo2Carattere">
    <w:name w:val="Titolo 2 Carattere"/>
    <w:basedOn w:val="Carpredefinitoparagrafo"/>
    <w:link w:val="Titolo2"/>
    <w:uiPriority w:val="2"/>
    <w:rsid w:val="00AB6715"/>
    <w:rPr>
      <w:rFonts w:ascii="Times New Roman" w:eastAsia="Cambria" w:hAnsi="Times New Roman" w:cs="Times New Roman"/>
      <w:b/>
      <w:sz w:val="24"/>
      <w:szCs w:val="24"/>
    </w:rPr>
  </w:style>
  <w:style w:type="paragraph" w:styleId="Sottotitolo">
    <w:name w:val="Subtitle"/>
    <w:basedOn w:val="Normale"/>
    <w:next w:val="Normale"/>
    <w:link w:val="SottotitoloCarattere"/>
    <w:uiPriority w:val="99"/>
    <w:unhideWhenUsed/>
    <w:qFormat/>
    <w:rsid w:val="00AB6715"/>
    <w:pPr>
      <w:spacing w:before="240"/>
    </w:pPr>
    <w:rPr>
      <w:rFonts w:cs="Times New Roman"/>
      <w:b/>
      <w:szCs w:val="24"/>
    </w:rPr>
  </w:style>
  <w:style w:type="character" w:customStyle="1" w:styleId="SottotitoloCarattere">
    <w:name w:val="Sottotitolo Carattere"/>
    <w:basedOn w:val="Carpredefinitoparagrafo"/>
    <w:link w:val="Sottotitolo"/>
    <w:uiPriority w:val="99"/>
    <w:rsid w:val="00AB6715"/>
    <w:rPr>
      <w:rFonts w:ascii="Times New Roman" w:hAnsi="Times New Roman" w:cs="Times New Roman"/>
      <w:b/>
      <w:sz w:val="24"/>
      <w:szCs w:val="24"/>
    </w:rPr>
  </w:style>
  <w:style w:type="paragraph" w:customStyle="1" w:styleId="AuthorList">
    <w:name w:val="Author List"/>
    <w:aliases w:val="Keywords,Abstract"/>
    <w:basedOn w:val="Sottotitolo"/>
    <w:next w:val="Normale"/>
    <w:uiPriority w:val="1"/>
    <w:qFormat/>
    <w:rsid w:val="00AB6715"/>
  </w:style>
  <w:style w:type="paragraph" w:styleId="Testofumetto">
    <w:name w:val="Balloon Text"/>
    <w:basedOn w:val="Normale"/>
    <w:link w:val="TestofumettoCarattere"/>
    <w:uiPriority w:val="99"/>
    <w:semiHidden/>
    <w:unhideWhenUsed/>
    <w:rsid w:val="00AB6715"/>
    <w:pPr>
      <w:spacing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B6715"/>
    <w:rPr>
      <w:rFonts w:ascii="Tahoma" w:hAnsi="Tahoma" w:cs="Tahoma"/>
      <w:sz w:val="16"/>
      <w:szCs w:val="16"/>
    </w:rPr>
  </w:style>
  <w:style w:type="character" w:styleId="Titolodellibro">
    <w:name w:val="Book Title"/>
    <w:basedOn w:val="Carpredefinitoparagrafo"/>
    <w:uiPriority w:val="33"/>
    <w:qFormat/>
    <w:rsid w:val="00AB6715"/>
    <w:rPr>
      <w:rFonts w:ascii="Times New Roman" w:hAnsi="Times New Roman"/>
      <w:b/>
      <w:bCs/>
      <w:i/>
      <w:iCs/>
      <w:spacing w:val="5"/>
    </w:rPr>
  </w:style>
  <w:style w:type="paragraph" w:styleId="Didascalia">
    <w:name w:val="caption"/>
    <w:basedOn w:val="Normale"/>
    <w:next w:val="Nessunaspaziatura"/>
    <w:uiPriority w:val="35"/>
    <w:unhideWhenUsed/>
    <w:qFormat/>
    <w:rsid w:val="00AB6715"/>
    <w:pPr>
      <w:keepNext/>
    </w:pPr>
    <w:rPr>
      <w:rFonts w:cs="Times New Roman"/>
      <w:b/>
      <w:bCs/>
      <w:szCs w:val="24"/>
    </w:rPr>
  </w:style>
  <w:style w:type="paragraph" w:styleId="Nessunaspaziatura">
    <w:name w:val="No Spacing"/>
    <w:uiPriority w:val="99"/>
    <w:unhideWhenUsed/>
    <w:qFormat/>
    <w:rsid w:val="00AB6715"/>
    <w:pPr>
      <w:spacing w:after="0" w:line="240" w:lineRule="auto"/>
    </w:pPr>
    <w:rPr>
      <w:rFonts w:ascii="Times New Roman" w:hAnsi="Times New Roman"/>
      <w:sz w:val="24"/>
    </w:rPr>
  </w:style>
  <w:style w:type="character" w:styleId="Rimandocommento">
    <w:name w:val="annotation reference"/>
    <w:basedOn w:val="Carpredefinitoparagrafo"/>
    <w:uiPriority w:val="99"/>
    <w:semiHidden/>
    <w:unhideWhenUsed/>
    <w:rsid w:val="00AB6715"/>
    <w:rPr>
      <w:sz w:val="16"/>
      <w:szCs w:val="16"/>
    </w:rPr>
  </w:style>
  <w:style w:type="paragraph" w:styleId="Testocommento">
    <w:name w:val="annotation text"/>
    <w:basedOn w:val="Normale"/>
    <w:link w:val="TestocommentoCarattere"/>
    <w:uiPriority w:val="99"/>
    <w:semiHidden/>
    <w:unhideWhenUsed/>
    <w:rsid w:val="00AB6715"/>
    <w:rPr>
      <w:sz w:val="20"/>
      <w:szCs w:val="20"/>
    </w:rPr>
  </w:style>
  <w:style w:type="character" w:customStyle="1" w:styleId="TestocommentoCarattere">
    <w:name w:val="Testo commento Carattere"/>
    <w:basedOn w:val="Carpredefinitoparagrafo"/>
    <w:link w:val="Testocommento"/>
    <w:uiPriority w:val="99"/>
    <w:semiHidden/>
    <w:rsid w:val="00AB6715"/>
    <w:rPr>
      <w:rFonts w:ascii="Times New Roman" w:hAnsi="Times New Roman"/>
      <w:sz w:val="20"/>
      <w:szCs w:val="20"/>
    </w:rPr>
  </w:style>
  <w:style w:type="paragraph" w:styleId="Soggettocommento">
    <w:name w:val="annotation subject"/>
    <w:basedOn w:val="Testocommento"/>
    <w:next w:val="Testocommento"/>
    <w:link w:val="SoggettocommentoCarattere"/>
    <w:uiPriority w:val="99"/>
    <w:semiHidden/>
    <w:unhideWhenUsed/>
    <w:rsid w:val="00AB6715"/>
    <w:rPr>
      <w:b/>
      <w:bCs/>
    </w:rPr>
  </w:style>
  <w:style w:type="character" w:customStyle="1" w:styleId="SoggettocommentoCarattere">
    <w:name w:val="Soggetto commento Carattere"/>
    <w:basedOn w:val="TestocommentoCarattere"/>
    <w:link w:val="Soggettocommento"/>
    <w:uiPriority w:val="99"/>
    <w:semiHidden/>
    <w:rsid w:val="00AB6715"/>
    <w:rPr>
      <w:rFonts w:ascii="Times New Roman" w:hAnsi="Times New Roman"/>
      <w:b/>
      <w:bCs/>
      <w:sz w:val="20"/>
      <w:szCs w:val="20"/>
    </w:rPr>
  </w:style>
  <w:style w:type="character" w:styleId="Enfasicorsivo">
    <w:name w:val="Emphasis"/>
    <w:basedOn w:val="Carpredefinitoparagrafo"/>
    <w:uiPriority w:val="20"/>
    <w:qFormat/>
    <w:rsid w:val="00AB6715"/>
    <w:rPr>
      <w:rFonts w:ascii="Times New Roman" w:hAnsi="Times New Roman"/>
      <w:i/>
      <w:iCs/>
    </w:rPr>
  </w:style>
  <w:style w:type="character" w:styleId="Rimandonotadichiusura">
    <w:name w:val="endnote reference"/>
    <w:basedOn w:val="Carpredefinitoparagrafo"/>
    <w:uiPriority w:val="99"/>
    <w:semiHidden/>
    <w:unhideWhenUsed/>
    <w:rsid w:val="00AB6715"/>
    <w:rPr>
      <w:vertAlign w:val="superscript"/>
    </w:rPr>
  </w:style>
  <w:style w:type="paragraph" w:styleId="Testonotadichiusura">
    <w:name w:val="endnote text"/>
    <w:basedOn w:val="Normale"/>
    <w:link w:val="TestonotadichiusuraCarattere"/>
    <w:uiPriority w:val="99"/>
    <w:semiHidden/>
    <w:unhideWhenUsed/>
    <w:rsid w:val="00AB6715"/>
    <w:pPr>
      <w:spacing w:after="0"/>
    </w:pPr>
    <w:rPr>
      <w:sz w:val="20"/>
      <w:szCs w:val="20"/>
    </w:rPr>
  </w:style>
  <w:style w:type="character" w:customStyle="1" w:styleId="TestonotadichiusuraCarattere">
    <w:name w:val="Testo nota di chiusura Carattere"/>
    <w:basedOn w:val="Carpredefinitoparagrafo"/>
    <w:link w:val="Testonotadichiusura"/>
    <w:uiPriority w:val="99"/>
    <w:semiHidden/>
    <w:rsid w:val="00AB6715"/>
    <w:rPr>
      <w:rFonts w:ascii="Times New Roman" w:hAnsi="Times New Roman"/>
      <w:sz w:val="20"/>
      <w:szCs w:val="20"/>
    </w:rPr>
  </w:style>
  <w:style w:type="character" w:styleId="Collegamentovisitato">
    <w:name w:val="FollowedHyperlink"/>
    <w:basedOn w:val="Carpredefinitoparagrafo"/>
    <w:uiPriority w:val="99"/>
    <w:semiHidden/>
    <w:unhideWhenUsed/>
    <w:rsid w:val="00AB6715"/>
    <w:rPr>
      <w:color w:val="800080" w:themeColor="followedHyperlink"/>
      <w:u w:val="single"/>
    </w:rPr>
  </w:style>
  <w:style w:type="paragraph" w:styleId="Pidipagina">
    <w:name w:val="footer"/>
    <w:basedOn w:val="Normale"/>
    <w:link w:val="PidipaginaCarattere"/>
    <w:uiPriority w:val="99"/>
    <w:unhideWhenUsed/>
    <w:rsid w:val="00AB6715"/>
    <w:pPr>
      <w:tabs>
        <w:tab w:val="center" w:pos="4844"/>
        <w:tab w:val="right" w:pos="9689"/>
      </w:tabs>
      <w:spacing w:after="0"/>
    </w:pPr>
  </w:style>
  <w:style w:type="character" w:customStyle="1" w:styleId="PidipaginaCarattere">
    <w:name w:val="Piè di pagina Carattere"/>
    <w:basedOn w:val="Carpredefinitoparagrafo"/>
    <w:link w:val="Pidipagina"/>
    <w:uiPriority w:val="99"/>
    <w:rsid w:val="00AB6715"/>
    <w:rPr>
      <w:rFonts w:ascii="Times New Roman" w:hAnsi="Times New Roman"/>
      <w:sz w:val="24"/>
    </w:rPr>
  </w:style>
  <w:style w:type="character" w:styleId="Rimandonotaapidipagina">
    <w:name w:val="footnote reference"/>
    <w:basedOn w:val="Carpredefinitoparagrafo"/>
    <w:uiPriority w:val="99"/>
    <w:semiHidden/>
    <w:unhideWhenUsed/>
    <w:rsid w:val="00AB6715"/>
    <w:rPr>
      <w:vertAlign w:val="superscript"/>
    </w:rPr>
  </w:style>
  <w:style w:type="paragraph" w:styleId="Testonotaapidipagina">
    <w:name w:val="footnote text"/>
    <w:basedOn w:val="Normale"/>
    <w:link w:val="TestonotaapidipaginaCarattere"/>
    <w:uiPriority w:val="99"/>
    <w:semiHidden/>
    <w:unhideWhenUsed/>
    <w:rsid w:val="00AB6715"/>
    <w:pPr>
      <w:spacing w:after="0"/>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AB6715"/>
    <w:rPr>
      <w:rFonts w:ascii="Times New Roman" w:hAnsi="Times New Roman"/>
      <w:sz w:val="20"/>
      <w:szCs w:val="20"/>
    </w:rPr>
  </w:style>
  <w:style w:type="paragraph" w:styleId="Intestazione">
    <w:name w:val="header"/>
    <w:basedOn w:val="Normale"/>
    <w:link w:val="IntestazioneCarattere"/>
    <w:uiPriority w:val="99"/>
    <w:unhideWhenUsed/>
    <w:rsid w:val="00AB6715"/>
    <w:pPr>
      <w:tabs>
        <w:tab w:val="center" w:pos="4844"/>
        <w:tab w:val="right" w:pos="9689"/>
      </w:tabs>
    </w:pPr>
    <w:rPr>
      <w:b/>
    </w:rPr>
  </w:style>
  <w:style w:type="character" w:customStyle="1" w:styleId="IntestazioneCarattere">
    <w:name w:val="Intestazione Carattere"/>
    <w:basedOn w:val="Carpredefinitoparagrafo"/>
    <w:link w:val="Intestazione"/>
    <w:uiPriority w:val="99"/>
    <w:rsid w:val="00AB6715"/>
    <w:rPr>
      <w:rFonts w:ascii="Times New Roman" w:hAnsi="Times New Roman"/>
      <w:b/>
      <w:sz w:val="24"/>
    </w:rPr>
  </w:style>
  <w:style w:type="paragraph" w:styleId="Paragrafoelenco">
    <w:name w:val="List Paragraph"/>
    <w:basedOn w:val="Normale"/>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Collegamentoipertestuale">
    <w:name w:val="Hyperlink"/>
    <w:basedOn w:val="Carpredefinitoparagrafo"/>
    <w:uiPriority w:val="99"/>
    <w:unhideWhenUsed/>
    <w:rsid w:val="00AB6715"/>
    <w:rPr>
      <w:color w:val="0000FF"/>
      <w:u w:val="single"/>
    </w:rPr>
  </w:style>
  <w:style w:type="character" w:styleId="Enfasiintensa">
    <w:name w:val="Intense Emphasis"/>
    <w:basedOn w:val="Carpredefinitoparagrafo"/>
    <w:uiPriority w:val="21"/>
    <w:unhideWhenUsed/>
    <w:rsid w:val="00AB6715"/>
    <w:rPr>
      <w:rFonts w:ascii="Times New Roman" w:hAnsi="Times New Roman"/>
      <w:i/>
      <w:iCs/>
      <w:color w:val="auto"/>
    </w:rPr>
  </w:style>
  <w:style w:type="character" w:styleId="Riferimentointenso">
    <w:name w:val="Intense Reference"/>
    <w:basedOn w:val="Carpredefinitoparagrafo"/>
    <w:uiPriority w:val="32"/>
    <w:qFormat/>
    <w:rsid w:val="00AB6715"/>
    <w:rPr>
      <w:b/>
      <w:bCs/>
      <w:smallCaps/>
      <w:color w:val="auto"/>
      <w:spacing w:val="5"/>
    </w:rPr>
  </w:style>
  <w:style w:type="character" w:styleId="Numeroriga">
    <w:name w:val="line number"/>
    <w:basedOn w:val="Carpredefinitoparagrafo"/>
    <w:uiPriority w:val="99"/>
    <w:semiHidden/>
    <w:unhideWhenUsed/>
    <w:rsid w:val="00AB6715"/>
  </w:style>
  <w:style w:type="character" w:customStyle="1" w:styleId="Titolo3Carattere">
    <w:name w:val="Titolo 3 Carattere"/>
    <w:basedOn w:val="Carpredefinitoparagrafo"/>
    <w:link w:val="Titolo3"/>
    <w:uiPriority w:val="2"/>
    <w:rsid w:val="00AB6715"/>
    <w:rPr>
      <w:rFonts w:ascii="Times New Roman" w:eastAsiaTheme="majorEastAsia" w:hAnsi="Times New Roman" w:cstheme="majorBidi"/>
      <w:b/>
      <w:sz w:val="24"/>
      <w:szCs w:val="24"/>
    </w:rPr>
  </w:style>
  <w:style w:type="character" w:customStyle="1" w:styleId="Titolo4Carattere">
    <w:name w:val="Titolo 4 Carattere"/>
    <w:basedOn w:val="Carpredefinitoparagrafo"/>
    <w:link w:val="Titolo4"/>
    <w:uiPriority w:val="2"/>
    <w:rsid w:val="00AB6715"/>
    <w:rPr>
      <w:rFonts w:ascii="Times New Roman" w:eastAsiaTheme="majorEastAsia" w:hAnsi="Times New Roman" w:cstheme="majorBidi"/>
      <w:b/>
      <w:iCs/>
      <w:sz w:val="24"/>
      <w:szCs w:val="24"/>
    </w:rPr>
  </w:style>
  <w:style w:type="character" w:customStyle="1" w:styleId="Titolo5Carattere">
    <w:name w:val="Titolo 5 Carattere"/>
    <w:basedOn w:val="Carpredefinitoparagrafo"/>
    <w:link w:val="Titolo5"/>
    <w:uiPriority w:val="2"/>
    <w:rsid w:val="00AB6715"/>
    <w:rPr>
      <w:rFonts w:ascii="Times New Roman" w:eastAsiaTheme="majorEastAsia" w:hAnsi="Times New Roman" w:cstheme="majorBidi"/>
      <w:b/>
      <w:iCs/>
      <w:sz w:val="24"/>
      <w:szCs w:val="24"/>
    </w:rPr>
  </w:style>
  <w:style w:type="paragraph" w:styleId="NormaleWeb">
    <w:name w:val="Normal (Web)"/>
    <w:basedOn w:val="Normale"/>
    <w:uiPriority w:val="99"/>
    <w:unhideWhenUsed/>
    <w:rsid w:val="00AB6715"/>
    <w:pPr>
      <w:spacing w:before="100" w:beforeAutospacing="1" w:after="100" w:afterAutospacing="1"/>
    </w:pPr>
    <w:rPr>
      <w:rFonts w:eastAsia="Times New Roman" w:cs="Times New Roman"/>
      <w:szCs w:val="24"/>
    </w:rPr>
  </w:style>
  <w:style w:type="paragraph" w:styleId="Citazione">
    <w:name w:val="Quote"/>
    <w:basedOn w:val="Normale"/>
    <w:next w:val="Normale"/>
    <w:link w:val="CitazioneCarattere"/>
    <w:uiPriority w:val="29"/>
    <w:qFormat/>
    <w:rsid w:val="00AB6715"/>
    <w:pPr>
      <w:spacing w:before="200" w:after="16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rsid w:val="00AB6715"/>
    <w:rPr>
      <w:rFonts w:ascii="Times New Roman" w:hAnsi="Times New Roman"/>
      <w:i/>
      <w:iCs/>
      <w:color w:val="404040" w:themeColor="text1" w:themeTint="BF"/>
      <w:sz w:val="24"/>
    </w:rPr>
  </w:style>
  <w:style w:type="character" w:styleId="Enfasigrassetto">
    <w:name w:val="Strong"/>
    <w:basedOn w:val="Carpredefinitoparagrafo"/>
    <w:uiPriority w:val="22"/>
    <w:qFormat/>
    <w:rsid w:val="00AB6715"/>
    <w:rPr>
      <w:rFonts w:ascii="Times New Roman" w:hAnsi="Times New Roman"/>
      <w:b/>
      <w:bCs/>
    </w:rPr>
  </w:style>
  <w:style w:type="character" w:styleId="Enfasidelicata">
    <w:name w:val="Subtle Emphasis"/>
    <w:basedOn w:val="Carpredefinitoparagrafo"/>
    <w:uiPriority w:val="19"/>
    <w:qFormat/>
    <w:rsid w:val="00AB6715"/>
    <w:rPr>
      <w:rFonts w:ascii="Times New Roman" w:hAnsi="Times New Roman"/>
      <w:i/>
      <w:iCs/>
      <w:color w:val="404040" w:themeColor="text1" w:themeTint="BF"/>
    </w:rPr>
  </w:style>
  <w:style w:type="table" w:styleId="Grigliatabella">
    <w:name w:val="Table Grid"/>
    <w:basedOn w:val="Tabellanormale"/>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olo">
    <w:name w:val="Title"/>
    <w:basedOn w:val="Normale"/>
    <w:next w:val="Normale"/>
    <w:link w:val="TitoloCarattere"/>
    <w:qFormat/>
    <w:rsid w:val="00AB6715"/>
    <w:pPr>
      <w:suppressLineNumbers/>
      <w:spacing w:before="240" w:after="360"/>
      <w:jc w:val="center"/>
    </w:pPr>
    <w:rPr>
      <w:rFonts w:cs="Times New Roman"/>
      <w:b/>
      <w:sz w:val="32"/>
      <w:szCs w:val="32"/>
    </w:rPr>
  </w:style>
  <w:style w:type="character" w:customStyle="1" w:styleId="TitoloCarattere">
    <w:name w:val="Titolo Carattere"/>
    <w:basedOn w:val="Carpredefinitoparagrafo"/>
    <w:link w:val="Titolo"/>
    <w:rsid w:val="00AB6715"/>
    <w:rPr>
      <w:rFonts w:ascii="Times New Roman" w:hAnsi="Times New Roman" w:cs="Times New Roman"/>
      <w:b/>
      <w:sz w:val="32"/>
      <w:szCs w:val="32"/>
    </w:rPr>
  </w:style>
  <w:style w:type="paragraph" w:customStyle="1" w:styleId="SupplementaryMaterial">
    <w:name w:val="Supplementary Material"/>
    <w:basedOn w:val="Titolo"/>
    <w:next w:val="Titolo"/>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2146658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ti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BDC1D00-D475-4AD3-B19F-E46B3B0D9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13</TotalTime>
  <Pages>12</Pages>
  <Words>5486</Words>
  <Characters>35331</Characters>
  <Application>Microsoft Office Word</Application>
  <DocSecurity>0</DocSecurity>
  <Lines>821</Lines>
  <Paragraphs>188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 Media SA</dc:creator>
  <cp:lastModifiedBy>Monica Boffito</cp:lastModifiedBy>
  <cp:revision>3</cp:revision>
  <cp:lastPrinted>2013-10-03T11:51:00Z</cp:lastPrinted>
  <dcterms:created xsi:type="dcterms:W3CDTF">2020-05-07T09:08:00Z</dcterms:created>
  <dcterms:modified xsi:type="dcterms:W3CDTF">2020-05-07T09:21:00Z</dcterms:modified>
</cp:coreProperties>
</file>