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C524" w14:textId="77777777" w:rsidR="00BF186D" w:rsidRPr="00A32185" w:rsidRDefault="00783FD7" w:rsidP="00A32185">
      <w:pPr>
        <w:spacing w:before="0" w:beforeAutospacing="0" w:after="0" w:line="480" w:lineRule="auto"/>
        <w:rPr>
          <w:rFonts w:ascii="Arial" w:hAnsi="Arial" w:cs="Arial"/>
          <w:bCs/>
          <w:sz w:val="28"/>
          <w:szCs w:val="28"/>
        </w:rPr>
      </w:pPr>
      <w:r w:rsidRPr="00A32185">
        <w:rPr>
          <w:rFonts w:ascii="Arial" w:hAnsi="Arial" w:cs="Arial"/>
          <w:bCs/>
          <w:sz w:val="28"/>
          <w:szCs w:val="28"/>
        </w:rPr>
        <w:t>Supporting Information</w:t>
      </w:r>
    </w:p>
    <w:p w14:paraId="57C4B0AC" w14:textId="77777777" w:rsidR="00BF186D" w:rsidRPr="00A32185" w:rsidRDefault="00BF186D" w:rsidP="00A32185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A91F9" w14:textId="77777777" w:rsidR="00BF186D" w:rsidRPr="00A32185" w:rsidRDefault="00783FD7" w:rsidP="00A32185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OLE_LINK1"/>
      <w:r w:rsidRPr="00A32185">
        <w:rPr>
          <w:rFonts w:ascii="Arial" w:hAnsi="Arial" w:cs="Arial"/>
          <w:color w:val="000000" w:themeColor="text1"/>
          <w:sz w:val="24"/>
          <w:szCs w:val="24"/>
        </w:rPr>
        <w:t>Locally Controlled Release of Methotrexate and Alendronate by Thermo-sensitive Hydrogels for Synergistic Inhibition of Osteosarcoma Progression</w:t>
      </w:r>
    </w:p>
    <w:bookmarkEnd w:id="0"/>
    <w:p w14:paraId="237ECEFB" w14:textId="77777777" w:rsidR="00783FD7" w:rsidRPr="008518CD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673898" w14:textId="77777777" w:rsidR="007E5F0D" w:rsidRPr="00EC028D" w:rsidRDefault="007E5F0D" w:rsidP="007E5F0D">
      <w:pPr>
        <w:spacing w:before="0" w:beforeAutospacing="0" w:after="0"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Hongli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Shan</w:t>
      </w:r>
      <w:r w:rsidRPr="00EC028D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1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Ke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Li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vertAlign w:val="superscript"/>
          <w:lang w:eastAsia="de-DE" w:bidi="en-US"/>
        </w:rPr>
        <w:t>2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Duoyi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Zhao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vertAlign w:val="superscript"/>
          <w:lang w:eastAsia="de-DE" w:bidi="en-US"/>
        </w:rPr>
        <w:t>2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Changliang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Chi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vertAlign w:val="superscript"/>
          <w:lang w:bidi="en-US"/>
        </w:rPr>
        <w:t>3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Qinyuan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Tan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vertAlign w:val="superscript"/>
          <w:lang w:bidi="en-US"/>
        </w:rPr>
        <w:t>3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, Xiaoqing Wang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vertAlign w:val="superscript"/>
          <w:lang w:bidi="en-US"/>
        </w:rPr>
        <w:t>3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Jinhai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Yu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vertAlign w:val="superscript"/>
          <w:lang w:eastAsia="de-DE" w:bidi="en-US"/>
        </w:rPr>
        <w:t>4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* and </w:t>
      </w:r>
      <w:proofErr w:type="spellStart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Meihua</w:t>
      </w:r>
      <w:proofErr w:type="spellEnd"/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 xml:space="preserve"> Piao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vertAlign w:val="superscript"/>
          <w:lang w:bidi="en-US"/>
        </w:rPr>
        <w:t>5</w:t>
      </w:r>
      <w:r w:rsidRPr="007E4801">
        <w:rPr>
          <w:rFonts w:ascii="Arial" w:hAnsi="Arial" w:cs="Arial"/>
          <w:i/>
          <w:color w:val="000000" w:themeColor="text1"/>
          <w:sz w:val="24"/>
          <w:szCs w:val="24"/>
        </w:rPr>
        <w:t>*</w:t>
      </w:r>
    </w:p>
    <w:p w14:paraId="268AC9AF" w14:textId="77777777" w:rsidR="00783FD7" w:rsidRPr="007E5F0D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0F481" w14:textId="77777777" w:rsidR="007E5F0D" w:rsidRPr="00EC028D" w:rsidRDefault="007E5F0D" w:rsidP="007E5F0D">
      <w:pPr>
        <w:widowControl/>
        <w:adjustRightInd w:val="0"/>
        <w:snapToGrid w:val="0"/>
        <w:spacing w:before="0" w:beforeAutospacing="0" w:after="0" w:line="480" w:lineRule="auto"/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</w:pPr>
      <w:r w:rsidRPr="00EC028D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1</w:t>
      </w:r>
      <w:r w:rsidRPr="00EC028D">
        <w:rPr>
          <w:rFonts w:ascii="Arial" w:hAnsi="Arial" w:cs="Arial" w:hint="eastAsia"/>
          <w:i/>
          <w:color w:val="000000" w:themeColor="text1"/>
          <w:sz w:val="24"/>
          <w:szCs w:val="24"/>
        </w:rPr>
        <w:t xml:space="preserve"> </w:t>
      </w:r>
      <w:r w:rsidRPr="00EC028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e-DE" w:bidi="en-US"/>
        </w:rPr>
        <w:t xml:space="preserve">Department of </w:t>
      </w:r>
      <w:r w:rsidRPr="00EC028D">
        <w:rPr>
          <w:rFonts w:ascii="Arial" w:eastAsiaTheme="minorEastAsia" w:hAnsi="Arial" w:cs="Arial" w:hint="eastAsia"/>
          <w:i/>
          <w:iCs/>
          <w:color w:val="000000"/>
          <w:kern w:val="0"/>
          <w:sz w:val="24"/>
          <w:szCs w:val="24"/>
          <w:lang w:bidi="en-US"/>
        </w:rPr>
        <w:t>C</w:t>
      </w:r>
      <w:r w:rsidRPr="00EC028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e-DE" w:bidi="en-US"/>
        </w:rPr>
        <w:t xml:space="preserve">linical </w:t>
      </w:r>
      <w:r w:rsidRPr="00EC028D">
        <w:rPr>
          <w:rFonts w:ascii="Arial" w:eastAsiaTheme="minorEastAsia" w:hAnsi="Arial" w:cs="Arial" w:hint="eastAsia"/>
          <w:i/>
          <w:iCs/>
          <w:color w:val="000000"/>
          <w:kern w:val="0"/>
          <w:sz w:val="24"/>
          <w:szCs w:val="24"/>
          <w:lang w:bidi="en-US"/>
        </w:rPr>
        <w:t>L</w:t>
      </w:r>
      <w:r w:rsidRPr="00EC028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e-DE" w:bidi="en-US"/>
        </w:rPr>
        <w:t xml:space="preserve">aboratory, </w:t>
      </w:r>
      <w:r w:rsidRPr="00EC028D">
        <w:rPr>
          <w:rFonts w:ascii="Arial" w:eastAsiaTheme="minorEastAsia" w:hAnsi="Arial" w:cs="Arial" w:hint="eastAsia"/>
          <w:i/>
          <w:iCs/>
          <w:color w:val="000000"/>
          <w:kern w:val="0"/>
          <w:sz w:val="24"/>
          <w:szCs w:val="24"/>
          <w:lang w:bidi="en-US"/>
        </w:rPr>
        <w:t>T</w:t>
      </w:r>
      <w:r w:rsidRPr="00EC028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e-DE" w:bidi="en-US"/>
        </w:rPr>
        <w:t>he First Hospital of Jilin University, Changchun 130021, P. R. China</w:t>
      </w:r>
      <w:r w:rsidRPr="00EC028D">
        <w:rPr>
          <w:rFonts w:ascii="Arial" w:eastAsiaTheme="minorEastAsia" w:hAnsi="Arial" w:cs="Arial" w:hint="eastAsia"/>
          <w:i/>
          <w:iCs/>
          <w:color w:val="000000"/>
          <w:kern w:val="0"/>
          <w:sz w:val="24"/>
          <w:szCs w:val="24"/>
          <w:lang w:bidi="en-US"/>
        </w:rPr>
        <w:t xml:space="preserve">,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vertAlign w:val="superscript"/>
          <w:lang w:eastAsia="de-DE" w:bidi="en-US"/>
        </w:rPr>
        <w:t>2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  <w:t>Department of Orthopedics, the Fourth Affiliated Hospital of China Medical University, Shenyang 110032, P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. R. </w:t>
      </w:r>
      <w:r w:rsidRPr="00EC028D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  <w:t>China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, 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vertAlign w:val="superscript"/>
          <w:lang w:bidi="en-US"/>
        </w:rPr>
        <w:t>3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 xml:space="preserve">Department of 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>U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>rology, the First Hospital of Jilin University, Changchun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 xml:space="preserve">130021, </w:t>
      </w:r>
      <w:r w:rsidRPr="00EC028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e-DE" w:bidi="en-US"/>
        </w:rPr>
        <w:t xml:space="preserve">P. R.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>China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>,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 xml:space="preserve"> 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vertAlign w:val="superscript"/>
          <w:lang w:eastAsia="de-DE" w:bidi="en-US"/>
        </w:rPr>
        <w:t>4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 xml:space="preserve">Department of Gastrointestinal Surgery, 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>T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>he First Hospital of Jilin University, Changchun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 xml:space="preserve">130021, </w:t>
      </w:r>
      <w:r w:rsidRPr="00EC028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de-DE" w:bidi="en-US"/>
        </w:rPr>
        <w:t xml:space="preserve">P. R. </w:t>
      </w:r>
      <w:r w:rsidRPr="00EC028D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de-DE" w:bidi="en-US"/>
        </w:rPr>
        <w:t>China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, 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vertAlign w:val="superscript"/>
          <w:lang w:bidi="en-US"/>
        </w:rPr>
        <w:t>5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  <w:t xml:space="preserve">Department of Anesthesiology, 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>T</w:t>
      </w:r>
      <w:r w:rsidRPr="00EC028D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  <w:t>he First Hospital of Jilin University,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  <w:t>Changchun</w:t>
      </w:r>
      <w:r w:rsidRPr="00EC028D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  <w:lang w:bidi="en-US"/>
        </w:rPr>
        <w:t xml:space="preserve"> </w:t>
      </w:r>
      <w:r w:rsidRPr="00EC028D">
        <w:rPr>
          <w:rFonts w:ascii="Arial" w:eastAsiaTheme="minorEastAsia" w:hAnsi="Arial" w:cs="Arial"/>
          <w:i/>
          <w:color w:val="000000"/>
          <w:kern w:val="0"/>
          <w:sz w:val="24"/>
          <w:szCs w:val="24"/>
          <w:lang w:bidi="en-US"/>
        </w:rPr>
        <w:t>130021, P.R. China</w:t>
      </w:r>
    </w:p>
    <w:p w14:paraId="734445C9" w14:textId="77777777" w:rsidR="00783FD7" w:rsidRPr="007E5F0D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3613C0" w14:textId="77777777" w:rsidR="00783FD7" w:rsidRPr="00533C47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533C47">
        <w:rPr>
          <w:rFonts w:ascii="Arial" w:hAnsi="Arial" w:cs="Arial"/>
          <w:color w:val="000000" w:themeColor="text1"/>
          <w:sz w:val="24"/>
          <w:szCs w:val="24"/>
          <w:lang w:val="fr-FR"/>
        </w:rPr>
        <w:t>*Correspondence:</w:t>
      </w:r>
    </w:p>
    <w:p w14:paraId="3EA07D99" w14:textId="77777777" w:rsidR="00783FD7" w:rsidRPr="00533C47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533C47">
        <w:rPr>
          <w:rFonts w:ascii="Arial" w:hAnsi="Arial" w:cs="Arial" w:hint="eastAsia"/>
          <w:color w:val="000000" w:themeColor="text1"/>
          <w:sz w:val="24"/>
          <w:szCs w:val="24"/>
          <w:lang w:val="fr-FR"/>
        </w:rPr>
        <w:t>Meihua Piao</w:t>
      </w:r>
    </w:p>
    <w:p w14:paraId="2DFF300C" w14:textId="77777777" w:rsidR="00783FD7" w:rsidRPr="00533C47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533C47">
        <w:rPr>
          <w:rFonts w:ascii="Arial" w:hAnsi="Arial" w:cs="Arial"/>
          <w:color w:val="000000" w:themeColor="text1"/>
          <w:sz w:val="24"/>
          <w:szCs w:val="24"/>
          <w:lang w:val="fr-FR"/>
        </w:rPr>
        <w:t>pumh@jlu.edu.cn</w:t>
      </w:r>
    </w:p>
    <w:p w14:paraId="31E3118E" w14:textId="77777777" w:rsidR="00783FD7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A5654">
        <w:rPr>
          <w:rFonts w:ascii="Arial" w:hAnsi="Arial" w:cs="Arial"/>
          <w:color w:val="000000" w:themeColor="text1"/>
          <w:sz w:val="24"/>
          <w:szCs w:val="24"/>
        </w:rPr>
        <w:t>Jinhai</w:t>
      </w:r>
      <w:proofErr w:type="spellEnd"/>
      <w:r w:rsidRPr="008A5654">
        <w:rPr>
          <w:rFonts w:ascii="Arial" w:hAnsi="Arial" w:cs="Arial"/>
          <w:color w:val="000000" w:themeColor="text1"/>
          <w:sz w:val="24"/>
          <w:szCs w:val="24"/>
        </w:rPr>
        <w:t xml:space="preserve"> Yu</w:t>
      </w:r>
    </w:p>
    <w:p w14:paraId="6F253C37" w14:textId="77777777" w:rsidR="00783FD7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18CD">
        <w:rPr>
          <w:rFonts w:ascii="Arial" w:hAnsi="Arial" w:cs="Arial"/>
          <w:color w:val="000000" w:themeColor="text1"/>
          <w:sz w:val="24"/>
          <w:szCs w:val="24"/>
        </w:rPr>
        <w:t>jidayujinhai@126.com</w:t>
      </w:r>
    </w:p>
    <w:p w14:paraId="0283FCB3" w14:textId="77777777" w:rsidR="00783FD7" w:rsidRDefault="00783FD7" w:rsidP="00A32185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C82161A" w14:textId="77777777" w:rsidR="00BF186D" w:rsidRPr="00A32185" w:rsidRDefault="00783FD7" w:rsidP="00A32185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MATERIALS AND METHODS</w:t>
      </w:r>
    </w:p>
    <w:p w14:paraId="4596AA54" w14:textId="77777777" w:rsidR="00BF186D" w:rsidRPr="00783FD7" w:rsidRDefault="00783FD7" w:rsidP="00A32185">
      <w:pPr>
        <w:spacing w:before="0" w:beforeAutospacing="0"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>Characterization</w:t>
      </w:r>
      <w:r w:rsidRPr="00783FD7">
        <w:rPr>
          <w:rFonts w:ascii="Arial" w:hAnsi="Arial" w:cs="Arial" w:hint="eastAsia"/>
          <w:b/>
          <w:color w:val="000000" w:themeColor="text1"/>
          <w:sz w:val="24"/>
          <w:szCs w:val="24"/>
        </w:rPr>
        <w:t>s</w:t>
      </w:r>
    </w:p>
    <w:p w14:paraId="401142EA" w14:textId="77777777" w:rsidR="00BF186D" w:rsidRPr="00A32185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The composition of the PLV hydrogel was determined by proton nuclear magnetic resonance (400 MHz NMR, Billerica, MA, USA; </w:t>
      </w:r>
      <w:r w:rsidRPr="00A321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H NMR) spectroscopy. Fourier transform infrared spectroscopy was obtained by potassium bromide compression method using Fourier transform infrared spectroscopy (Bio-Red Win-IR, MA, USA; FTIR). The secondary structure of the PLV hydrogel was determined by a circular dichroism (JASCO J-810, Japan; CD) at a concentration of 0.5 mg/mL, a wavelength range of 180</w:t>
      </w:r>
      <w:r w:rsidRPr="00783FD7">
        <w:rPr>
          <w:rFonts w:ascii="Arial" w:hAnsi="Arial" w:cs="Arial"/>
          <w:color w:val="000000" w:themeColor="text1"/>
          <w:sz w:val="24"/>
          <w:szCs w:val="24"/>
        </w:rPr>
        <w:t>−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260 nm, and the number of repeated scans was 3 times. The input is 1 nm, and the sampling time of a single data is 0.5 s.</w:t>
      </w:r>
    </w:p>
    <w:p w14:paraId="7140E226" w14:textId="77777777" w:rsidR="00BF186D" w:rsidRPr="00783FD7" w:rsidRDefault="00783FD7" w:rsidP="00A32185">
      <w:pPr>
        <w:spacing w:before="0" w:beforeAutospacing="0"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Phase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D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iagram,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D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ynamics and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M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orphology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A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>nalysis</w:t>
      </w:r>
    </w:p>
    <w:p w14:paraId="6130AF28" w14:textId="77777777" w:rsidR="00BF186D" w:rsidRPr="00A32185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The phase diagram was obtained by inverting the test tube, and the block copolymer was dissolved in a phosphate buffer solution (PBS) to a solution having a concentration of 2.0-6.0 </w:t>
      </w:r>
      <w:bookmarkStart w:id="1" w:name="OLE_LINK12"/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>%</w:t>
      </w:r>
      <w:bookmarkEnd w:id="1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, and after stirring at 4 °C overnight, 200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μL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of the solution was taken with a pipette. The liquid was placed in a 2.0 mL glass vial, two parallel samples were taken at each concentration, the temperature was raised from 5 °C, 2 °C was raised every 10 minutes, raised to 65 °C, and the glass bottle was tilted. If the liquid surface does not flow, it indicates that the copolymer has undergone a phase transition, from a sol state to a gel state, and the temperature at which each phase undergoes a phase transition is recorded and plotted.</w:t>
      </w:r>
    </w:p>
    <w:p w14:paraId="23BC8C57" w14:textId="77777777" w:rsidR="00BF186D" w:rsidRPr="00A32185" w:rsidRDefault="00783FD7" w:rsidP="00783FD7">
      <w:pPr>
        <w:spacing w:before="0" w:beforeAutospacing="0" w:after="0" w:line="480" w:lineRule="auto"/>
        <w:ind w:firstLineChars="150" w:firstLine="360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The dynamic viscoelastic properties of the PLV hydrogel were measured by using a US302 rheometer (Anton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Paar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>). The mPEG</w:t>
      </w:r>
      <w:r w:rsidRPr="00A32185">
        <w:rPr>
          <w:rFonts w:ascii="Arial" w:hAnsi="Arial" w:cs="Arial"/>
          <w:color w:val="000000" w:themeColor="text1"/>
          <w:sz w:val="24"/>
          <w:szCs w:val="24"/>
          <w:vertAlign w:val="subscript"/>
        </w:rPr>
        <w:t>45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-PLV</w:t>
      </w:r>
      <w:r w:rsidRPr="00A32185">
        <w:rPr>
          <w:rFonts w:ascii="Arial" w:hAnsi="Arial" w:cs="Arial"/>
          <w:color w:val="000000" w:themeColor="text1"/>
          <w:sz w:val="24"/>
          <w:szCs w:val="24"/>
          <w:vertAlign w:val="subscript"/>
        </w:rPr>
        <w:t>19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solution (5.0%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%) was 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lastRenderedPageBreak/>
        <w:t>placed between the parallel plates (the diameter was set to 25.0 mm and the gap was set to 0.5 mm). The outer edge of the sandwich sample was sealed with a thin layer of silicone oil to prevent evaporation of moisture. Data were collected at a controlled strain gamma of 1% and a frequency of 1 rad/s at a heating rate of 0.5 °C/min. Secondly, the morphology of the hydrogel was analyzed by scanning electron microscopy (XL 30 ESEM FEG; SEM).</w:t>
      </w:r>
    </w:p>
    <w:p w14:paraId="1360B449" w14:textId="77777777" w:rsidR="00BF186D" w:rsidRPr="00783FD7" w:rsidRDefault="00783FD7" w:rsidP="00A32185">
      <w:pPr>
        <w:spacing w:before="0" w:beforeAutospacing="0"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Biodegradation </w:t>
      </w:r>
      <w:r w:rsidRPr="00783FD7">
        <w:rPr>
          <w:rFonts w:ascii="Arial" w:hAnsi="Arial" w:cs="Arial"/>
          <w:b/>
          <w:i/>
          <w:color w:val="000000" w:themeColor="text1"/>
          <w:sz w:val="24"/>
          <w:szCs w:val="24"/>
        </w:rPr>
        <w:t>in vitro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B3ED6">
        <w:rPr>
          <w:rFonts w:ascii="Arial" w:hAnsi="Arial" w:cs="Arial" w:hint="eastAsia"/>
          <w:b/>
          <w:color w:val="000000" w:themeColor="text1"/>
          <w:sz w:val="24"/>
          <w:szCs w:val="24"/>
        </w:rPr>
        <w:t>a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nd </w:t>
      </w:r>
      <w:r w:rsidRPr="00783FD7">
        <w:rPr>
          <w:rFonts w:ascii="Arial" w:hAnsi="Arial" w:cs="Arial"/>
          <w:b/>
          <w:i/>
          <w:color w:val="000000" w:themeColor="text1"/>
          <w:sz w:val="24"/>
          <w:szCs w:val="24"/>
        </w:rPr>
        <w:t>in vivo</w:t>
      </w:r>
    </w:p>
    <w:p w14:paraId="7FF0FD5A" w14:textId="77777777" w:rsidR="00BF186D" w:rsidRPr="00A32185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OLE_LINK13"/>
      <w:bookmarkStart w:id="3" w:name="OLE_LINK2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The copolymer solution (500 ul, 5%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>) was added to a 3.0 mL glass vial and incubated at constant temperature (37 °C) for 10 minutes to obtain an mPEG</w:t>
      </w:r>
      <w:r w:rsidRPr="00A32185">
        <w:rPr>
          <w:rFonts w:ascii="Arial" w:hAnsi="Arial" w:cs="Arial"/>
          <w:color w:val="000000" w:themeColor="text1"/>
          <w:sz w:val="24"/>
          <w:szCs w:val="24"/>
          <w:vertAlign w:val="subscript"/>
        </w:rPr>
        <w:t>45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-PLV</w:t>
      </w:r>
      <w:r w:rsidRPr="00A32185">
        <w:rPr>
          <w:rFonts w:ascii="Arial" w:hAnsi="Arial" w:cs="Arial"/>
          <w:color w:val="000000" w:themeColor="text1"/>
          <w:sz w:val="24"/>
          <w:szCs w:val="24"/>
          <w:vertAlign w:val="subscript"/>
        </w:rPr>
        <w:t>19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hydrogel. A PBS buffer (pH 7.4) containing 0.2 mg/mL elastase K was used as a degradation medium, and a hydrogel incubated only in PBS buffer was used as a control. A buffer solution (2.0 mL) was added to the top of the hydrogel at 37 °C, the culture medium was changed once a day, and the remaining gel was accurately weighed every two days to monitor the rate of gel degradation and plotted as a graph, each sample is set up in two parallel samples.</w:t>
      </w:r>
    </w:p>
    <w:bookmarkEnd w:id="2"/>
    <w:p w14:paraId="5B3465AC" w14:textId="77777777" w:rsidR="00BF186D" w:rsidRPr="00A32185" w:rsidRDefault="00783FD7" w:rsidP="00A32185">
      <w:pPr>
        <w:spacing w:before="0" w:beforeAutospacing="0" w:after="0" w:line="48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500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uL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of a 5.0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wt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% copolymer solution was injected into the subcutaneous part of the back of the rat, and the rats were sacrificed at 0, 7, 21, and 28 days, respectively, and the subcutaneous </w:t>
      </w:r>
      <w:r w:rsidR="00C15A5E">
        <w:rPr>
          <w:rFonts w:ascii="Arial" w:hAnsi="Arial" w:cs="Arial"/>
          <w:color w:val="000000" w:themeColor="text1"/>
          <w:sz w:val="24"/>
          <w:szCs w:val="24"/>
        </w:rPr>
        <w:t>tissue at the back gel was</w:t>
      </w:r>
      <w:r w:rsidR="00C15A5E" w:rsidRPr="00C15A5E">
        <w:rPr>
          <w:rFonts w:ascii="Arial" w:hAnsi="Arial" w:cs="Arial"/>
          <w:color w:val="000000" w:themeColor="text1"/>
          <w:sz w:val="24"/>
          <w:szCs w:val="24"/>
        </w:rPr>
        <w:t xml:space="preserve"> photographed.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After paraformaldehyde was fixed, it was embedded in paraffin, cut into pieces for H&amp;E staining, and then photographed by a fluorescence inverted microscope (Nikon TE2000-U, Japan).</w:t>
      </w:r>
    </w:p>
    <w:bookmarkEnd w:id="3"/>
    <w:p w14:paraId="042D5A9E" w14:textId="77777777" w:rsidR="00BF186D" w:rsidRPr="00783FD7" w:rsidRDefault="00783FD7" w:rsidP="00A32185">
      <w:pPr>
        <w:spacing w:before="0" w:beforeAutospacing="0"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>Animal</w:t>
      </w:r>
      <w:r w:rsidRPr="00783FD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ell</w:t>
      </w:r>
    </w:p>
    <w:p w14:paraId="5AFA1EC9" w14:textId="77777777" w:rsidR="00BF186D" w:rsidRPr="00A32185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lastRenderedPageBreak/>
        <w:t>Osteosarcoma (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OS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)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cell line K7M2 was cultured in DMEM medium (</w:t>
      </w:r>
      <w:bookmarkStart w:id="4" w:name="OLE_LINK7"/>
      <w:r w:rsidRPr="00A32185">
        <w:rPr>
          <w:rFonts w:ascii="Arial" w:hAnsi="Arial" w:cs="Arial"/>
          <w:color w:val="000000" w:themeColor="text1"/>
          <w:sz w:val="24"/>
          <w:szCs w:val="24"/>
        </w:rPr>
        <w:t>Invitrogen</w:t>
      </w:r>
      <w:bookmarkEnd w:id="4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) to which 10% newborn calf serum (Beijing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Solabao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Technology Co., Ltd.) was added. Ensure cell viability is &gt;95% prior to experimentation.</w:t>
      </w:r>
    </w:p>
    <w:p w14:paraId="487BF87C" w14:textId="77777777" w:rsidR="00BF186D" w:rsidRPr="00A32185" w:rsidRDefault="00783FD7" w:rsidP="00783FD7">
      <w:pPr>
        <w:spacing w:before="0" w:beforeAutospacing="0" w:after="0" w:line="480" w:lineRule="auto"/>
        <w:ind w:firstLineChars="150" w:firstLine="360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BALB/c female mice (4 weeks) were purchased from Beijing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Weitong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32185">
        <w:rPr>
          <w:rFonts w:ascii="Arial" w:hAnsi="Arial" w:cs="Arial"/>
          <w:color w:val="000000" w:themeColor="text1"/>
          <w:sz w:val="24"/>
          <w:szCs w:val="24"/>
        </w:rPr>
        <w:t>Lihua</w:t>
      </w:r>
      <w:proofErr w:type="spellEnd"/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Experimental Animal Technology Co., Ltd. for </w:t>
      </w:r>
      <w:r w:rsidRPr="00A32185">
        <w:rPr>
          <w:rFonts w:ascii="Arial" w:hAnsi="Arial" w:cs="Arial"/>
          <w:i/>
          <w:color w:val="000000" w:themeColor="text1"/>
          <w:sz w:val="24"/>
          <w:szCs w:val="24"/>
        </w:rPr>
        <w:t>in vivo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anti-tumor experiments of PLV hydrogels. All mice were housed in a standard specific pathogen free environment with a control temperature of 20</w:t>
      </w:r>
      <w:r w:rsidRPr="00783FD7">
        <w:rPr>
          <w:rFonts w:ascii="Arial" w:hAnsi="Arial" w:cs="Arial"/>
          <w:color w:val="000000" w:themeColor="text1"/>
          <w:sz w:val="24"/>
          <w:szCs w:val="24"/>
        </w:rPr>
        <w:t>−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22 °C and a light dark cycle of 12 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h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. All mice were treated humanely and treated according to the protocol approved by the Animal Protection Agency and the Use Committee of China Medical University.</w:t>
      </w:r>
    </w:p>
    <w:p w14:paraId="56F8835D" w14:textId="77777777" w:rsidR="00BF186D" w:rsidRPr="00783FD7" w:rsidRDefault="00783FD7" w:rsidP="00A32185">
      <w:pPr>
        <w:spacing w:before="0" w:beforeAutospacing="0"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OLE_LINK268"/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Histopathological </w:t>
      </w:r>
      <w:r w:rsidRPr="00783FD7">
        <w:rPr>
          <w:rFonts w:ascii="Arial" w:hAnsi="Arial" w:cs="Arial" w:hint="eastAsia"/>
          <w:b/>
          <w:color w:val="000000" w:themeColor="text1"/>
          <w:sz w:val="24"/>
          <w:szCs w:val="24"/>
        </w:rPr>
        <w:t>A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>nalysis</w:t>
      </w:r>
      <w:bookmarkEnd w:id="5"/>
    </w:p>
    <w:p w14:paraId="16D46A38" w14:textId="77777777" w:rsidR="00BF186D" w:rsidRPr="00A32185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>At the end of the experiment, the tumor and main organs (</w:t>
      </w:r>
      <w:r w:rsidRPr="00783FD7">
        <w:rPr>
          <w:rFonts w:ascii="Arial" w:hAnsi="Arial" w:cs="Arial"/>
          <w:i/>
          <w:color w:val="000000" w:themeColor="text1"/>
          <w:sz w:val="24"/>
          <w:szCs w:val="24"/>
        </w:rPr>
        <w:t>i.e.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the 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heart, liver, spleen, lung and kidney) of the mice were isolated, fixed in 4% (</w:t>
      </w:r>
      <w:r w:rsidRPr="00783FD7">
        <w:rPr>
          <w:rFonts w:ascii="Arial" w:hAnsi="Arial" w:cs="Arial" w:hint="eastAsia"/>
          <w:i/>
          <w:color w:val="000000" w:themeColor="text1"/>
          <w:sz w:val="24"/>
          <w:szCs w:val="24"/>
        </w:rPr>
        <w:t>W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/</w:t>
      </w:r>
      <w:r w:rsidRPr="00783FD7">
        <w:rPr>
          <w:rFonts w:ascii="Arial" w:hAnsi="Arial" w:cs="Arial" w:hint="eastAsia"/>
          <w:i/>
          <w:color w:val="000000" w:themeColor="text1"/>
          <w:sz w:val="24"/>
          <w:szCs w:val="24"/>
        </w:rPr>
        <w:t>V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>) PBS buffered paraformaldehyde overnight, and then embedded in paraffin. Paraffin-embedded tissues were cut into sections for H&amp;E staining. Histopathology was examined by microscope (Nikon Eclipse Ti, Ardmore, PA).</w:t>
      </w:r>
    </w:p>
    <w:p w14:paraId="6DFB9B3E" w14:textId="77777777" w:rsidR="00BF186D" w:rsidRPr="00783FD7" w:rsidRDefault="00783FD7" w:rsidP="00A32185">
      <w:pPr>
        <w:spacing w:before="0" w:beforeAutospacing="0"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 xml:space="preserve">Statistical </w:t>
      </w:r>
      <w:r w:rsidRPr="00783FD7">
        <w:rPr>
          <w:rFonts w:ascii="Arial" w:hAnsi="Arial" w:cs="Arial" w:hint="eastAsia"/>
          <w:b/>
          <w:color w:val="000000" w:themeColor="text1"/>
          <w:sz w:val="24"/>
          <w:szCs w:val="24"/>
        </w:rPr>
        <w:t>A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>nalys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i</w:t>
      </w:r>
      <w:r w:rsidRPr="00783FD7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687F7C80" w14:textId="77777777" w:rsidR="00BF186D" w:rsidRDefault="00783FD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32185">
        <w:rPr>
          <w:rFonts w:ascii="Arial" w:hAnsi="Arial" w:cs="Arial"/>
          <w:color w:val="000000" w:themeColor="text1"/>
          <w:sz w:val="24"/>
          <w:szCs w:val="24"/>
        </w:rPr>
        <w:t>All data are expressed as mean ± standard deviation (SD). Student's t-test was used to verify differences between the different groups. *</w:t>
      </w:r>
      <w:r w:rsidRPr="00783FD7"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&lt; 0.05 indicates statistical significance, **</w:t>
      </w:r>
      <w:r w:rsidRPr="00783FD7"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&lt; 0.01 and ***</w:t>
      </w:r>
      <w:r w:rsidRPr="00783FD7">
        <w:rPr>
          <w:rFonts w:ascii="Arial" w:hAnsi="Arial" w:cs="Arial"/>
          <w:i/>
          <w:color w:val="000000" w:themeColor="text1"/>
          <w:sz w:val="24"/>
          <w:szCs w:val="24"/>
        </w:rPr>
        <w:t>P</w:t>
      </w:r>
      <w:r w:rsidRPr="00A32185">
        <w:rPr>
          <w:rFonts w:ascii="Arial" w:hAnsi="Arial" w:cs="Arial"/>
          <w:color w:val="000000" w:themeColor="text1"/>
          <w:sz w:val="24"/>
          <w:szCs w:val="24"/>
        </w:rPr>
        <w:t xml:space="preserve"> &lt; 0.001 indicate significant statistical significance.</w:t>
      </w:r>
    </w:p>
    <w:p w14:paraId="7DD838C0" w14:textId="77777777" w:rsidR="00DF3584" w:rsidRDefault="00DF3584">
      <w:pPr>
        <w:widowControl/>
        <w:spacing w:before="0" w:beforeAutospacing="0" w:after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B06206C" w14:textId="77777777" w:rsidR="00783FD7" w:rsidRDefault="00533C47" w:rsidP="00783FD7">
      <w:pPr>
        <w:spacing w:before="0" w:beforeAutospacing="0"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pict w14:anchorId="1857D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98.75pt">
            <v:imagedata r:id="rId8" o:title="未标题-1"/>
          </v:shape>
        </w:pict>
      </w:r>
    </w:p>
    <w:p w14:paraId="6516C70B" w14:textId="77777777" w:rsidR="00DF3584" w:rsidRPr="00533C47" w:rsidRDefault="00DF3584" w:rsidP="00783FD7">
      <w:pPr>
        <w:spacing w:before="0" w:beforeAutospacing="0" w:after="0" w:line="480" w:lineRule="auto"/>
        <w:rPr>
          <w:rFonts w:ascii="Arial" w:hAnsi="Arial" w:cs="Arial"/>
          <w:sz w:val="24"/>
          <w:szCs w:val="24"/>
        </w:rPr>
      </w:pPr>
      <w:r w:rsidRPr="00533C47">
        <w:rPr>
          <w:rFonts w:ascii="Arial" w:hAnsi="Arial" w:cs="Arial"/>
          <w:b/>
          <w:sz w:val="24"/>
          <w:szCs w:val="24"/>
        </w:rPr>
        <w:t>FIGURE S1.</w:t>
      </w:r>
      <w:r w:rsidRPr="00533C47">
        <w:rPr>
          <w:rFonts w:ascii="Arial" w:hAnsi="Arial" w:cs="Arial"/>
          <w:sz w:val="24"/>
          <w:szCs w:val="24"/>
        </w:rPr>
        <w:t xml:space="preserve"> mPEG</w:t>
      </w:r>
      <w:r w:rsidRPr="00533C47">
        <w:rPr>
          <w:rFonts w:ascii="Arial" w:hAnsi="Arial" w:cs="Arial"/>
          <w:sz w:val="24"/>
          <w:szCs w:val="24"/>
          <w:vertAlign w:val="subscript"/>
        </w:rPr>
        <w:t>45</w:t>
      </w:r>
      <w:r w:rsidRPr="00533C47">
        <w:rPr>
          <w:rFonts w:ascii="Arial" w:hAnsi="Arial" w:cs="Arial"/>
          <w:sz w:val="24"/>
          <w:szCs w:val="24"/>
        </w:rPr>
        <w:t>-NH</w:t>
      </w:r>
      <w:r w:rsidRPr="00533C47">
        <w:rPr>
          <w:rFonts w:ascii="Arial" w:hAnsi="Arial" w:cs="Arial"/>
          <w:sz w:val="24"/>
          <w:szCs w:val="24"/>
          <w:vertAlign w:val="subscript"/>
        </w:rPr>
        <w:t>2</w:t>
      </w:r>
      <w:r w:rsidRPr="00533C47">
        <w:rPr>
          <w:rFonts w:ascii="Arial" w:hAnsi="Arial" w:cs="Arial"/>
          <w:sz w:val="24"/>
          <w:szCs w:val="24"/>
        </w:rPr>
        <w:t xml:space="preserve"> initiation of Val NCA ring-opening polymerization to prepare mPEG45–PLV.</w:t>
      </w:r>
    </w:p>
    <w:p w14:paraId="35DEDBEB" w14:textId="77777777" w:rsidR="00405C16" w:rsidRDefault="00405C16">
      <w:pPr>
        <w:widowControl/>
        <w:spacing w:before="0" w:beforeAutospacing="0" w:after="0" w:line="240" w:lineRule="auto"/>
        <w:jc w:val="lef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41A7A7EE" w14:textId="77777777" w:rsidR="00405C16" w:rsidRDefault="00533C47" w:rsidP="00783FD7">
      <w:pPr>
        <w:spacing w:before="0" w:beforeAutospacing="0"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pict w14:anchorId="7BD3D189">
          <v:shape id="_x0000_i1026" type="#_x0000_t75" style="width:426pt;height:140.25pt">
            <v:imagedata r:id="rId9" o:title="混药后表征"/>
          </v:shape>
        </w:pict>
      </w:r>
    </w:p>
    <w:p w14:paraId="57E21BF8" w14:textId="77777777" w:rsidR="00405C16" w:rsidRPr="00533C47" w:rsidRDefault="00405C16" w:rsidP="00171857">
      <w:pPr>
        <w:shd w:val="clear" w:color="auto" w:fill="FFFFFF"/>
        <w:spacing w:line="480" w:lineRule="auto"/>
        <w:rPr>
          <w:rFonts w:ascii="Arial" w:hAnsi="Arial" w:cs="Arial"/>
          <w:sz w:val="24"/>
          <w:szCs w:val="24"/>
        </w:rPr>
      </w:pPr>
      <w:r w:rsidRPr="00533C47">
        <w:rPr>
          <w:rFonts w:ascii="Arial" w:hAnsi="Arial" w:cs="Arial"/>
          <w:b/>
          <w:sz w:val="24"/>
          <w:szCs w:val="24"/>
        </w:rPr>
        <w:t xml:space="preserve">FIGURE </w:t>
      </w:r>
      <w:r w:rsidRPr="00533C47">
        <w:rPr>
          <w:rFonts w:ascii="Arial" w:hAnsi="Arial" w:cs="Arial" w:hint="eastAsia"/>
          <w:b/>
          <w:sz w:val="24"/>
          <w:szCs w:val="24"/>
        </w:rPr>
        <w:t>S2</w:t>
      </w:r>
      <w:r w:rsidRPr="00533C47">
        <w:rPr>
          <w:rFonts w:ascii="Arial" w:hAnsi="Arial" w:cs="Arial"/>
          <w:b/>
          <w:sz w:val="24"/>
          <w:szCs w:val="24"/>
        </w:rPr>
        <w:t>.</w:t>
      </w:r>
      <w:r w:rsidRPr="00533C47">
        <w:rPr>
          <w:rFonts w:ascii="Arial" w:hAnsi="Arial" w:cs="Arial" w:hint="eastAsia"/>
          <w:sz w:val="24"/>
          <w:szCs w:val="24"/>
        </w:rPr>
        <w:t xml:space="preserve"> The c</w:t>
      </w:r>
      <w:r w:rsidRPr="00533C47">
        <w:rPr>
          <w:rFonts w:ascii="Arial" w:hAnsi="Arial" w:cs="Arial"/>
          <w:sz w:val="24"/>
          <w:szCs w:val="24"/>
        </w:rPr>
        <w:t>haracterization of drug-loaded</w:t>
      </w:r>
      <w:r w:rsidRPr="00533C47">
        <w:rPr>
          <w:rFonts w:ascii="Arial" w:hAnsi="Arial" w:cs="Arial" w:hint="eastAsia"/>
          <w:sz w:val="24"/>
          <w:szCs w:val="24"/>
        </w:rPr>
        <w:t xml:space="preserve"> </w:t>
      </w:r>
      <w:r w:rsidRPr="00533C47">
        <w:rPr>
          <w:rFonts w:ascii="Arial" w:hAnsi="Arial" w:cs="Arial"/>
          <w:sz w:val="24"/>
          <w:szCs w:val="24"/>
        </w:rPr>
        <w:t>gel</w:t>
      </w:r>
      <w:r w:rsidRPr="00533C47">
        <w:rPr>
          <w:rFonts w:ascii="Arial" w:hAnsi="Arial" w:cs="Arial" w:hint="eastAsia"/>
          <w:sz w:val="24"/>
          <w:szCs w:val="24"/>
        </w:rPr>
        <w:t xml:space="preserve">. (A) </w:t>
      </w:r>
      <w:r w:rsidRPr="00533C47">
        <w:rPr>
          <w:rFonts w:ascii="Arial" w:hAnsi="Arial" w:cs="Arial"/>
          <w:sz w:val="24"/>
          <w:szCs w:val="24"/>
        </w:rPr>
        <w:t>Solution-gel phase diagrams</w:t>
      </w:r>
      <w:r w:rsidRPr="00533C47">
        <w:rPr>
          <w:rFonts w:ascii="Arial" w:hAnsi="Arial" w:cs="Arial" w:hint="eastAsia"/>
          <w:sz w:val="24"/>
          <w:szCs w:val="24"/>
        </w:rPr>
        <w:t xml:space="preserve">; (B) </w:t>
      </w:r>
      <w:r w:rsidRPr="00533C47">
        <w:rPr>
          <w:rFonts w:ascii="Arial" w:hAnsi="Arial" w:cs="Arial"/>
          <w:sz w:val="24"/>
          <w:szCs w:val="24"/>
        </w:rPr>
        <w:t>Changes of G' and G'' of drug-loaded</w:t>
      </w:r>
      <w:r w:rsidRPr="00533C47">
        <w:rPr>
          <w:rFonts w:ascii="Arial" w:hAnsi="Arial" w:cs="Arial" w:hint="eastAsia"/>
          <w:sz w:val="24"/>
          <w:szCs w:val="24"/>
        </w:rPr>
        <w:t xml:space="preserve"> </w:t>
      </w:r>
      <w:r w:rsidRPr="00533C47">
        <w:rPr>
          <w:rFonts w:ascii="Arial" w:hAnsi="Arial" w:cs="Arial"/>
          <w:sz w:val="24"/>
          <w:szCs w:val="24"/>
        </w:rPr>
        <w:t>gel</w:t>
      </w:r>
      <w:r w:rsidRPr="00533C47">
        <w:rPr>
          <w:rFonts w:ascii="Arial" w:hAnsi="Arial" w:cs="Arial" w:hint="eastAsia"/>
          <w:sz w:val="24"/>
          <w:szCs w:val="24"/>
        </w:rPr>
        <w:t xml:space="preserve"> </w:t>
      </w:r>
      <w:r w:rsidRPr="00533C47">
        <w:rPr>
          <w:rFonts w:ascii="Arial" w:hAnsi="Arial" w:cs="Arial"/>
          <w:sz w:val="24"/>
          <w:szCs w:val="24"/>
        </w:rPr>
        <w:t>in PBS solutions (5 wt. %)</w:t>
      </w:r>
      <w:r w:rsidRPr="00533C47">
        <w:rPr>
          <w:rFonts w:ascii="Arial" w:hAnsi="Arial" w:cs="Arial" w:hint="eastAsia"/>
          <w:sz w:val="24"/>
          <w:szCs w:val="24"/>
        </w:rPr>
        <w:t>.</w:t>
      </w:r>
    </w:p>
    <w:sectPr w:rsidR="00405C16" w:rsidRPr="00533C47" w:rsidSect="00A3218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2225" w14:textId="77777777" w:rsidR="008C19D8" w:rsidRDefault="008C19D8" w:rsidP="00E623E0">
      <w:pPr>
        <w:spacing w:before="0" w:after="0" w:line="240" w:lineRule="auto"/>
      </w:pPr>
      <w:r>
        <w:separator/>
      </w:r>
    </w:p>
  </w:endnote>
  <w:endnote w:type="continuationSeparator" w:id="0">
    <w:p w14:paraId="2E2FDC9A" w14:textId="77777777" w:rsidR="008C19D8" w:rsidRDefault="008C19D8" w:rsidP="00E623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00F7" w14:textId="77777777" w:rsidR="008C19D8" w:rsidRDefault="008C19D8" w:rsidP="00E623E0">
      <w:pPr>
        <w:spacing w:before="0" w:after="0" w:line="240" w:lineRule="auto"/>
      </w:pPr>
      <w:r>
        <w:separator/>
      </w:r>
    </w:p>
  </w:footnote>
  <w:footnote w:type="continuationSeparator" w:id="0">
    <w:p w14:paraId="007B241F" w14:textId="77777777" w:rsidR="008C19D8" w:rsidRDefault="008C19D8" w:rsidP="00E623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MjE1sbQ0MDMAAiUdpeDU4uLM/DyQAqNaAM4a4sssAAAA"/>
  </w:docVars>
  <w:rsids>
    <w:rsidRoot w:val="00626132"/>
    <w:rsid w:val="000B2B03"/>
    <w:rsid w:val="00151446"/>
    <w:rsid w:val="00162494"/>
    <w:rsid w:val="00171857"/>
    <w:rsid w:val="00405C16"/>
    <w:rsid w:val="0048006B"/>
    <w:rsid w:val="00514D2B"/>
    <w:rsid w:val="00533C47"/>
    <w:rsid w:val="00626132"/>
    <w:rsid w:val="00651AB6"/>
    <w:rsid w:val="006B3974"/>
    <w:rsid w:val="006B3ED6"/>
    <w:rsid w:val="00783FD7"/>
    <w:rsid w:val="00797412"/>
    <w:rsid w:val="007E5F0D"/>
    <w:rsid w:val="007F1100"/>
    <w:rsid w:val="008929D7"/>
    <w:rsid w:val="008C19D8"/>
    <w:rsid w:val="008D4040"/>
    <w:rsid w:val="00A0153C"/>
    <w:rsid w:val="00A32185"/>
    <w:rsid w:val="00A40FE6"/>
    <w:rsid w:val="00AE07AC"/>
    <w:rsid w:val="00B36689"/>
    <w:rsid w:val="00BF186D"/>
    <w:rsid w:val="00C15A5E"/>
    <w:rsid w:val="00CA6482"/>
    <w:rsid w:val="00D9635B"/>
    <w:rsid w:val="00DF3584"/>
    <w:rsid w:val="00E466F0"/>
    <w:rsid w:val="00E623E0"/>
    <w:rsid w:val="1FAA38FD"/>
    <w:rsid w:val="6ED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BA05C"/>
  <w15:docId w15:val="{6C121E00-88E9-4E91-98E6-62F8FC2B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beforeAutospacing="1" w:after="160" w:line="256" w:lineRule="auto"/>
      <w:jc w:val="both"/>
    </w:pPr>
    <w:rPr>
      <w:rFonts w:ascii="Calibri" w:eastAsia="SimSun" w:hAnsi="Calibri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rFonts w:ascii="Calibri" w:eastAsia="SimSun" w:hAnsi="Calibri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Calibri" w:eastAsia="SimSun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04623-4FC1-470B-BBE4-9FE57A43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4766</Characters>
  <Application>Microsoft Office Word</Application>
  <DocSecurity>0</DocSecurity>
  <Lines>39</Lines>
  <Paragraphs>11</Paragraphs>
  <ScaleCrop>false</ScaleCrop>
  <Company>Sky123.Org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11147</dc:creator>
  <cp:lastModifiedBy>Florine Lièvre</cp:lastModifiedBy>
  <cp:revision>13</cp:revision>
  <dcterms:created xsi:type="dcterms:W3CDTF">2014-10-29T12:08:00Z</dcterms:created>
  <dcterms:modified xsi:type="dcterms:W3CDTF">2020-04-15T13:14:00Z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