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6C" w:rsidRPr="0089730B" w:rsidRDefault="000E3C6C" w:rsidP="000E3C6C">
      <w:pPr>
        <w:spacing w:line="480" w:lineRule="auto"/>
        <w:ind w:firstLineChars="0"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r w:rsidRPr="0089730B">
        <w:rPr>
          <w:rFonts w:ascii="Times New Roman" w:hAnsi="Times New Roman"/>
          <w:sz w:val="24"/>
          <w:szCs w:val="24"/>
        </w:rPr>
        <w:t xml:space="preserve">Supplementary Table 1. </w:t>
      </w:r>
      <w:bookmarkEnd w:id="0"/>
      <w:r w:rsidRPr="0089730B">
        <w:rPr>
          <w:rFonts w:ascii="Times New Roman" w:hAnsi="Times New Roman"/>
          <w:sz w:val="24"/>
          <w:szCs w:val="24"/>
        </w:rPr>
        <w:t xml:space="preserve">Clinical data of PCOS and non-PCOS patients </w:t>
      </w:r>
    </w:p>
    <w:tbl>
      <w:tblPr>
        <w:tblW w:w="4953" w:type="pct"/>
        <w:tblLook w:val="04A0" w:firstRow="1" w:lastRow="0" w:firstColumn="1" w:lastColumn="0" w:noHBand="0" w:noVBand="1"/>
      </w:tblPr>
      <w:tblGrid>
        <w:gridCol w:w="2609"/>
        <w:gridCol w:w="2648"/>
        <w:gridCol w:w="2802"/>
        <w:gridCol w:w="1213"/>
      </w:tblGrid>
      <w:tr w:rsidR="000E3C6C" w:rsidRPr="0089730B" w:rsidTr="006A5A6C">
        <w:trPr>
          <w:trHeight w:val="558"/>
        </w:trPr>
        <w:tc>
          <w:tcPr>
            <w:tcW w:w="1407" w:type="pct"/>
            <w:tcBorders>
              <w:top w:val="single" w:sz="4" w:space="0" w:color="auto"/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Variables</w:t>
            </w:r>
          </w:p>
        </w:tc>
        <w:tc>
          <w:tcPr>
            <w:tcW w:w="1428" w:type="pct"/>
            <w:tcBorders>
              <w:top w:val="single" w:sz="4" w:space="0" w:color="auto"/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Non-PCOS (n=9696)</w:t>
            </w:r>
          </w:p>
        </w:tc>
        <w:tc>
          <w:tcPr>
            <w:tcW w:w="1511" w:type="pct"/>
            <w:tcBorders>
              <w:top w:val="single" w:sz="4" w:space="0" w:color="auto"/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PCOS (n=2052)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0E3C6C" w:rsidRPr="0089730B" w:rsidTr="006A5A6C">
        <w:tc>
          <w:tcPr>
            <w:tcW w:w="1407" w:type="pct"/>
            <w:tcBorders>
              <w:top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Age (year)</w:t>
            </w:r>
          </w:p>
        </w:tc>
        <w:tc>
          <w:tcPr>
            <w:tcW w:w="1428" w:type="pct"/>
            <w:tcBorders>
              <w:top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31(28-34)</w:t>
            </w:r>
          </w:p>
        </w:tc>
        <w:tc>
          <w:tcPr>
            <w:tcW w:w="1511" w:type="pct"/>
            <w:tcBorders>
              <w:top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29(27-31) **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rPr>
          <w:trHeight w:val="449"/>
        </w:trPr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Systolic pressure (mmHg)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112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104-121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117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106-125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Diastolic pressure (mmHg)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70(66-77)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73(68-80)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BMI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kg/m</w:t>
            </w:r>
            <w:r w:rsidRPr="0089730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21.09(19.53-23.11)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22.66(20.31-25.39)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rPr>
          <w:trHeight w:val="832"/>
        </w:trPr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PRL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mIu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278.82(210.12-365.19)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254.02(195.89-337.99)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rPr>
          <w:trHeight w:val="607"/>
        </w:trPr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LH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IU/L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4.38(3.30-5.78)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8.17(5.14-12.64)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FSH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IU/L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7.60(6.45-8.99)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6.67(5.67-7.78)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E</w:t>
            </w:r>
            <w:r w:rsidRPr="0089730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pmol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140(100-192)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145(103-197.10) 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0E3C6C" w:rsidRPr="0089730B" w:rsidTr="006A5A6C">
        <w:trPr>
          <w:trHeight w:val="708"/>
        </w:trPr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 xml:space="preserve"> T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nmol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1.24(0.96-1.59)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1.81(1.39-2.32)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FPG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5.4(5.1-6.1)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5.3(5.0-5.6)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0.862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TG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0.88(0.64-1.25)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1.17(0.80-1.80)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TC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4.38(3.89-4.90)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4.60(4.10-5.19)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LDL-C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2.40(2.03-2.83)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2.60(2.17-3.11)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HDL-C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1.44(1.24-1.65)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1.33(1.14-1.58) **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AST (U/L)</w:t>
            </w:r>
          </w:p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18.5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15-24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20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17-26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ALT (U/L)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13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10-19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17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13-29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Ƴ-GGT (U/L) 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11-22.5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13-31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 xml:space="preserve">ALP (U/L) 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58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50-68.5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65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57-77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TBIL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umol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 xml:space="preserve">/L) 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12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10-15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11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9-14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DBIL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umol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 xml:space="preserve">/L) 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3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2-4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3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2-3.5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0.022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TP (g/L)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76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73.7-78.8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76.4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74.2-79.2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ALB (g/L)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47.1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45.2-48.8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47.4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45.5-49.2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0.048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GLB (g/L)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28.5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26.7-30.8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29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27-31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A/G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1.6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1.5-1.8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1.6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1.5-1.8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Uric acid (µ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294.5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255.5-336.5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323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（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279-374</w:t>
            </w:r>
            <w:r w:rsidRPr="0089730B">
              <w:rPr>
                <w:rFonts w:ascii="Times New Roman" w:hAnsi="Times New Roman"/>
                <w:sz w:val="24"/>
                <w:szCs w:val="24"/>
              </w:rPr>
              <w:t>）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TSH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mU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1.87(1.32-2.61)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1.93(1.35-2.70)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</w:tr>
      <w:tr w:rsidR="000E3C6C" w:rsidRPr="0089730B" w:rsidTr="006A5A6C">
        <w:tc>
          <w:tcPr>
            <w:tcW w:w="1407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FT3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pmol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428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4.92(4.53-5.40)</w:t>
            </w:r>
          </w:p>
        </w:tc>
        <w:tc>
          <w:tcPr>
            <w:tcW w:w="1511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5.00(4.63-5.50)</w:t>
            </w:r>
          </w:p>
        </w:tc>
        <w:tc>
          <w:tcPr>
            <w:tcW w:w="654" w:type="pct"/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0E3C6C" w:rsidRPr="0089730B" w:rsidTr="006A5A6C">
        <w:tc>
          <w:tcPr>
            <w:tcW w:w="1407" w:type="pct"/>
            <w:tcBorders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FT4 (</w:t>
            </w:r>
            <w:proofErr w:type="spellStart"/>
            <w:r w:rsidRPr="0089730B">
              <w:rPr>
                <w:rFonts w:ascii="Times New Roman" w:hAnsi="Times New Roman"/>
                <w:sz w:val="24"/>
                <w:szCs w:val="24"/>
              </w:rPr>
              <w:t>pmol</w:t>
            </w:r>
            <w:proofErr w:type="spellEnd"/>
            <w:r w:rsidRPr="0089730B">
              <w:rPr>
                <w:rFonts w:ascii="Times New Roman" w:hAnsi="Times New Roman"/>
                <w:sz w:val="24"/>
                <w:szCs w:val="24"/>
              </w:rPr>
              <w:t>/L)</w:t>
            </w:r>
          </w:p>
        </w:tc>
        <w:tc>
          <w:tcPr>
            <w:tcW w:w="1428" w:type="pct"/>
            <w:tcBorders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11.23(10.30-12.27)</w:t>
            </w: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11.09(10.06-12.18)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0E3C6C" w:rsidRPr="0089730B" w:rsidRDefault="000E3C6C" w:rsidP="006A5A6C">
            <w:pPr>
              <w:spacing w:line="480" w:lineRule="auto"/>
              <w:ind w:firstLineChars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730B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</w:tbl>
    <w:p w:rsidR="000E3C6C" w:rsidRPr="0089730B" w:rsidRDefault="000E3C6C" w:rsidP="000E3C6C">
      <w:pPr>
        <w:spacing w:line="480" w:lineRule="auto"/>
        <w:ind w:firstLine="360"/>
        <w:jc w:val="left"/>
        <w:rPr>
          <w:rFonts w:ascii="Times New Roman" w:hAnsi="Times New Roman"/>
          <w:sz w:val="24"/>
          <w:szCs w:val="24"/>
        </w:rPr>
      </w:pPr>
    </w:p>
    <w:p w:rsidR="000E3C6C" w:rsidRPr="0089730B" w:rsidRDefault="000E3C6C" w:rsidP="000E3C6C">
      <w:pPr>
        <w:spacing w:line="480" w:lineRule="auto"/>
        <w:ind w:firstLineChars="0" w:firstLine="0"/>
        <w:jc w:val="left"/>
        <w:rPr>
          <w:rFonts w:ascii="Times New Roman" w:hAnsi="Times New Roman"/>
          <w:sz w:val="24"/>
          <w:szCs w:val="24"/>
        </w:rPr>
      </w:pPr>
      <w:r w:rsidRPr="0089730B">
        <w:rPr>
          <w:rFonts w:ascii="Times New Roman" w:hAnsi="Times New Roman"/>
          <w:sz w:val="24"/>
          <w:szCs w:val="24"/>
        </w:rPr>
        <w:t xml:space="preserve">Data are presented as median (quartiles). Mann-Whitney test and Chi square test were used to compare differences between PCOS patients and controls.* and ** denote </w:t>
      </w:r>
      <w:r w:rsidRPr="0089730B">
        <w:rPr>
          <w:rFonts w:ascii="Times New Roman" w:hAnsi="Times New Roman"/>
          <w:i/>
          <w:sz w:val="24"/>
          <w:szCs w:val="24"/>
        </w:rPr>
        <w:t>p</w:t>
      </w:r>
      <w:r w:rsidRPr="0089730B">
        <w:rPr>
          <w:rFonts w:ascii="Times New Roman" w:hAnsi="Times New Roman"/>
          <w:sz w:val="24"/>
          <w:szCs w:val="24"/>
        </w:rPr>
        <w:t xml:space="preserve"> &lt; 0.05 or </w:t>
      </w:r>
      <w:r w:rsidRPr="0089730B">
        <w:rPr>
          <w:rFonts w:ascii="Times New Roman" w:hAnsi="Times New Roman"/>
          <w:i/>
          <w:sz w:val="24"/>
          <w:szCs w:val="24"/>
        </w:rPr>
        <w:t>p</w:t>
      </w:r>
      <w:r w:rsidRPr="0089730B">
        <w:rPr>
          <w:rFonts w:ascii="Times New Roman" w:hAnsi="Times New Roman"/>
          <w:sz w:val="24"/>
          <w:szCs w:val="24"/>
        </w:rPr>
        <w:t xml:space="preserve"> &lt; 0.01 vs non-PCOS group</w:t>
      </w:r>
    </w:p>
    <w:p w:rsidR="000E3C6C" w:rsidRPr="0089730B" w:rsidRDefault="000E3C6C" w:rsidP="000E3C6C">
      <w:pPr>
        <w:spacing w:line="480" w:lineRule="auto"/>
        <w:ind w:firstLineChars="0" w:firstLine="0"/>
        <w:jc w:val="left"/>
        <w:rPr>
          <w:rFonts w:ascii="Times New Roman" w:hAnsi="Times New Roman"/>
          <w:sz w:val="24"/>
          <w:szCs w:val="24"/>
        </w:rPr>
      </w:pPr>
    </w:p>
    <w:p w:rsidR="003F1E58" w:rsidRDefault="003F1E58">
      <w:pPr>
        <w:ind w:firstLine="330"/>
      </w:pPr>
    </w:p>
    <w:sectPr w:rsidR="003F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6C"/>
    <w:rsid w:val="000E3C6C"/>
    <w:rsid w:val="003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45903-53FC-4C47-98E8-65AE9FCF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6C"/>
    <w:pPr>
      <w:adjustRightInd w:val="0"/>
      <w:snapToGrid w:val="0"/>
      <w:spacing w:after="0" w:line="240" w:lineRule="auto"/>
      <w:ind w:firstLineChars="150" w:firstLine="150"/>
      <w:jc w:val="both"/>
    </w:pPr>
    <w:rPr>
      <w:rFonts w:ascii="Tahoma" w:eastAsia="SimSun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cheng</dc:creator>
  <cp:keywords/>
  <dc:description/>
  <cp:lastModifiedBy>peter cheng</cp:lastModifiedBy>
  <cp:revision>1</cp:revision>
  <dcterms:created xsi:type="dcterms:W3CDTF">2020-04-29T03:36:00Z</dcterms:created>
  <dcterms:modified xsi:type="dcterms:W3CDTF">2020-04-29T03:37:00Z</dcterms:modified>
</cp:coreProperties>
</file>