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1" w:rsidRDefault="00E70B71" w:rsidP="00E70B71">
      <w:pPr>
        <w:pStyle w:val="TableCaption"/>
      </w:pPr>
      <w:r w:rsidRPr="002B016B">
        <w:rPr>
          <w:b/>
        </w:rPr>
        <w:t xml:space="preserve">TABLE </w:t>
      </w:r>
      <w:r>
        <w:rPr>
          <w:b/>
        </w:rPr>
        <w:t>S1</w:t>
      </w:r>
      <w:r w:rsidRPr="000C1BA5">
        <w:rPr>
          <w:bCs w:val="0"/>
        </w:rPr>
        <w:t xml:space="preserve"> | </w:t>
      </w:r>
      <w:r w:rsidRPr="002B016B">
        <w:t>Non-PID diagnosis (</w:t>
      </w:r>
      <w:r w:rsidRPr="00AB34DA">
        <w:rPr>
          <w:i/>
          <w:iCs/>
        </w:rPr>
        <w:t>n</w:t>
      </w:r>
      <w:r>
        <w:t xml:space="preserve"> </w:t>
      </w:r>
      <w:r w:rsidRPr="002B016B">
        <w:t>=</w:t>
      </w:r>
      <w:r>
        <w:t xml:space="preserve"> </w:t>
      </w:r>
      <w:r w:rsidRPr="002B016B">
        <w:t>36)</w:t>
      </w:r>
      <w:r>
        <w:t xml:space="preserve">. </w:t>
      </w:r>
    </w:p>
    <w:tbl>
      <w:tblPr>
        <w:tblStyle w:val="SombreamentoClaro-nfase1"/>
        <w:tblW w:w="2938" w:type="pct"/>
        <w:tblLook w:val="0660" w:firstRow="1" w:lastRow="1" w:firstColumn="0" w:lastColumn="0" w:noHBand="1" w:noVBand="1"/>
      </w:tblPr>
      <w:tblGrid>
        <w:gridCol w:w="3795"/>
        <w:gridCol w:w="1329"/>
      </w:tblGrid>
      <w:tr w:rsidR="00E70B71" w:rsidRPr="002B016B" w:rsidTr="00CF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3703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>Diagnosis</w:t>
            </w:r>
          </w:p>
        </w:tc>
        <w:tc>
          <w:tcPr>
            <w:tcW w:w="1297" w:type="pct"/>
            <w:tcBorders>
              <w:top w:val="single" w:sz="8" w:space="0" w:color="auto"/>
              <w:bottom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>Percent</w:t>
            </w:r>
            <w:r>
              <w:t>age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tcBorders>
              <w:top w:val="single" w:sz="8" w:space="0" w:color="auto"/>
            </w:tcBorders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>Autoimmune diseases</w:t>
            </w:r>
          </w:p>
        </w:tc>
        <w:tc>
          <w:tcPr>
            <w:tcW w:w="1297" w:type="pct"/>
            <w:tcBorders>
              <w:top w:val="single" w:sz="8" w:space="0" w:color="auto"/>
            </w:tcBorders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Atopic dermatitis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12.10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Asthma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9.75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Type II diabetes mellitus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7.31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Inflammatory bowel disease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4.87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Autoimmune hepatitis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4.87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Human papillomavirus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4.87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Chronic kidney disease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Glaucoma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 xml:space="preserve">Thrombocytopenic </w:t>
            </w:r>
            <w:proofErr w:type="spellStart"/>
            <w:r w:rsidRPr="002B016B">
              <w:t>purpura</w:t>
            </w:r>
            <w:proofErr w:type="spellEnd"/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Fibromyalgia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Anemia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Kikuchi syndrome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Peripheral neuropathy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Autoimmune uveitis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Hashimoto-Graves syndrome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>
              <w:t> </w:t>
            </w:r>
            <w:r w:rsidRPr="002B016B">
              <w:t>Myasthenia gravis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>Kaposi sarcoma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4.87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proofErr w:type="spellStart"/>
            <w:r w:rsidRPr="002B016B">
              <w:t>IgE</w:t>
            </w:r>
            <w:proofErr w:type="spellEnd"/>
            <w:r w:rsidRPr="002B016B">
              <w:t xml:space="preserve"> elevation angioedema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4.87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 xml:space="preserve">Erythema </w:t>
            </w:r>
            <w:proofErr w:type="spellStart"/>
            <w:r w:rsidRPr="002B016B">
              <w:t>multiforme</w:t>
            </w:r>
            <w:proofErr w:type="spellEnd"/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4.87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>Syphilis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>Toxoplasmosis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>Sick</w:t>
            </w:r>
            <w:r>
              <w:t>le</w:t>
            </w:r>
            <w:r w:rsidRPr="002B016B">
              <w:t xml:space="preserve"> cell anemia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 xml:space="preserve">Systemic lupus </w:t>
            </w:r>
            <w:proofErr w:type="spellStart"/>
            <w:r w:rsidRPr="002B016B">
              <w:t>erythematosus</w:t>
            </w:r>
            <w:proofErr w:type="spellEnd"/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294"/>
        </w:trPr>
        <w:tc>
          <w:tcPr>
            <w:tcW w:w="3703" w:type="pct"/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r w:rsidRPr="002B016B">
              <w:t>Dengue</w:t>
            </w:r>
          </w:p>
        </w:tc>
        <w:tc>
          <w:tcPr>
            <w:tcW w:w="1297" w:type="pct"/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2B016B" w:rsidTr="00CF0F20">
        <w:trPr>
          <w:trHeight w:val="312"/>
        </w:trPr>
        <w:tc>
          <w:tcPr>
            <w:tcW w:w="3703" w:type="pct"/>
            <w:tcBorders>
              <w:bottom w:val="nil"/>
            </w:tcBorders>
            <w:noWrap/>
          </w:tcPr>
          <w:p w:rsidR="00E70B71" w:rsidRPr="002B016B" w:rsidRDefault="00E70B71" w:rsidP="00CF0F20">
            <w:pPr>
              <w:pStyle w:val="TableBody"/>
              <w:spacing w:line="360" w:lineRule="auto"/>
            </w:pPr>
            <w:proofErr w:type="spellStart"/>
            <w:r w:rsidRPr="002B016B">
              <w:t>Myelodysplasia</w:t>
            </w:r>
            <w:proofErr w:type="spellEnd"/>
          </w:p>
        </w:tc>
        <w:tc>
          <w:tcPr>
            <w:tcW w:w="1297" w:type="pct"/>
            <w:tcBorders>
              <w:bottom w:val="nil"/>
            </w:tcBorders>
          </w:tcPr>
          <w:p w:rsidR="00E70B71" w:rsidRPr="002B016B" w:rsidRDefault="00E70B71" w:rsidP="00CF0F20">
            <w:pPr>
              <w:pStyle w:val="TableBody"/>
              <w:rPr>
                <w:szCs w:val="20"/>
              </w:rPr>
            </w:pPr>
            <w:r w:rsidRPr="002B016B">
              <w:rPr>
                <w:szCs w:val="20"/>
              </w:rPr>
              <w:t>2.43</w:t>
            </w:r>
          </w:p>
        </w:tc>
      </w:tr>
      <w:tr w:rsidR="00E70B71" w:rsidRPr="00400B20" w:rsidTr="00CF0F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703" w:type="pct"/>
            <w:tcBorders>
              <w:top w:val="nil"/>
              <w:bottom w:val="single" w:sz="8" w:space="0" w:color="auto"/>
            </w:tcBorders>
            <w:noWrap/>
          </w:tcPr>
          <w:p w:rsidR="00E70B71" w:rsidRPr="00400B20" w:rsidRDefault="00E70B71" w:rsidP="00CF0F20">
            <w:pPr>
              <w:pStyle w:val="TableBody"/>
              <w:spacing w:line="360" w:lineRule="auto"/>
              <w:rPr>
                <w:b w:val="0"/>
                <w:bCs w:val="0"/>
              </w:rPr>
            </w:pPr>
            <w:proofErr w:type="spellStart"/>
            <w:r w:rsidRPr="00400B20">
              <w:rPr>
                <w:b w:val="0"/>
                <w:bCs w:val="0"/>
              </w:rPr>
              <w:t>Omim</w:t>
            </w:r>
            <w:proofErr w:type="spellEnd"/>
            <w:r w:rsidRPr="00400B20">
              <w:rPr>
                <w:b w:val="0"/>
                <w:bCs w:val="0"/>
              </w:rPr>
              <w:t xml:space="preserve"> 24 syndrome</w:t>
            </w:r>
          </w:p>
        </w:tc>
        <w:tc>
          <w:tcPr>
            <w:tcW w:w="1297" w:type="pct"/>
            <w:tcBorders>
              <w:top w:val="nil"/>
              <w:bottom w:val="single" w:sz="8" w:space="0" w:color="auto"/>
            </w:tcBorders>
          </w:tcPr>
          <w:p w:rsidR="00E70B71" w:rsidRPr="00400B20" w:rsidRDefault="00E70B71" w:rsidP="00CF0F20">
            <w:pPr>
              <w:pStyle w:val="TableBody"/>
              <w:rPr>
                <w:b w:val="0"/>
                <w:bCs w:val="0"/>
                <w:szCs w:val="20"/>
              </w:rPr>
            </w:pPr>
            <w:r w:rsidRPr="00400B20">
              <w:rPr>
                <w:b w:val="0"/>
                <w:bCs w:val="0"/>
                <w:szCs w:val="20"/>
              </w:rPr>
              <w:t>2.43</w:t>
            </w:r>
          </w:p>
        </w:tc>
      </w:tr>
    </w:tbl>
    <w:p w:rsidR="00E70B71" w:rsidRPr="002B016B" w:rsidRDefault="00E70B71" w:rsidP="00E70B71">
      <w:pPr>
        <w:rPr>
          <w:sz w:val="20"/>
        </w:rPr>
      </w:pPr>
    </w:p>
    <w:p w:rsidR="00E70B71" w:rsidRDefault="00E70B71" w:rsidP="00E70B71">
      <w:pPr>
        <w:pStyle w:val="TableCaption"/>
      </w:pPr>
      <w:proofErr w:type="gramStart"/>
      <w:r w:rsidRPr="002B016B">
        <w:rPr>
          <w:b/>
        </w:rPr>
        <w:lastRenderedPageBreak/>
        <w:t xml:space="preserve">TABLE </w:t>
      </w:r>
      <w:r>
        <w:rPr>
          <w:b/>
        </w:rPr>
        <w:t>S2 |</w:t>
      </w:r>
      <w:r w:rsidRPr="002B016B">
        <w:t xml:space="preserve"> Spectrum of 26 patients under investigation for PID</w:t>
      </w:r>
      <w:r>
        <w:t>.</w:t>
      </w:r>
      <w:proofErr w:type="gramEnd"/>
      <w:r>
        <w:t xml:space="preserve"> 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451"/>
        <w:gridCol w:w="2794"/>
      </w:tblGrid>
      <w:tr w:rsidR="00E70B71" w:rsidRPr="00657F85" w:rsidTr="00CF0F20">
        <w:tc>
          <w:tcPr>
            <w:tcW w:w="2943" w:type="dxa"/>
            <w:tcBorders>
              <w:top w:val="single" w:sz="8" w:space="0" w:color="auto"/>
              <w:bottom w:val="single" w:sz="8" w:space="0" w:color="auto"/>
            </w:tcBorders>
          </w:tcPr>
          <w:p w:rsidR="00E70B71" w:rsidRPr="00657F85" w:rsidRDefault="00E70B71" w:rsidP="00CF0F20">
            <w:pPr>
              <w:pStyle w:val="TableBody"/>
              <w:rPr>
                <w:b/>
                <w:bCs/>
              </w:rPr>
            </w:pPr>
            <w:r w:rsidRPr="00657F85">
              <w:rPr>
                <w:b/>
                <w:bCs/>
              </w:rPr>
              <w:t>Probable PID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70B71" w:rsidRPr="00657F85" w:rsidRDefault="00E70B71" w:rsidP="00CF0F20">
            <w:pPr>
              <w:pStyle w:val="TableBody"/>
              <w:rPr>
                <w:b/>
                <w:bCs/>
              </w:rPr>
            </w:pPr>
            <w:r w:rsidRPr="00657F85">
              <w:rPr>
                <w:b/>
                <w:bCs/>
              </w:rPr>
              <w:t>No. (%)</w:t>
            </w:r>
          </w:p>
        </w:tc>
        <w:tc>
          <w:tcPr>
            <w:tcW w:w="2451" w:type="dxa"/>
            <w:tcBorders>
              <w:top w:val="single" w:sz="8" w:space="0" w:color="auto"/>
              <w:bottom w:val="single" w:sz="8" w:space="0" w:color="auto"/>
            </w:tcBorders>
          </w:tcPr>
          <w:p w:rsidR="00E70B71" w:rsidRPr="00657F85" w:rsidRDefault="00E70B71" w:rsidP="00CF0F20">
            <w:pPr>
              <w:pStyle w:val="TableBody"/>
              <w:rPr>
                <w:b/>
                <w:bCs/>
              </w:rPr>
            </w:pPr>
            <w:r w:rsidRPr="00657F85">
              <w:rPr>
                <w:b/>
                <w:bCs/>
              </w:rPr>
              <w:t>Illnesses</w:t>
            </w:r>
          </w:p>
        </w:tc>
        <w:tc>
          <w:tcPr>
            <w:tcW w:w="2794" w:type="dxa"/>
            <w:tcBorders>
              <w:top w:val="single" w:sz="8" w:space="0" w:color="auto"/>
              <w:bottom w:val="single" w:sz="8" w:space="0" w:color="auto"/>
            </w:tcBorders>
          </w:tcPr>
          <w:p w:rsidR="00E70B71" w:rsidRPr="00657F85" w:rsidRDefault="00E70B71" w:rsidP="00CF0F20">
            <w:pPr>
              <w:pStyle w:val="TableBody"/>
              <w:rPr>
                <w:b/>
                <w:bCs/>
              </w:rPr>
            </w:pPr>
            <w:r w:rsidRPr="00657F85">
              <w:rPr>
                <w:b/>
                <w:bCs/>
              </w:rPr>
              <w:t>Organs</w:t>
            </w:r>
          </w:p>
        </w:tc>
      </w:tr>
      <w:tr w:rsidR="00E70B71" w:rsidRPr="002B016B" w:rsidTr="00CF0F20">
        <w:tc>
          <w:tcPr>
            <w:tcW w:w="2943" w:type="dxa"/>
            <w:tcBorders>
              <w:top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Hyper </w:t>
            </w:r>
            <w:proofErr w:type="spellStart"/>
            <w:r w:rsidRPr="002B016B">
              <w:t>IgE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>6</w:t>
            </w:r>
            <w:r>
              <w:t xml:space="preserve"> </w:t>
            </w:r>
            <w:r w:rsidRPr="002B016B">
              <w:t>(23.0)</w:t>
            </w:r>
          </w:p>
        </w:tc>
        <w:tc>
          <w:tcPr>
            <w:tcW w:w="2451" w:type="dxa"/>
            <w:tcBorders>
              <w:top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>Diarrhea, recurrent pneumonia, sinusitis, otitis, tonsillitis</w:t>
            </w:r>
          </w:p>
        </w:tc>
        <w:tc>
          <w:tcPr>
            <w:tcW w:w="2794" w:type="dxa"/>
            <w:tcBorders>
              <w:top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>Lungs, skin, upper airways</w:t>
            </w:r>
          </w:p>
        </w:tc>
      </w:tr>
      <w:tr w:rsidR="00E70B71" w:rsidRPr="002B016B" w:rsidTr="00CF0F20">
        <w:tc>
          <w:tcPr>
            <w:tcW w:w="2943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Deficiency of specific </w:t>
            </w:r>
            <w:proofErr w:type="spellStart"/>
            <w:r w:rsidRPr="002B016B">
              <w:t>immunoglobulins</w:t>
            </w:r>
            <w:proofErr w:type="spellEnd"/>
          </w:p>
        </w:tc>
        <w:tc>
          <w:tcPr>
            <w:tcW w:w="1134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5 (19.2)</w:t>
            </w:r>
          </w:p>
        </w:tc>
        <w:tc>
          <w:tcPr>
            <w:tcW w:w="2451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Abscess, diarrhea, pneumonia, tonsillitis, otitis</w:t>
            </w:r>
          </w:p>
        </w:tc>
        <w:tc>
          <w:tcPr>
            <w:tcW w:w="2794" w:type="dxa"/>
          </w:tcPr>
          <w:p w:rsidR="00E70B71" w:rsidRPr="002B016B" w:rsidRDefault="00E70B71" w:rsidP="00CF0F20">
            <w:pPr>
              <w:pStyle w:val="TableBody"/>
            </w:pPr>
            <w:r>
              <w:t>G</w:t>
            </w:r>
            <w:r w:rsidRPr="002B016B">
              <w:t>astrointestinal tract, lungs, upper airways</w:t>
            </w:r>
          </w:p>
        </w:tc>
      </w:tr>
      <w:tr w:rsidR="00E70B71" w:rsidRPr="002B016B" w:rsidTr="00CF0F20">
        <w:tc>
          <w:tcPr>
            <w:tcW w:w="2943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Complement deficiency</w:t>
            </w:r>
          </w:p>
        </w:tc>
        <w:tc>
          <w:tcPr>
            <w:tcW w:w="1134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4 (15.4)</w:t>
            </w:r>
          </w:p>
        </w:tc>
        <w:tc>
          <w:tcPr>
            <w:tcW w:w="2451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Pneumonia, sinusitis, </w:t>
            </w:r>
            <w:proofErr w:type="spellStart"/>
            <w:r w:rsidRPr="002B016B">
              <w:t>telangiectasis</w:t>
            </w:r>
            <w:proofErr w:type="spellEnd"/>
          </w:p>
        </w:tc>
        <w:tc>
          <w:tcPr>
            <w:tcW w:w="2794" w:type="dxa"/>
          </w:tcPr>
          <w:p w:rsidR="00E70B71" w:rsidRPr="002B016B" w:rsidRDefault="00E70B71" w:rsidP="00CF0F20">
            <w:pPr>
              <w:pStyle w:val="TableBody"/>
            </w:pPr>
            <w:r>
              <w:t>L</w:t>
            </w:r>
            <w:r w:rsidRPr="002B016B">
              <w:t>ungs, skin, upper airways</w:t>
            </w:r>
          </w:p>
        </w:tc>
      </w:tr>
      <w:tr w:rsidR="00E70B71" w:rsidRPr="002B016B" w:rsidTr="00CF0F20">
        <w:tc>
          <w:tcPr>
            <w:tcW w:w="2943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Chronic </w:t>
            </w:r>
            <w:r>
              <w:t>g</w:t>
            </w:r>
            <w:r w:rsidRPr="002B016B">
              <w:t xml:space="preserve">ranulomatous </w:t>
            </w:r>
            <w:r>
              <w:t>d</w:t>
            </w:r>
            <w:r w:rsidRPr="002B016B">
              <w:t>isease</w:t>
            </w:r>
          </w:p>
        </w:tc>
        <w:tc>
          <w:tcPr>
            <w:tcW w:w="1134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3 (11.5)</w:t>
            </w:r>
          </w:p>
        </w:tc>
        <w:tc>
          <w:tcPr>
            <w:tcW w:w="2451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Herpes, C</w:t>
            </w:r>
            <w:r>
              <w:t>ytomegalovirus</w:t>
            </w:r>
            <w:r w:rsidRPr="002B016B">
              <w:t>, E</w:t>
            </w:r>
            <w:r>
              <w:t>pstein-Barr virus</w:t>
            </w:r>
            <w:r w:rsidRPr="002B016B">
              <w:t xml:space="preserve"> infections</w:t>
            </w:r>
          </w:p>
        </w:tc>
        <w:tc>
          <w:tcPr>
            <w:tcW w:w="2794" w:type="dxa"/>
          </w:tcPr>
          <w:p w:rsidR="00E70B71" w:rsidRPr="002B016B" w:rsidRDefault="00E70B71" w:rsidP="00CF0F20">
            <w:pPr>
              <w:pStyle w:val="TableBody"/>
            </w:pPr>
            <w:r>
              <w:t>L</w:t>
            </w:r>
            <w:r w:rsidRPr="002B016B">
              <w:t>ungs, upper airways</w:t>
            </w:r>
          </w:p>
        </w:tc>
      </w:tr>
      <w:tr w:rsidR="00E70B71" w:rsidRPr="002B016B" w:rsidTr="00CF0F20">
        <w:tc>
          <w:tcPr>
            <w:tcW w:w="2943" w:type="dxa"/>
          </w:tcPr>
          <w:p w:rsidR="00E70B71" w:rsidRPr="002B016B" w:rsidRDefault="00E70B71" w:rsidP="00CF0F20">
            <w:pPr>
              <w:pStyle w:val="TableBody"/>
            </w:pPr>
            <w:r w:rsidRPr="002B016B">
              <w:rPr>
                <w:bCs/>
                <w:color w:val="000000" w:themeColor="text1"/>
              </w:rPr>
              <w:t xml:space="preserve">Autoimmune </w:t>
            </w:r>
            <w:proofErr w:type="spellStart"/>
            <w:r w:rsidRPr="002B016B">
              <w:rPr>
                <w:bCs/>
                <w:color w:val="000000" w:themeColor="text1"/>
              </w:rPr>
              <w:t>lymphoproliferative</w:t>
            </w:r>
            <w:proofErr w:type="spellEnd"/>
            <w:r w:rsidRPr="002B016B">
              <w:rPr>
                <w:bCs/>
              </w:rPr>
              <w:t xml:space="preserve"> syndrome</w:t>
            </w:r>
          </w:p>
        </w:tc>
        <w:tc>
          <w:tcPr>
            <w:tcW w:w="1134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2 (7.6)</w:t>
            </w:r>
          </w:p>
        </w:tc>
        <w:tc>
          <w:tcPr>
            <w:tcW w:w="2451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Pneumonia, </w:t>
            </w:r>
            <w:proofErr w:type="spellStart"/>
            <w:r w:rsidRPr="002B016B">
              <w:t>pyoderma</w:t>
            </w:r>
            <w:proofErr w:type="spellEnd"/>
          </w:p>
        </w:tc>
        <w:tc>
          <w:tcPr>
            <w:tcW w:w="2794" w:type="dxa"/>
          </w:tcPr>
          <w:p w:rsidR="00E70B71" w:rsidRPr="002B016B" w:rsidRDefault="00E70B71" w:rsidP="00CF0F20">
            <w:pPr>
              <w:pStyle w:val="TableBody"/>
            </w:pPr>
            <w:r>
              <w:t>L</w:t>
            </w:r>
            <w:r w:rsidRPr="002B016B">
              <w:t>ymphadenopathy</w:t>
            </w:r>
          </w:p>
        </w:tc>
      </w:tr>
      <w:tr w:rsidR="00E70B71" w:rsidRPr="002B016B" w:rsidTr="00CF0F20">
        <w:tc>
          <w:tcPr>
            <w:tcW w:w="2943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Unclassified phagocytic disorders</w:t>
            </w:r>
          </w:p>
        </w:tc>
        <w:tc>
          <w:tcPr>
            <w:tcW w:w="1134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2 (7.6)</w:t>
            </w:r>
          </w:p>
        </w:tc>
        <w:tc>
          <w:tcPr>
            <w:tcW w:w="2451" w:type="dxa"/>
          </w:tcPr>
          <w:p w:rsidR="00E70B71" w:rsidRPr="002B016B" w:rsidRDefault="00E70B71" w:rsidP="00CF0F20">
            <w:pPr>
              <w:pStyle w:val="TableBody"/>
            </w:pPr>
            <w:r>
              <w:t>T</w:t>
            </w:r>
            <w:r w:rsidRPr="002B016B">
              <w:t>onsillitis, abscess, fungal infections, sepsis</w:t>
            </w:r>
          </w:p>
        </w:tc>
        <w:tc>
          <w:tcPr>
            <w:tcW w:w="2794" w:type="dxa"/>
          </w:tcPr>
          <w:p w:rsidR="00E70B71" w:rsidRPr="002B016B" w:rsidRDefault="00E70B71" w:rsidP="00CF0F20">
            <w:pPr>
              <w:pStyle w:val="TableBody"/>
            </w:pPr>
            <w:r>
              <w:t>L</w:t>
            </w:r>
            <w:r w:rsidRPr="002B016B">
              <w:t>ungs, skin</w:t>
            </w:r>
          </w:p>
        </w:tc>
      </w:tr>
      <w:tr w:rsidR="00E70B71" w:rsidRPr="002B016B" w:rsidTr="00CF0F20">
        <w:tc>
          <w:tcPr>
            <w:tcW w:w="2943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Combined immunodeficiency</w:t>
            </w:r>
          </w:p>
        </w:tc>
        <w:tc>
          <w:tcPr>
            <w:tcW w:w="1134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2 (7.6)</w:t>
            </w:r>
          </w:p>
        </w:tc>
        <w:tc>
          <w:tcPr>
            <w:tcW w:w="2451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Latent tuberculosis</w:t>
            </w:r>
          </w:p>
        </w:tc>
        <w:tc>
          <w:tcPr>
            <w:tcW w:w="2794" w:type="dxa"/>
          </w:tcPr>
          <w:p w:rsidR="00E70B71" w:rsidRPr="002B016B" w:rsidRDefault="00E70B71" w:rsidP="00CF0F20">
            <w:pPr>
              <w:pStyle w:val="TableBody"/>
            </w:pPr>
            <w:r>
              <w:t>L</w:t>
            </w:r>
            <w:r w:rsidRPr="002B016B">
              <w:t>ungs, skin, upper airways</w:t>
            </w:r>
          </w:p>
        </w:tc>
      </w:tr>
      <w:tr w:rsidR="00E70B71" w:rsidRPr="002B016B" w:rsidTr="00CF0F20">
        <w:tc>
          <w:tcPr>
            <w:tcW w:w="2943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Defects with susceptibility to </w:t>
            </w:r>
            <w:r w:rsidRPr="00AB34DA">
              <w:rPr>
                <w:i/>
                <w:iCs/>
              </w:rPr>
              <w:t>Mycobacterium</w:t>
            </w:r>
            <w:r w:rsidRPr="002B016B">
              <w:t xml:space="preserve"> species</w:t>
            </w:r>
          </w:p>
        </w:tc>
        <w:tc>
          <w:tcPr>
            <w:tcW w:w="1134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>1 (3.8)</w:t>
            </w:r>
          </w:p>
        </w:tc>
        <w:tc>
          <w:tcPr>
            <w:tcW w:w="2451" w:type="dxa"/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Myositis, diarrhea, </w:t>
            </w:r>
            <w:proofErr w:type="spellStart"/>
            <w:r w:rsidRPr="002B016B">
              <w:t>Crohn</w:t>
            </w:r>
            <w:proofErr w:type="spellEnd"/>
            <w:r w:rsidRPr="002B016B">
              <w:t xml:space="preserve"> disease</w:t>
            </w:r>
          </w:p>
        </w:tc>
        <w:tc>
          <w:tcPr>
            <w:tcW w:w="2794" w:type="dxa"/>
          </w:tcPr>
          <w:p w:rsidR="00E70B71" w:rsidRPr="002B016B" w:rsidRDefault="00E70B71" w:rsidP="00CF0F20">
            <w:pPr>
              <w:pStyle w:val="TableBody"/>
            </w:pPr>
            <w:r>
              <w:t>G</w:t>
            </w:r>
            <w:r w:rsidRPr="002B016B">
              <w:t>astrointestinal tract, bladder, lymph nodes</w:t>
            </w:r>
          </w:p>
        </w:tc>
      </w:tr>
      <w:tr w:rsidR="00E70B71" w:rsidRPr="002B016B" w:rsidTr="00CF0F20">
        <w:tc>
          <w:tcPr>
            <w:tcW w:w="2943" w:type="dxa"/>
            <w:tcBorders>
              <w:bottom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>Early-onset multi-organ autoimmune disease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>1 (3.8)</w:t>
            </w:r>
          </w:p>
        </w:tc>
        <w:tc>
          <w:tcPr>
            <w:tcW w:w="2451" w:type="dxa"/>
            <w:tcBorders>
              <w:bottom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 w:rsidRPr="002B016B">
              <w:t xml:space="preserve">Pneumonia, tonsillitis, atopic dermatitis, fungal infections, asthma, chronic </w:t>
            </w:r>
            <w:proofErr w:type="spellStart"/>
            <w:r w:rsidRPr="002B016B">
              <w:t>furunculosis</w:t>
            </w:r>
            <w:proofErr w:type="spellEnd"/>
          </w:p>
        </w:tc>
        <w:tc>
          <w:tcPr>
            <w:tcW w:w="2794" w:type="dxa"/>
            <w:tcBorders>
              <w:bottom w:val="single" w:sz="8" w:space="0" w:color="auto"/>
            </w:tcBorders>
          </w:tcPr>
          <w:p w:rsidR="00E70B71" w:rsidRPr="002B016B" w:rsidRDefault="00E70B71" w:rsidP="00CF0F20">
            <w:pPr>
              <w:pStyle w:val="TableBody"/>
            </w:pPr>
            <w:r>
              <w:t>M</w:t>
            </w:r>
            <w:r w:rsidRPr="002B016B">
              <w:t>uscle</w:t>
            </w:r>
            <w:r>
              <w:t>s</w:t>
            </w:r>
            <w:r w:rsidRPr="002B016B">
              <w:t>, gastrointestinal tract</w:t>
            </w:r>
          </w:p>
        </w:tc>
      </w:tr>
    </w:tbl>
    <w:p w:rsidR="00E70B71" w:rsidRDefault="00E70B71" w:rsidP="00E70B71">
      <w:pPr>
        <w:pStyle w:val="Acknowl"/>
      </w:pPr>
    </w:p>
    <w:p w:rsidR="00FF6206" w:rsidRDefault="00FF6206">
      <w:bookmarkStart w:id="0" w:name="_GoBack"/>
      <w:bookmarkEnd w:id="0"/>
    </w:p>
    <w:sectPr w:rsidR="00FF6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71"/>
    <w:rsid w:val="00E70B7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71"/>
    <w:pPr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aption">
    <w:name w:val="TableCaption"/>
    <w:basedOn w:val="Normal"/>
    <w:rsid w:val="00E70B71"/>
    <w:pPr>
      <w:pageBreakBefore/>
      <w:spacing w:after="240" w:line="480" w:lineRule="auto"/>
      <w:ind w:left="720" w:hanging="720"/>
    </w:pPr>
    <w:rPr>
      <w:bCs/>
      <w:sz w:val="22"/>
      <w:szCs w:val="18"/>
    </w:rPr>
  </w:style>
  <w:style w:type="paragraph" w:customStyle="1" w:styleId="TableBody">
    <w:name w:val="TableBody"/>
    <w:basedOn w:val="Normal"/>
    <w:qFormat/>
    <w:rsid w:val="00E70B71"/>
    <w:pPr>
      <w:spacing w:after="240"/>
    </w:pPr>
    <w:rPr>
      <w:sz w:val="18"/>
      <w:szCs w:val="18"/>
    </w:rPr>
  </w:style>
  <w:style w:type="table" w:styleId="SombreamentoClaro-nfase1">
    <w:name w:val="Light Shading Accent 1"/>
    <w:basedOn w:val="Tabelanormal"/>
    <w:uiPriority w:val="60"/>
    <w:unhideWhenUsed/>
    <w:rsid w:val="00E70B71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color w:val="365F91" w:themeColor="accent1" w:themeShade="BF"/>
      <w:sz w:val="24"/>
      <w:szCs w:val="24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E7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">
    <w:name w:val="Acknowl"/>
    <w:basedOn w:val="Normal"/>
    <w:rsid w:val="00E70B71"/>
    <w:pPr>
      <w:spacing w:after="240" w:line="480" w:lineRule="auto"/>
      <w:ind w:firstLine="24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71"/>
    <w:pPr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aption">
    <w:name w:val="TableCaption"/>
    <w:basedOn w:val="Normal"/>
    <w:rsid w:val="00E70B71"/>
    <w:pPr>
      <w:pageBreakBefore/>
      <w:spacing w:after="240" w:line="480" w:lineRule="auto"/>
      <w:ind w:left="720" w:hanging="720"/>
    </w:pPr>
    <w:rPr>
      <w:bCs/>
      <w:sz w:val="22"/>
      <w:szCs w:val="18"/>
    </w:rPr>
  </w:style>
  <w:style w:type="paragraph" w:customStyle="1" w:styleId="TableBody">
    <w:name w:val="TableBody"/>
    <w:basedOn w:val="Normal"/>
    <w:qFormat/>
    <w:rsid w:val="00E70B71"/>
    <w:pPr>
      <w:spacing w:after="240"/>
    </w:pPr>
    <w:rPr>
      <w:sz w:val="18"/>
      <w:szCs w:val="18"/>
    </w:rPr>
  </w:style>
  <w:style w:type="table" w:styleId="SombreamentoClaro-nfase1">
    <w:name w:val="Light Shading Accent 1"/>
    <w:basedOn w:val="Tabelanormal"/>
    <w:uiPriority w:val="60"/>
    <w:unhideWhenUsed/>
    <w:rsid w:val="00E70B71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color w:val="365F91" w:themeColor="accent1" w:themeShade="BF"/>
      <w:sz w:val="24"/>
      <w:szCs w:val="24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59"/>
    <w:rsid w:val="00E7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">
    <w:name w:val="Acknowl"/>
    <w:basedOn w:val="Normal"/>
    <w:rsid w:val="00E70B71"/>
    <w:pPr>
      <w:spacing w:after="240" w:line="480" w:lineRule="auto"/>
      <w:ind w:firstLine="2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2020-04-29T12:31:00Z</dcterms:created>
  <dcterms:modified xsi:type="dcterms:W3CDTF">2020-04-29T12:33:00Z</dcterms:modified>
</cp:coreProperties>
</file>