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374471" w14:textId="0A3F9D4F" w:rsidR="00F26E79" w:rsidRPr="00FD2CC0" w:rsidRDefault="00CA070A" w:rsidP="00FD2CC0">
      <w:pPr>
        <w:spacing w:line="480" w:lineRule="auto"/>
        <w:rPr>
          <w:rFonts w:asciiTheme="majorBidi" w:hAnsiTheme="majorBidi" w:cstheme="majorBidi"/>
          <w:sz w:val="28"/>
          <w:szCs w:val="28"/>
        </w:rPr>
      </w:pPr>
      <w:bookmarkStart w:id="0" w:name="_PictureBullets"/>
      <w:r w:rsidRPr="00FD2CC0">
        <w:rPr>
          <w:rFonts w:asciiTheme="majorBidi" w:hAnsiTheme="majorBidi" w:cstheme="majorBidi"/>
          <w:noProof/>
          <w:vanish/>
          <w:sz w:val="28"/>
          <w:szCs w:val="28"/>
        </w:rPr>
        <w:drawing>
          <wp:inline distT="0" distB="0" distL="0" distR="0" wp14:anchorId="14ED0ECE" wp14:editId="115C953C">
            <wp:extent cx="6454775" cy="5862955"/>
            <wp:effectExtent l="0" t="0" r="0" b="4445"/>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4775" cy="5862955"/>
                    </a:xfrm>
                    <a:prstGeom prst="rect">
                      <a:avLst/>
                    </a:prstGeom>
                    <a:noFill/>
                    <a:ln>
                      <a:noFill/>
                    </a:ln>
                  </pic:spPr>
                </pic:pic>
              </a:graphicData>
            </a:graphic>
          </wp:inline>
        </w:drawing>
      </w:r>
      <w:bookmarkEnd w:id="0"/>
      <w:r w:rsidR="00F26E79" w:rsidRPr="00FD2CC0">
        <w:rPr>
          <w:rFonts w:asciiTheme="majorBidi" w:hAnsiTheme="majorBidi" w:cstheme="majorBidi"/>
          <w:sz w:val="28"/>
          <w:szCs w:val="28"/>
        </w:rPr>
        <w:t>Supporting Information</w:t>
      </w:r>
    </w:p>
    <w:p w14:paraId="45C08838" w14:textId="77777777" w:rsidR="007C2D90" w:rsidRDefault="007C2D90" w:rsidP="00F26E79">
      <w:pPr>
        <w:spacing w:line="480" w:lineRule="auto"/>
        <w:rPr>
          <w:rFonts w:asciiTheme="majorBidi" w:hAnsiTheme="majorBidi" w:cstheme="majorBidi"/>
        </w:rPr>
      </w:pPr>
    </w:p>
    <w:p w14:paraId="4D18C5D0" w14:textId="1F2A9E44" w:rsidR="00781173" w:rsidRPr="00501312" w:rsidRDefault="00781173" w:rsidP="00CB5464">
      <w:pPr>
        <w:spacing w:line="360" w:lineRule="auto"/>
        <w:jc w:val="both"/>
        <w:rPr>
          <w:rFonts w:ascii="Times New Roman" w:hAnsi="Times New Roman" w:cs="Times New Roman"/>
        </w:rPr>
      </w:pPr>
      <w:r w:rsidRPr="00501312">
        <w:rPr>
          <w:rFonts w:ascii="Times New Roman" w:hAnsi="Times New Roman" w:cs="Times New Roman"/>
          <w:b/>
          <w:bCs/>
        </w:rPr>
        <w:t xml:space="preserve">Table S1. </w:t>
      </w:r>
      <w:r w:rsidRPr="00501312">
        <w:rPr>
          <w:rFonts w:ascii="Times New Roman" w:hAnsi="Times New Roman" w:cs="Times New Roman"/>
        </w:rPr>
        <w:t xml:space="preserve">Mean growth chamber environmental </w:t>
      </w:r>
      <w:r w:rsidR="00A94AB5">
        <w:rPr>
          <w:rFonts w:ascii="Times New Roman" w:hAnsi="Times New Roman" w:cs="Times New Roman"/>
        </w:rPr>
        <w:t>conditions</w:t>
      </w:r>
      <w:r w:rsidRPr="00501312">
        <w:rPr>
          <w:rFonts w:ascii="Times New Roman" w:hAnsi="Times New Roman" w:cs="Times New Roman"/>
        </w:rPr>
        <w:t xml:space="preserve"> during daylight hours (06:00 to 19:15) for the </w:t>
      </w:r>
      <w:r w:rsidR="005D6A10">
        <w:rPr>
          <w:rFonts w:ascii="Times New Roman" w:hAnsi="Times New Roman" w:cs="Times New Roman"/>
        </w:rPr>
        <w:t>p</w:t>
      </w:r>
      <w:r w:rsidRPr="00501312">
        <w:rPr>
          <w:rFonts w:ascii="Times New Roman" w:hAnsi="Times New Roman" w:cs="Times New Roman"/>
        </w:rPr>
        <w:t>redrought</w:t>
      </w:r>
      <w:r w:rsidR="00131ADF">
        <w:rPr>
          <w:rFonts w:ascii="Times New Roman" w:hAnsi="Times New Roman" w:cs="Times New Roman"/>
        </w:rPr>
        <w:t xml:space="preserve"> control</w:t>
      </w:r>
      <w:r w:rsidRPr="00501312">
        <w:rPr>
          <w:rFonts w:ascii="Times New Roman" w:hAnsi="Times New Roman" w:cs="Times New Roman"/>
        </w:rPr>
        <w:t xml:space="preserve">, </w:t>
      </w:r>
      <w:r w:rsidR="005D6A10">
        <w:rPr>
          <w:rFonts w:ascii="Times New Roman" w:hAnsi="Times New Roman" w:cs="Times New Roman"/>
        </w:rPr>
        <w:t xml:space="preserve">soil drought, elevated vapor pressure deficit (VPD) drought, combination soil and </w:t>
      </w:r>
      <w:r w:rsidR="0009222F">
        <w:rPr>
          <w:rFonts w:ascii="Times New Roman" w:hAnsi="Times New Roman" w:cs="Times New Roman"/>
        </w:rPr>
        <w:t xml:space="preserve">elevated </w:t>
      </w:r>
      <w:r w:rsidR="005D6A10">
        <w:rPr>
          <w:rFonts w:ascii="Times New Roman" w:hAnsi="Times New Roman" w:cs="Times New Roman"/>
        </w:rPr>
        <w:t xml:space="preserve">VPD drought, and </w:t>
      </w:r>
      <w:r w:rsidR="00131ADF">
        <w:rPr>
          <w:rFonts w:ascii="Times New Roman" w:hAnsi="Times New Roman" w:cs="Times New Roman"/>
        </w:rPr>
        <w:t xml:space="preserve">post drought </w:t>
      </w:r>
      <w:r w:rsidR="005D6A10">
        <w:rPr>
          <w:rFonts w:ascii="Times New Roman" w:hAnsi="Times New Roman" w:cs="Times New Roman"/>
        </w:rPr>
        <w:t xml:space="preserve">recovery </w:t>
      </w:r>
      <w:r w:rsidRPr="00501312">
        <w:rPr>
          <w:rFonts w:ascii="Times New Roman" w:hAnsi="Times New Roman" w:cs="Times New Roman"/>
        </w:rPr>
        <w:t>time periods, including temperature (</w:t>
      </w:r>
      <w:r w:rsidRPr="00501312">
        <w:rPr>
          <w:rFonts w:ascii="Times New Roman" w:hAnsi="Times New Roman" w:cs="Times New Roman"/>
        </w:rPr>
        <w:sym w:font="Symbol" w:char="F0B0"/>
      </w:r>
      <w:r w:rsidRPr="00501312">
        <w:rPr>
          <w:rFonts w:ascii="Times New Roman" w:hAnsi="Times New Roman" w:cs="Times New Roman"/>
        </w:rPr>
        <w:t xml:space="preserve">C), relative humidity (RH), and photosynthetically active radiation (PAR). </w:t>
      </w:r>
    </w:p>
    <w:p w14:paraId="4A6999B3" w14:textId="77777777" w:rsidR="00781173" w:rsidRPr="00E66364" w:rsidRDefault="00781173" w:rsidP="00781173">
      <w:pPr>
        <w:ind w:right="720"/>
        <w:jc w:val="both"/>
        <w:rPr>
          <w:rFonts w:asciiTheme="majorBidi" w:hAnsiTheme="majorBidi" w:cstheme="majorBidi"/>
          <w:sz w:val="20"/>
          <w:szCs w:val="20"/>
        </w:rPr>
      </w:pPr>
    </w:p>
    <w:tbl>
      <w:tblPr>
        <w:tblStyle w:val="PlainTable2"/>
        <w:tblW w:w="9736" w:type="dxa"/>
        <w:tblInd w:w="-252" w:type="dxa"/>
        <w:tblLook w:val="04A0" w:firstRow="1" w:lastRow="0" w:firstColumn="1" w:lastColumn="0" w:noHBand="0" w:noVBand="1"/>
      </w:tblPr>
      <w:tblGrid>
        <w:gridCol w:w="2251"/>
        <w:gridCol w:w="1683"/>
        <w:gridCol w:w="1257"/>
        <w:gridCol w:w="1257"/>
        <w:gridCol w:w="1873"/>
        <w:gridCol w:w="1415"/>
      </w:tblGrid>
      <w:tr w:rsidR="005D6A10" w:rsidRPr="006B59D2" w14:paraId="4FF6B28B" w14:textId="77777777" w:rsidTr="00A94A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1" w:type="dxa"/>
            <w:tcBorders>
              <w:top w:val="single" w:sz="4" w:space="0" w:color="7F7F7F" w:themeColor="text1" w:themeTint="80"/>
              <w:left w:val="single" w:sz="4" w:space="0" w:color="auto"/>
            </w:tcBorders>
          </w:tcPr>
          <w:p w14:paraId="12C687F0" w14:textId="3DDFD556" w:rsidR="005D6A10" w:rsidRPr="006B59D2" w:rsidRDefault="005D6A10" w:rsidP="00EA79E7">
            <w:pPr>
              <w:ind w:right="-50"/>
              <w:jc w:val="center"/>
              <w:rPr>
                <w:rFonts w:asciiTheme="majorBidi" w:hAnsiTheme="majorBidi" w:cstheme="majorBidi"/>
                <w:b w:val="0"/>
                <w:bCs w:val="0"/>
                <w:sz w:val="22"/>
                <w:szCs w:val="22"/>
              </w:rPr>
            </w:pPr>
          </w:p>
        </w:tc>
        <w:tc>
          <w:tcPr>
            <w:tcW w:w="1683" w:type="dxa"/>
          </w:tcPr>
          <w:p w14:paraId="1E25563F" w14:textId="5C145325" w:rsidR="005D6A10" w:rsidRPr="005B0BDE" w:rsidRDefault="005D6A10" w:rsidP="00EA79E7">
            <w:pPr>
              <w:ind w:right="-5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5B0BDE">
              <w:rPr>
                <w:rFonts w:asciiTheme="majorBidi" w:hAnsiTheme="majorBidi" w:cstheme="majorBidi"/>
                <w:sz w:val="22"/>
                <w:szCs w:val="22"/>
              </w:rPr>
              <w:t>Predrought</w:t>
            </w:r>
          </w:p>
        </w:tc>
        <w:tc>
          <w:tcPr>
            <w:tcW w:w="1257" w:type="dxa"/>
          </w:tcPr>
          <w:p w14:paraId="196A6F1A" w14:textId="06EB200B" w:rsidR="005D6A10" w:rsidRPr="006B59D2" w:rsidRDefault="005D6A10" w:rsidP="00EA79E7">
            <w:pPr>
              <w:ind w:right="-5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Pr>
                <w:rFonts w:asciiTheme="majorBidi" w:hAnsiTheme="majorBidi" w:cstheme="majorBidi"/>
                <w:sz w:val="22"/>
                <w:szCs w:val="22"/>
              </w:rPr>
              <w:t>Soil d</w:t>
            </w:r>
            <w:r w:rsidRPr="006B59D2">
              <w:rPr>
                <w:rFonts w:asciiTheme="majorBidi" w:hAnsiTheme="majorBidi" w:cstheme="majorBidi"/>
                <w:sz w:val="22"/>
                <w:szCs w:val="22"/>
              </w:rPr>
              <w:t>rought</w:t>
            </w:r>
          </w:p>
        </w:tc>
        <w:tc>
          <w:tcPr>
            <w:tcW w:w="1257" w:type="dxa"/>
          </w:tcPr>
          <w:p w14:paraId="724400FF" w14:textId="3FC6209F" w:rsidR="005D6A10" w:rsidRPr="006B59D2" w:rsidRDefault="005D6A10" w:rsidP="00EA79E7">
            <w:pPr>
              <w:ind w:right="-6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Pr>
                <w:rFonts w:asciiTheme="majorBidi" w:hAnsiTheme="majorBidi" w:cstheme="majorBidi"/>
                <w:sz w:val="22"/>
                <w:szCs w:val="22"/>
              </w:rPr>
              <w:t>VPD drought</w:t>
            </w:r>
          </w:p>
        </w:tc>
        <w:tc>
          <w:tcPr>
            <w:tcW w:w="1873" w:type="dxa"/>
          </w:tcPr>
          <w:p w14:paraId="3752E292" w14:textId="6F8C89BF" w:rsidR="005D6A10" w:rsidRPr="005D6A10" w:rsidRDefault="005D6A10" w:rsidP="005D6A10">
            <w:pPr>
              <w:ind w:right="-6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2"/>
                <w:szCs w:val="22"/>
              </w:rPr>
            </w:pPr>
            <w:r>
              <w:rPr>
                <w:rFonts w:asciiTheme="majorBidi" w:hAnsiTheme="majorBidi" w:cstheme="majorBidi"/>
                <w:sz w:val="22"/>
                <w:szCs w:val="22"/>
              </w:rPr>
              <w:t>Combination drought</w:t>
            </w:r>
          </w:p>
        </w:tc>
        <w:tc>
          <w:tcPr>
            <w:tcW w:w="1415" w:type="dxa"/>
            <w:tcBorders>
              <w:right w:val="single" w:sz="4" w:space="0" w:color="auto"/>
            </w:tcBorders>
          </w:tcPr>
          <w:p w14:paraId="23350579" w14:textId="01EB34BD" w:rsidR="005D6A10" w:rsidRPr="006B59D2" w:rsidRDefault="005D6A10" w:rsidP="00EA79E7">
            <w:pPr>
              <w:ind w:right="-6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6B59D2">
              <w:rPr>
                <w:rFonts w:asciiTheme="majorBidi" w:hAnsiTheme="majorBidi" w:cstheme="majorBidi"/>
                <w:sz w:val="22"/>
                <w:szCs w:val="22"/>
              </w:rPr>
              <w:t>Recovery</w:t>
            </w:r>
          </w:p>
        </w:tc>
      </w:tr>
      <w:tr w:rsidR="005D6A10" w:rsidRPr="006B59D2" w14:paraId="03CA3FAC" w14:textId="77777777" w:rsidTr="00A94A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1" w:type="dxa"/>
            <w:tcBorders>
              <w:left w:val="single" w:sz="4" w:space="0" w:color="auto"/>
            </w:tcBorders>
          </w:tcPr>
          <w:p w14:paraId="3F0DDBBF" w14:textId="49E0FB8E" w:rsidR="005D6A10" w:rsidRPr="006B0A43" w:rsidRDefault="005D6A10" w:rsidP="00EA79E7">
            <w:pPr>
              <w:ind w:right="-50"/>
              <w:jc w:val="center"/>
              <w:rPr>
                <w:rFonts w:asciiTheme="majorBidi" w:hAnsiTheme="majorBidi" w:cstheme="majorBidi"/>
                <w:sz w:val="22"/>
                <w:szCs w:val="22"/>
              </w:rPr>
            </w:pPr>
            <w:r w:rsidRPr="006B0A43">
              <w:rPr>
                <w:rFonts w:asciiTheme="majorBidi" w:hAnsiTheme="majorBidi" w:cstheme="majorBidi"/>
                <w:sz w:val="22"/>
                <w:szCs w:val="22"/>
              </w:rPr>
              <w:t>Temperature</w:t>
            </w:r>
          </w:p>
        </w:tc>
        <w:tc>
          <w:tcPr>
            <w:tcW w:w="1683" w:type="dxa"/>
          </w:tcPr>
          <w:p w14:paraId="462C5CE8" w14:textId="6559BF54" w:rsidR="005D6A10" w:rsidRPr="005B0BDE" w:rsidRDefault="005D6A10" w:rsidP="00EA79E7">
            <w:pPr>
              <w:ind w:right="-5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5B0BDE">
              <w:rPr>
                <w:rFonts w:asciiTheme="majorBidi" w:hAnsiTheme="majorBidi" w:cstheme="majorBidi"/>
                <w:sz w:val="22"/>
                <w:szCs w:val="22"/>
              </w:rPr>
              <w:t>25</w:t>
            </w:r>
          </w:p>
        </w:tc>
        <w:tc>
          <w:tcPr>
            <w:tcW w:w="1257" w:type="dxa"/>
          </w:tcPr>
          <w:p w14:paraId="2EF50507" w14:textId="77777777" w:rsidR="005D6A10" w:rsidRPr="006B59D2" w:rsidRDefault="005D6A10" w:rsidP="00EA79E7">
            <w:pPr>
              <w:ind w:right="-50"/>
              <w:jc w:val="center"/>
              <w:cnfStyle w:val="000000100000" w:firstRow="0" w:lastRow="0" w:firstColumn="0" w:lastColumn="0" w:oddVBand="0" w:evenVBand="0" w:oddHBand="1" w:evenHBand="0" w:firstRowFirstColumn="0" w:firstRowLastColumn="0" w:lastRowFirstColumn="0" w:lastRowLastColumn="0"/>
              <w:rPr>
                <w:rStyle w:val="LineNumber"/>
                <w:sz w:val="22"/>
                <w:szCs w:val="22"/>
              </w:rPr>
            </w:pPr>
            <w:r w:rsidRPr="006B59D2">
              <w:rPr>
                <w:rFonts w:asciiTheme="majorBidi" w:hAnsiTheme="majorBidi" w:cstheme="majorBidi"/>
                <w:sz w:val="22"/>
                <w:szCs w:val="22"/>
              </w:rPr>
              <w:t>25</w:t>
            </w:r>
          </w:p>
        </w:tc>
        <w:tc>
          <w:tcPr>
            <w:tcW w:w="1257" w:type="dxa"/>
          </w:tcPr>
          <w:p w14:paraId="7F3BA9C9" w14:textId="64F80CDE" w:rsidR="005D6A10" w:rsidRPr="006B59D2" w:rsidRDefault="00A94AB5" w:rsidP="00EA79E7">
            <w:pPr>
              <w:ind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Pr>
                <w:rFonts w:asciiTheme="majorBidi" w:hAnsiTheme="majorBidi" w:cstheme="majorBidi"/>
                <w:sz w:val="22"/>
                <w:szCs w:val="22"/>
              </w:rPr>
              <w:t>27</w:t>
            </w:r>
          </w:p>
        </w:tc>
        <w:tc>
          <w:tcPr>
            <w:tcW w:w="1873" w:type="dxa"/>
          </w:tcPr>
          <w:p w14:paraId="5A1F8966" w14:textId="30C66A01" w:rsidR="005D6A10" w:rsidRPr="006B59D2" w:rsidRDefault="00A94AB5" w:rsidP="00EA79E7">
            <w:pPr>
              <w:ind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Pr>
                <w:rFonts w:asciiTheme="majorBidi" w:hAnsiTheme="majorBidi" w:cstheme="majorBidi"/>
                <w:sz w:val="22"/>
                <w:szCs w:val="22"/>
              </w:rPr>
              <w:t>25</w:t>
            </w:r>
          </w:p>
        </w:tc>
        <w:tc>
          <w:tcPr>
            <w:tcW w:w="1415" w:type="dxa"/>
            <w:tcBorders>
              <w:right w:val="single" w:sz="4" w:space="0" w:color="auto"/>
            </w:tcBorders>
          </w:tcPr>
          <w:p w14:paraId="08CEA1BB" w14:textId="01CABF74" w:rsidR="005D6A10" w:rsidRPr="006B59D2" w:rsidRDefault="005D6A10" w:rsidP="00EA79E7">
            <w:pPr>
              <w:ind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6B59D2">
              <w:rPr>
                <w:rFonts w:asciiTheme="majorBidi" w:hAnsiTheme="majorBidi" w:cstheme="majorBidi"/>
                <w:sz w:val="22"/>
                <w:szCs w:val="22"/>
              </w:rPr>
              <w:t>25</w:t>
            </w:r>
          </w:p>
        </w:tc>
      </w:tr>
      <w:tr w:rsidR="005D6A10" w:rsidRPr="006B59D2" w14:paraId="31A70396" w14:textId="77777777" w:rsidTr="00A94AB5">
        <w:trPr>
          <w:trHeight w:val="300"/>
        </w:trPr>
        <w:tc>
          <w:tcPr>
            <w:cnfStyle w:val="001000000000" w:firstRow="0" w:lastRow="0" w:firstColumn="1" w:lastColumn="0" w:oddVBand="0" w:evenVBand="0" w:oddHBand="0" w:evenHBand="0" w:firstRowFirstColumn="0" w:firstRowLastColumn="0" w:lastRowFirstColumn="0" w:lastRowLastColumn="0"/>
            <w:tcW w:w="2251" w:type="dxa"/>
            <w:tcBorders>
              <w:top w:val="single" w:sz="4" w:space="0" w:color="7F7F7F" w:themeColor="text1" w:themeTint="80"/>
              <w:left w:val="single" w:sz="4" w:space="0" w:color="auto"/>
              <w:bottom w:val="single" w:sz="4" w:space="0" w:color="7F7F7F" w:themeColor="text1" w:themeTint="80"/>
            </w:tcBorders>
          </w:tcPr>
          <w:p w14:paraId="2BF95576" w14:textId="2A994292" w:rsidR="005D6A10" w:rsidRPr="006B0A43" w:rsidRDefault="005D6A10" w:rsidP="005D6A10">
            <w:pPr>
              <w:ind w:right="-50"/>
              <w:jc w:val="center"/>
              <w:rPr>
                <w:rFonts w:asciiTheme="majorBidi" w:hAnsiTheme="majorBidi" w:cstheme="majorBidi"/>
                <w:sz w:val="22"/>
                <w:szCs w:val="22"/>
              </w:rPr>
            </w:pPr>
            <w:r w:rsidRPr="006B0A43">
              <w:rPr>
                <w:rFonts w:asciiTheme="majorBidi" w:hAnsiTheme="majorBidi" w:cstheme="majorBidi"/>
                <w:sz w:val="22"/>
                <w:szCs w:val="22"/>
              </w:rPr>
              <w:t>RH</w:t>
            </w:r>
          </w:p>
        </w:tc>
        <w:tc>
          <w:tcPr>
            <w:tcW w:w="1683" w:type="dxa"/>
          </w:tcPr>
          <w:p w14:paraId="17506271" w14:textId="3351C266" w:rsidR="005D6A10" w:rsidRPr="005B0BDE" w:rsidRDefault="005D6A10" w:rsidP="00EA79E7">
            <w:pPr>
              <w:ind w:right="-5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Pr>
                <w:rFonts w:asciiTheme="majorBidi" w:hAnsiTheme="majorBidi" w:cstheme="majorBidi"/>
                <w:sz w:val="22"/>
                <w:szCs w:val="22"/>
              </w:rPr>
              <w:t>75</w:t>
            </w:r>
          </w:p>
        </w:tc>
        <w:tc>
          <w:tcPr>
            <w:tcW w:w="1257" w:type="dxa"/>
          </w:tcPr>
          <w:p w14:paraId="01DD42F9" w14:textId="479E9629" w:rsidR="005D6A10" w:rsidRPr="006B59D2" w:rsidRDefault="005D6A10" w:rsidP="00EA79E7">
            <w:pPr>
              <w:ind w:right="-5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Pr>
                <w:rFonts w:asciiTheme="majorBidi" w:hAnsiTheme="majorBidi" w:cstheme="majorBidi"/>
                <w:sz w:val="22"/>
                <w:szCs w:val="22"/>
              </w:rPr>
              <w:t>7</w:t>
            </w:r>
            <w:r w:rsidR="00A94AB5">
              <w:rPr>
                <w:rFonts w:asciiTheme="majorBidi" w:hAnsiTheme="majorBidi" w:cstheme="majorBidi"/>
                <w:sz w:val="22"/>
                <w:szCs w:val="22"/>
              </w:rPr>
              <w:t>3</w:t>
            </w:r>
          </w:p>
        </w:tc>
        <w:tc>
          <w:tcPr>
            <w:tcW w:w="1257" w:type="dxa"/>
          </w:tcPr>
          <w:p w14:paraId="6A57E09F" w14:textId="29F36D13" w:rsidR="005D6A10" w:rsidRDefault="00A94AB5" w:rsidP="00EA79E7">
            <w:pPr>
              <w:ind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Pr>
                <w:rFonts w:asciiTheme="majorBidi" w:hAnsiTheme="majorBidi" w:cstheme="majorBidi"/>
                <w:sz w:val="22"/>
                <w:szCs w:val="22"/>
              </w:rPr>
              <w:t>55</w:t>
            </w:r>
          </w:p>
        </w:tc>
        <w:tc>
          <w:tcPr>
            <w:tcW w:w="1873" w:type="dxa"/>
          </w:tcPr>
          <w:p w14:paraId="6615A570" w14:textId="37D95918" w:rsidR="005D6A10" w:rsidRDefault="00A94AB5" w:rsidP="00EA79E7">
            <w:pPr>
              <w:ind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Pr>
                <w:rFonts w:asciiTheme="majorBidi" w:hAnsiTheme="majorBidi" w:cstheme="majorBidi"/>
                <w:sz w:val="22"/>
                <w:szCs w:val="22"/>
              </w:rPr>
              <w:t>41</w:t>
            </w:r>
          </w:p>
        </w:tc>
        <w:tc>
          <w:tcPr>
            <w:tcW w:w="1415" w:type="dxa"/>
            <w:tcBorders>
              <w:right w:val="single" w:sz="4" w:space="0" w:color="auto"/>
            </w:tcBorders>
          </w:tcPr>
          <w:p w14:paraId="205F0D98" w14:textId="5CDDD760" w:rsidR="005D6A10" w:rsidRPr="006B59D2" w:rsidRDefault="005D6A10" w:rsidP="00EA79E7">
            <w:pPr>
              <w:ind w:right="-6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Pr>
                <w:rFonts w:asciiTheme="majorBidi" w:hAnsiTheme="majorBidi" w:cstheme="majorBidi"/>
                <w:sz w:val="22"/>
                <w:szCs w:val="22"/>
              </w:rPr>
              <w:t>7</w:t>
            </w:r>
            <w:r w:rsidR="00A94AB5">
              <w:rPr>
                <w:rFonts w:asciiTheme="majorBidi" w:hAnsiTheme="majorBidi" w:cstheme="majorBidi"/>
                <w:sz w:val="22"/>
                <w:szCs w:val="22"/>
              </w:rPr>
              <w:t>5</w:t>
            </w:r>
          </w:p>
        </w:tc>
      </w:tr>
      <w:tr w:rsidR="005D6A10" w:rsidRPr="006B59D2" w14:paraId="488D3E46" w14:textId="77777777" w:rsidTr="00A94A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1" w:type="dxa"/>
            <w:tcBorders>
              <w:left w:val="single" w:sz="4" w:space="0" w:color="auto"/>
            </w:tcBorders>
          </w:tcPr>
          <w:p w14:paraId="143C3F14" w14:textId="4F01AFC2" w:rsidR="005D6A10" w:rsidRPr="006B0A43" w:rsidRDefault="005D6A10" w:rsidP="005D6A10">
            <w:pPr>
              <w:ind w:right="-50"/>
              <w:jc w:val="center"/>
              <w:rPr>
                <w:rFonts w:asciiTheme="majorBidi" w:hAnsiTheme="majorBidi" w:cstheme="majorBidi"/>
                <w:sz w:val="22"/>
                <w:szCs w:val="22"/>
              </w:rPr>
            </w:pPr>
            <w:r w:rsidRPr="006B0A43">
              <w:rPr>
                <w:rFonts w:asciiTheme="majorBidi" w:hAnsiTheme="majorBidi" w:cstheme="majorBidi"/>
                <w:sz w:val="22"/>
                <w:szCs w:val="22"/>
              </w:rPr>
              <w:t>PAR</w:t>
            </w:r>
          </w:p>
        </w:tc>
        <w:tc>
          <w:tcPr>
            <w:tcW w:w="1683" w:type="dxa"/>
          </w:tcPr>
          <w:p w14:paraId="664C9032" w14:textId="407FAA69" w:rsidR="005D6A10" w:rsidRDefault="00A94AB5" w:rsidP="00EA79E7">
            <w:pPr>
              <w:ind w:right="-5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Pr>
                <w:rFonts w:asciiTheme="majorBidi" w:hAnsiTheme="majorBidi" w:cstheme="majorBidi"/>
                <w:sz w:val="22"/>
                <w:szCs w:val="22"/>
              </w:rPr>
              <w:t>1105</w:t>
            </w:r>
          </w:p>
        </w:tc>
        <w:tc>
          <w:tcPr>
            <w:tcW w:w="1257" w:type="dxa"/>
          </w:tcPr>
          <w:p w14:paraId="2244B544" w14:textId="64A52E95" w:rsidR="005D6A10" w:rsidRDefault="005D6A10" w:rsidP="00EA79E7">
            <w:pPr>
              <w:ind w:right="-5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Pr>
                <w:rFonts w:asciiTheme="majorBidi" w:hAnsiTheme="majorBidi" w:cstheme="majorBidi"/>
                <w:sz w:val="22"/>
                <w:szCs w:val="22"/>
              </w:rPr>
              <w:t>11</w:t>
            </w:r>
            <w:r w:rsidR="00A94AB5">
              <w:rPr>
                <w:rFonts w:asciiTheme="majorBidi" w:hAnsiTheme="majorBidi" w:cstheme="majorBidi"/>
                <w:sz w:val="22"/>
                <w:szCs w:val="22"/>
              </w:rPr>
              <w:t>40</w:t>
            </w:r>
          </w:p>
        </w:tc>
        <w:tc>
          <w:tcPr>
            <w:tcW w:w="1257" w:type="dxa"/>
          </w:tcPr>
          <w:p w14:paraId="694FB56F" w14:textId="7BF7DF9F" w:rsidR="005D6A10" w:rsidRDefault="00A94AB5" w:rsidP="00EA79E7">
            <w:pPr>
              <w:ind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Pr>
                <w:rFonts w:asciiTheme="majorBidi" w:hAnsiTheme="majorBidi" w:cstheme="majorBidi"/>
                <w:sz w:val="22"/>
                <w:szCs w:val="22"/>
              </w:rPr>
              <w:t>1120</w:t>
            </w:r>
          </w:p>
        </w:tc>
        <w:tc>
          <w:tcPr>
            <w:tcW w:w="1873" w:type="dxa"/>
          </w:tcPr>
          <w:p w14:paraId="1B7AC8C8" w14:textId="42291983" w:rsidR="005D6A10" w:rsidRDefault="00A94AB5" w:rsidP="00EA79E7">
            <w:pPr>
              <w:ind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Pr>
                <w:rFonts w:asciiTheme="majorBidi" w:hAnsiTheme="majorBidi" w:cstheme="majorBidi"/>
                <w:sz w:val="22"/>
                <w:szCs w:val="22"/>
              </w:rPr>
              <w:t>1195</w:t>
            </w:r>
          </w:p>
        </w:tc>
        <w:tc>
          <w:tcPr>
            <w:tcW w:w="1415" w:type="dxa"/>
            <w:tcBorders>
              <w:right w:val="single" w:sz="4" w:space="0" w:color="auto"/>
            </w:tcBorders>
          </w:tcPr>
          <w:p w14:paraId="40EAC925" w14:textId="526E0C20" w:rsidR="005D6A10" w:rsidRDefault="00A94AB5" w:rsidP="00EA79E7">
            <w:pPr>
              <w:ind w:right="-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Pr>
                <w:rFonts w:asciiTheme="majorBidi" w:hAnsiTheme="majorBidi" w:cstheme="majorBidi"/>
                <w:sz w:val="22"/>
                <w:szCs w:val="22"/>
              </w:rPr>
              <w:t>1200</w:t>
            </w:r>
          </w:p>
        </w:tc>
      </w:tr>
    </w:tbl>
    <w:p w14:paraId="234B764D" w14:textId="5E8DDB69" w:rsidR="00781173" w:rsidRDefault="00BD28D0" w:rsidP="00BD28D0">
      <w:pPr>
        <w:spacing w:line="480" w:lineRule="auto"/>
        <w:jc w:val="both"/>
        <w:rPr>
          <w:rFonts w:asciiTheme="majorBidi" w:hAnsiTheme="majorBidi" w:cstheme="majorBidi"/>
          <w:b/>
          <w:bCs/>
        </w:rPr>
      </w:pPr>
      <w:r>
        <w:rPr>
          <w:rFonts w:asciiTheme="majorBidi" w:hAnsiTheme="majorBidi" w:cstheme="majorBidi"/>
          <w:b/>
          <w:bCs/>
          <w:noProof/>
        </w:rPr>
        <w:drawing>
          <wp:anchor distT="0" distB="0" distL="114300" distR="114300" simplePos="0" relativeHeight="251666432" behindDoc="0" locked="0" layoutInCell="1" allowOverlap="1" wp14:anchorId="20FBB85D" wp14:editId="1F8E7B26">
            <wp:simplePos x="0" y="0"/>
            <wp:positionH relativeFrom="margin">
              <wp:posOffset>-579120</wp:posOffset>
            </wp:positionH>
            <wp:positionV relativeFrom="margin">
              <wp:posOffset>3137040</wp:posOffset>
            </wp:positionV>
            <wp:extent cx="7409479" cy="34747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1-22 at 12.17.35 PM.pdf"/>
                    <pic:cNvPicPr/>
                  </pic:nvPicPr>
                  <pic:blipFill rotWithShape="1">
                    <a:blip r:embed="rId9"/>
                    <a:srcRect l="4023" t="33469" r="4110" b="33241"/>
                    <a:stretch/>
                  </pic:blipFill>
                  <pic:spPr bwMode="auto">
                    <a:xfrm>
                      <a:off x="0" y="0"/>
                      <a:ext cx="7409479" cy="3474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45DA07" w14:textId="1F675D2E" w:rsidR="00BD28D0" w:rsidRDefault="00BD28D0" w:rsidP="00BD28D0">
      <w:pPr>
        <w:spacing w:line="480" w:lineRule="auto"/>
        <w:jc w:val="both"/>
        <w:rPr>
          <w:rFonts w:asciiTheme="majorBidi" w:hAnsiTheme="majorBidi" w:cstheme="majorBidi"/>
        </w:rPr>
      </w:pPr>
      <w:r>
        <w:rPr>
          <w:rFonts w:asciiTheme="majorBidi" w:hAnsiTheme="majorBidi" w:cstheme="majorBidi"/>
          <w:b/>
          <w:bCs/>
        </w:rPr>
        <w:t>Figure S1.</w:t>
      </w:r>
      <w:r>
        <w:rPr>
          <w:rFonts w:asciiTheme="majorBidi" w:hAnsiTheme="majorBidi" w:cstheme="majorBidi"/>
        </w:rPr>
        <w:t xml:space="preserve"> Photographs of the pots and seedlings used in the study. </w:t>
      </w:r>
      <w:r>
        <w:rPr>
          <w:rFonts w:asciiTheme="majorBidi" w:hAnsiTheme="majorBidi" w:cstheme="majorBidi"/>
          <w:b/>
          <w:bCs/>
        </w:rPr>
        <w:t>A</w:t>
      </w:r>
      <w:r>
        <w:rPr>
          <w:rFonts w:asciiTheme="majorBidi" w:hAnsiTheme="majorBidi" w:cstheme="majorBidi"/>
        </w:rPr>
        <w:t xml:space="preserve">) A representative image of an aspen and a pine seedling together in a competition pot right after transplanting (Photo taken November 13, 2017). Note that both seedlings started out the study with equivalent heights and sizes. </w:t>
      </w:r>
      <w:r>
        <w:rPr>
          <w:rFonts w:asciiTheme="majorBidi" w:hAnsiTheme="majorBidi" w:cstheme="majorBidi"/>
          <w:b/>
          <w:bCs/>
        </w:rPr>
        <w:t>B</w:t>
      </w:r>
      <w:r>
        <w:rPr>
          <w:rFonts w:asciiTheme="majorBidi" w:hAnsiTheme="majorBidi" w:cstheme="majorBidi"/>
        </w:rPr>
        <w:t xml:space="preserve">) Individual and competitions pots in the greenhouse right after transplanting (Photo taken on November 13, 2017). </w:t>
      </w:r>
      <w:r>
        <w:rPr>
          <w:rFonts w:asciiTheme="majorBidi" w:hAnsiTheme="majorBidi" w:cstheme="majorBidi"/>
          <w:b/>
          <w:bCs/>
        </w:rPr>
        <w:t>C</w:t>
      </w:r>
      <w:r>
        <w:rPr>
          <w:rFonts w:asciiTheme="majorBidi" w:hAnsiTheme="majorBidi" w:cstheme="majorBidi"/>
        </w:rPr>
        <w:t xml:space="preserve">) The </w:t>
      </w:r>
      <w:proofErr w:type="spellStart"/>
      <w:r>
        <w:rPr>
          <w:rFonts w:asciiTheme="majorBidi" w:hAnsiTheme="majorBidi" w:cstheme="majorBidi"/>
        </w:rPr>
        <w:t>LiCor</w:t>
      </w:r>
      <w:proofErr w:type="spellEnd"/>
      <w:r>
        <w:rPr>
          <w:rFonts w:asciiTheme="majorBidi" w:hAnsiTheme="majorBidi" w:cstheme="majorBidi"/>
        </w:rPr>
        <w:t xml:space="preserve"> 6400 in use on seedlings in the growth chamber during the </w:t>
      </w:r>
      <w:r>
        <w:rPr>
          <w:rFonts w:asciiTheme="majorBidi" w:hAnsiTheme="majorBidi" w:cstheme="majorBidi"/>
        </w:rPr>
        <w:lastRenderedPageBreak/>
        <w:t>predrought control period (</w:t>
      </w:r>
      <w:r>
        <w:rPr>
          <w:rFonts w:asciiTheme="majorBidi" w:hAnsiTheme="majorBidi" w:cstheme="majorBidi"/>
        </w:rPr>
        <w:t>p</w:t>
      </w:r>
      <w:r>
        <w:rPr>
          <w:rFonts w:asciiTheme="majorBidi" w:hAnsiTheme="majorBidi" w:cstheme="majorBidi"/>
        </w:rPr>
        <w:t xml:space="preserve">hoto taken on January 8, 2018). </w:t>
      </w:r>
      <w:r w:rsidRPr="0081296D">
        <w:rPr>
          <w:rFonts w:asciiTheme="majorBidi" w:hAnsiTheme="majorBidi" w:cstheme="majorBidi"/>
          <w:i/>
          <w:iCs/>
        </w:rPr>
        <w:t>Note</w:t>
      </w:r>
      <w:r>
        <w:rPr>
          <w:rFonts w:asciiTheme="majorBidi" w:hAnsiTheme="majorBidi" w:cstheme="majorBidi"/>
          <w:i/>
          <w:iCs/>
        </w:rPr>
        <w:t>:</w:t>
      </w:r>
      <w:r w:rsidRPr="0081296D">
        <w:rPr>
          <w:rFonts w:asciiTheme="majorBidi" w:hAnsiTheme="majorBidi" w:cstheme="majorBidi"/>
          <w:i/>
          <w:iCs/>
        </w:rPr>
        <w:t xml:space="preserve"> </w:t>
      </w:r>
      <w:r w:rsidRPr="0081296D">
        <w:rPr>
          <w:rFonts w:asciiTheme="majorBidi" w:hAnsiTheme="majorBidi" w:cstheme="majorBidi"/>
        </w:rPr>
        <w:t>S</w:t>
      </w:r>
      <w:r>
        <w:rPr>
          <w:rFonts w:asciiTheme="majorBidi" w:hAnsiTheme="majorBidi" w:cstheme="majorBidi"/>
        </w:rPr>
        <w:t>eedlings had grown in size, and bamboo poles were used to help support the cottonwood seedlings as they grew taller.</w:t>
      </w:r>
    </w:p>
    <w:p w14:paraId="54D5ED7E" w14:textId="5862EF63" w:rsidR="00BD28D0" w:rsidRDefault="00BD28D0" w:rsidP="00BD28D0">
      <w:pPr>
        <w:spacing w:line="480" w:lineRule="auto"/>
        <w:jc w:val="both"/>
        <w:rPr>
          <w:rFonts w:asciiTheme="majorBidi" w:hAnsiTheme="majorBidi" w:cstheme="majorBidi"/>
          <w:b/>
          <w:bCs/>
        </w:rPr>
      </w:pPr>
      <w:r>
        <w:rPr>
          <w:rFonts w:asciiTheme="majorBidi" w:hAnsiTheme="majorBidi" w:cstheme="majorBidi"/>
          <w:b/>
          <w:bCs/>
          <w:noProof/>
        </w:rPr>
        <w:drawing>
          <wp:inline distT="0" distB="0" distL="0" distR="0" wp14:anchorId="66869E13" wp14:editId="556B3B6F">
            <wp:extent cx="4061599" cy="64008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owth chamber.pdf"/>
                    <pic:cNvPicPr/>
                  </pic:nvPicPr>
                  <pic:blipFill>
                    <a:blip r:embed="rId10"/>
                    <a:stretch>
                      <a:fillRect/>
                    </a:stretch>
                  </pic:blipFill>
                  <pic:spPr>
                    <a:xfrm>
                      <a:off x="0" y="0"/>
                      <a:ext cx="4061599" cy="6400800"/>
                    </a:xfrm>
                    <a:prstGeom prst="rect">
                      <a:avLst/>
                    </a:prstGeom>
                  </pic:spPr>
                </pic:pic>
              </a:graphicData>
            </a:graphic>
          </wp:inline>
        </w:drawing>
      </w:r>
    </w:p>
    <w:p w14:paraId="410B9CA9" w14:textId="0F4FA3F0" w:rsidR="00BD28D0" w:rsidRDefault="00BD28D0" w:rsidP="00BD28D0">
      <w:pPr>
        <w:spacing w:line="480" w:lineRule="auto"/>
        <w:jc w:val="both"/>
        <w:rPr>
          <w:rFonts w:asciiTheme="majorBidi" w:hAnsiTheme="majorBidi" w:cstheme="majorBidi"/>
          <w:b/>
          <w:bCs/>
        </w:rPr>
      </w:pPr>
      <w:r w:rsidRPr="00501312">
        <w:rPr>
          <w:rFonts w:asciiTheme="majorBidi" w:hAnsiTheme="majorBidi" w:cstheme="majorBidi"/>
          <w:b/>
          <w:bCs/>
        </w:rPr>
        <w:t>Figure S</w:t>
      </w:r>
      <w:r>
        <w:rPr>
          <w:rFonts w:asciiTheme="majorBidi" w:hAnsiTheme="majorBidi" w:cstheme="majorBidi"/>
          <w:b/>
          <w:bCs/>
        </w:rPr>
        <w:t>2</w:t>
      </w:r>
      <w:r w:rsidRPr="00501312">
        <w:rPr>
          <w:rFonts w:asciiTheme="majorBidi" w:hAnsiTheme="majorBidi" w:cstheme="majorBidi"/>
        </w:rPr>
        <w:t xml:space="preserve">. </w:t>
      </w:r>
      <w:r>
        <w:rPr>
          <w:rFonts w:asciiTheme="majorBidi" w:hAnsiTheme="majorBidi" w:cstheme="majorBidi"/>
        </w:rPr>
        <w:t xml:space="preserve">Schematic of the </w:t>
      </w:r>
      <w:r w:rsidRPr="00501312">
        <w:rPr>
          <w:rFonts w:ascii="Times New Roman" w:hAnsi="Times New Roman" w:cs="Times New Roman"/>
        </w:rPr>
        <w:t xml:space="preserve">Percival PR-915 </w:t>
      </w:r>
      <w:r>
        <w:rPr>
          <w:rFonts w:ascii="Times New Roman" w:hAnsi="Times New Roman" w:cs="Times New Roman"/>
        </w:rPr>
        <w:t>growth chamber and experiment layout.</w:t>
      </w:r>
      <w:r>
        <w:rPr>
          <w:rFonts w:asciiTheme="majorBidi" w:hAnsiTheme="majorBidi" w:cstheme="majorBidi"/>
        </w:rPr>
        <w:t xml:space="preserve"> The walk-in growth chamber was 2.4 meters wide by 4 meters long by 3 meters high (not shown in 2D schematic</w:t>
      </w:r>
      <w:r>
        <w:rPr>
          <w:rFonts w:asciiTheme="majorBidi" w:hAnsiTheme="majorBidi" w:cstheme="majorBidi"/>
        </w:rPr>
        <w:t>) and</w:t>
      </w:r>
      <w:r>
        <w:rPr>
          <w:rFonts w:asciiTheme="majorBidi" w:hAnsiTheme="majorBidi" w:cstheme="majorBidi"/>
        </w:rPr>
        <w:t xml:space="preserve"> was able to hold six replicates of pots and planting groups as indicated by the </w:t>
      </w:r>
      <w:r>
        <w:rPr>
          <w:rFonts w:asciiTheme="majorBidi" w:hAnsiTheme="majorBidi" w:cstheme="majorBidi"/>
        </w:rPr>
        <w:lastRenderedPageBreak/>
        <w:t>numbers 1-6. Each replicate maintained the same layout of p</w:t>
      </w:r>
      <w:r w:rsidRPr="00501312">
        <w:rPr>
          <w:rFonts w:ascii="Times New Roman" w:hAnsi="Times New Roman" w:cs="Times New Roman"/>
        </w:rPr>
        <w:t>lanting groups</w:t>
      </w:r>
      <w:r>
        <w:rPr>
          <w:rFonts w:ascii="Times New Roman" w:hAnsi="Times New Roman" w:cs="Times New Roman"/>
        </w:rPr>
        <w:t xml:space="preserve">, which </w:t>
      </w:r>
      <w:r w:rsidRPr="00501312">
        <w:rPr>
          <w:rFonts w:ascii="Times New Roman" w:hAnsi="Times New Roman" w:cs="Times New Roman"/>
        </w:rPr>
        <w:t>include</w:t>
      </w:r>
      <w:r>
        <w:rPr>
          <w:rFonts w:ascii="Times New Roman" w:hAnsi="Times New Roman" w:cs="Times New Roman"/>
        </w:rPr>
        <w:t>d individual pots of</w:t>
      </w:r>
      <w:r w:rsidRPr="00501312">
        <w:rPr>
          <w:rFonts w:ascii="Times New Roman" w:hAnsi="Times New Roman" w:cs="Times New Roman"/>
        </w:rPr>
        <w:t xml:space="preserve"> </w:t>
      </w:r>
      <w:r w:rsidRPr="00501312">
        <w:rPr>
          <w:rFonts w:asciiTheme="majorBidi" w:hAnsiTheme="majorBidi" w:cstheme="majorBidi"/>
        </w:rPr>
        <w:t>aspen (</w:t>
      </w:r>
      <w:r w:rsidRPr="000202FD">
        <w:rPr>
          <w:rFonts w:asciiTheme="majorBidi" w:hAnsiTheme="majorBidi" w:cstheme="majorBidi"/>
        </w:rPr>
        <w:t>A</w:t>
      </w:r>
      <w:r w:rsidRPr="00501312">
        <w:rPr>
          <w:rFonts w:asciiTheme="majorBidi" w:hAnsiTheme="majorBidi" w:cstheme="majorBidi"/>
        </w:rPr>
        <w:t>), cottonwood (</w:t>
      </w:r>
      <w:r w:rsidRPr="000202FD">
        <w:rPr>
          <w:rFonts w:asciiTheme="majorBidi" w:hAnsiTheme="majorBidi" w:cstheme="majorBidi"/>
        </w:rPr>
        <w:t>C</w:t>
      </w:r>
      <w:r w:rsidRPr="00501312">
        <w:rPr>
          <w:rFonts w:asciiTheme="majorBidi" w:hAnsiTheme="majorBidi" w:cstheme="majorBidi"/>
        </w:rPr>
        <w:t>) and pine (</w:t>
      </w:r>
      <w:r w:rsidRPr="000202FD">
        <w:rPr>
          <w:rFonts w:asciiTheme="majorBidi" w:hAnsiTheme="majorBidi" w:cstheme="majorBidi"/>
        </w:rPr>
        <w:t>P</w:t>
      </w:r>
      <w:r w:rsidRPr="00501312">
        <w:rPr>
          <w:rFonts w:asciiTheme="majorBidi" w:hAnsiTheme="majorBidi" w:cstheme="majorBidi"/>
        </w:rPr>
        <w:t xml:space="preserve">) </w:t>
      </w:r>
      <w:r>
        <w:rPr>
          <w:rFonts w:asciiTheme="majorBidi" w:hAnsiTheme="majorBidi" w:cstheme="majorBidi"/>
        </w:rPr>
        <w:t xml:space="preserve">and competition pots of </w:t>
      </w:r>
      <w:r w:rsidRPr="00501312">
        <w:rPr>
          <w:rFonts w:asciiTheme="majorBidi" w:hAnsiTheme="majorBidi" w:cstheme="majorBidi"/>
        </w:rPr>
        <w:t xml:space="preserve">aspen </w:t>
      </w:r>
      <w:r>
        <w:rPr>
          <w:rFonts w:asciiTheme="majorBidi" w:hAnsiTheme="majorBidi" w:cstheme="majorBidi"/>
        </w:rPr>
        <w:t>and</w:t>
      </w:r>
      <w:r w:rsidRPr="00501312">
        <w:rPr>
          <w:rFonts w:asciiTheme="majorBidi" w:hAnsiTheme="majorBidi" w:cstheme="majorBidi"/>
        </w:rPr>
        <w:t xml:space="preserve"> aspen (</w:t>
      </w:r>
      <w:proofErr w:type="spellStart"/>
      <w:r w:rsidRPr="000202FD">
        <w:rPr>
          <w:rFonts w:asciiTheme="majorBidi" w:hAnsiTheme="majorBidi" w:cstheme="majorBidi"/>
        </w:rPr>
        <w:t>A</w:t>
      </w:r>
      <w:r w:rsidRPr="00501312">
        <w:rPr>
          <w:rFonts w:asciiTheme="majorBidi" w:hAnsiTheme="majorBidi" w:cstheme="majorBidi"/>
        </w:rPr>
        <w:t>xA</w:t>
      </w:r>
      <w:proofErr w:type="spellEnd"/>
      <w:r w:rsidRPr="00501312">
        <w:rPr>
          <w:rFonts w:asciiTheme="majorBidi" w:hAnsiTheme="majorBidi" w:cstheme="majorBidi"/>
        </w:rPr>
        <w:t xml:space="preserve">), </w:t>
      </w:r>
      <w:r>
        <w:rPr>
          <w:rFonts w:asciiTheme="majorBidi" w:hAnsiTheme="majorBidi" w:cstheme="majorBidi"/>
        </w:rPr>
        <w:t xml:space="preserve">aspen and </w:t>
      </w:r>
      <w:r w:rsidRPr="00501312">
        <w:rPr>
          <w:rFonts w:asciiTheme="majorBidi" w:hAnsiTheme="majorBidi" w:cstheme="majorBidi"/>
        </w:rPr>
        <w:t>cottonwood (</w:t>
      </w:r>
      <w:proofErr w:type="spellStart"/>
      <w:r w:rsidRPr="000202FD">
        <w:rPr>
          <w:rFonts w:asciiTheme="majorBidi" w:hAnsiTheme="majorBidi" w:cstheme="majorBidi"/>
        </w:rPr>
        <w:t>A</w:t>
      </w:r>
      <w:r w:rsidRPr="00501312">
        <w:rPr>
          <w:rFonts w:asciiTheme="majorBidi" w:hAnsiTheme="majorBidi" w:cstheme="majorBidi"/>
        </w:rPr>
        <w:t>xC</w:t>
      </w:r>
      <w:proofErr w:type="spellEnd"/>
      <w:r w:rsidRPr="00501312">
        <w:rPr>
          <w:rFonts w:asciiTheme="majorBidi" w:hAnsiTheme="majorBidi" w:cstheme="majorBidi"/>
        </w:rPr>
        <w:t>)</w:t>
      </w:r>
      <w:r>
        <w:rPr>
          <w:rFonts w:asciiTheme="majorBidi" w:hAnsiTheme="majorBidi" w:cstheme="majorBidi"/>
        </w:rPr>
        <w:t>, and aspen and</w:t>
      </w:r>
      <w:r w:rsidRPr="00501312">
        <w:rPr>
          <w:rFonts w:asciiTheme="majorBidi" w:hAnsiTheme="majorBidi" w:cstheme="majorBidi"/>
        </w:rPr>
        <w:t xml:space="preserve"> pine (</w:t>
      </w:r>
      <w:proofErr w:type="spellStart"/>
      <w:r w:rsidRPr="000202FD">
        <w:rPr>
          <w:rFonts w:asciiTheme="majorBidi" w:hAnsiTheme="majorBidi" w:cstheme="majorBidi"/>
        </w:rPr>
        <w:t>A</w:t>
      </w:r>
      <w:r w:rsidRPr="00501312">
        <w:rPr>
          <w:rFonts w:asciiTheme="majorBidi" w:hAnsiTheme="majorBidi" w:cstheme="majorBidi"/>
        </w:rPr>
        <w:t>xP</w:t>
      </w:r>
      <w:proofErr w:type="spellEnd"/>
      <w:r w:rsidRPr="00501312">
        <w:rPr>
          <w:rFonts w:asciiTheme="majorBidi" w:hAnsiTheme="majorBidi" w:cstheme="majorBidi"/>
        </w:rPr>
        <w:t>)</w:t>
      </w:r>
      <w:r>
        <w:rPr>
          <w:rFonts w:asciiTheme="majorBidi" w:hAnsiTheme="majorBidi" w:cstheme="majorBidi"/>
        </w:rPr>
        <w:t>. Shaded pots were randomly selected for destructive measurements during the predrought control period and were replaced by pots from the greenhouse. Replacement pots were given two weeks to acclimate to the growth chamber before implementation of the water limitation treatments.</w:t>
      </w:r>
    </w:p>
    <w:p w14:paraId="4B8DCAC2" w14:textId="6D9D7ABF" w:rsidR="00F26E79" w:rsidRPr="00781173" w:rsidRDefault="00F26E79" w:rsidP="00BD28D0">
      <w:pPr>
        <w:spacing w:line="360" w:lineRule="auto"/>
        <w:ind w:right="-720"/>
        <w:jc w:val="both"/>
        <w:rPr>
          <w:rFonts w:asciiTheme="majorBidi" w:hAnsiTheme="majorBidi" w:cstheme="majorBidi"/>
        </w:rPr>
      </w:pPr>
    </w:p>
    <w:sectPr w:rsidR="00F26E79" w:rsidRPr="00781173" w:rsidSect="00C0713A">
      <w:headerReference w:type="default" r:id="rId11"/>
      <w:footerReference w:type="even" r:id="rId12"/>
      <w:footerReference w:type="default" r:id="rId13"/>
      <w:pgSz w:w="12240" w:h="15840"/>
      <w:pgMar w:top="1440" w:right="1440" w:bottom="1440" w:left="1440" w:header="720" w:footer="720" w:gutter="0"/>
      <w:pgNumType w:start="1"/>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13A7D" w14:textId="77777777" w:rsidR="004C2D46" w:rsidRDefault="004C2D46" w:rsidP="00026431">
      <w:r>
        <w:separator/>
      </w:r>
    </w:p>
  </w:endnote>
  <w:endnote w:type="continuationSeparator" w:id="0">
    <w:p w14:paraId="24F97493" w14:textId="77777777" w:rsidR="004C2D46" w:rsidRDefault="004C2D46" w:rsidP="00026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13821306"/>
      <w:docPartObj>
        <w:docPartGallery w:val="Page Numbers (Bottom of Page)"/>
        <w:docPartUnique/>
      </w:docPartObj>
    </w:sdtPr>
    <w:sdtEndPr>
      <w:rPr>
        <w:rStyle w:val="PageNumber"/>
      </w:rPr>
    </w:sdtEndPr>
    <w:sdtContent>
      <w:p w14:paraId="79C7C0B8" w14:textId="77777777" w:rsidR="00086EDD" w:rsidRDefault="00086EDD" w:rsidP="005B1B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395B36" w14:textId="77777777" w:rsidR="00086EDD" w:rsidRDefault="00086EDD" w:rsidP="00026431">
    <w:pPr>
      <w:pStyle w:val="Footer"/>
      <w:ind w:right="360"/>
    </w:pPr>
  </w:p>
  <w:p w14:paraId="4C7EA691" w14:textId="77777777" w:rsidR="00086EDD" w:rsidRDefault="00086E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45201828"/>
      <w:docPartObj>
        <w:docPartGallery w:val="Page Numbers (Bottom of Page)"/>
        <w:docPartUnique/>
      </w:docPartObj>
    </w:sdtPr>
    <w:sdtEndPr>
      <w:rPr>
        <w:rStyle w:val="PageNumber"/>
      </w:rPr>
    </w:sdtEndPr>
    <w:sdtContent>
      <w:p w14:paraId="3215B374" w14:textId="77777777" w:rsidR="00086EDD" w:rsidRDefault="00086EDD" w:rsidP="005B1B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sdtContent>
  </w:sdt>
  <w:p w14:paraId="059240D0" w14:textId="77777777" w:rsidR="00086EDD" w:rsidRDefault="00086EDD" w:rsidP="00026431">
    <w:pPr>
      <w:pStyle w:val="Footer"/>
      <w:ind w:right="360"/>
    </w:pPr>
  </w:p>
  <w:p w14:paraId="12B71D88" w14:textId="77777777" w:rsidR="00086EDD" w:rsidRDefault="00086E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86CDD" w14:textId="77777777" w:rsidR="004C2D46" w:rsidRDefault="004C2D46" w:rsidP="00026431">
      <w:r>
        <w:separator/>
      </w:r>
    </w:p>
  </w:footnote>
  <w:footnote w:type="continuationSeparator" w:id="0">
    <w:p w14:paraId="3253C392" w14:textId="77777777" w:rsidR="004C2D46" w:rsidRDefault="004C2D46" w:rsidP="00026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2653E" w14:textId="2BF26E30" w:rsidR="00086EDD" w:rsidRDefault="00086EDD">
    <w:pPr>
      <w:pStyle w:val="Header"/>
    </w:pPr>
  </w:p>
  <w:p w14:paraId="0E79FDD5" w14:textId="77777777" w:rsidR="00086EDD" w:rsidRDefault="00086E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94D01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9C06F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0E6A20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F0C54F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058EF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C2C58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EB0EB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530FB1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8E00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5A55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6C454A"/>
    <w:multiLevelType w:val="hybridMultilevel"/>
    <w:tmpl w:val="D03E6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906FF"/>
    <w:multiLevelType w:val="hybridMultilevel"/>
    <w:tmpl w:val="49060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DB52CB"/>
    <w:multiLevelType w:val="hybridMultilevel"/>
    <w:tmpl w:val="08B43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4D3FA3"/>
    <w:multiLevelType w:val="hybridMultilevel"/>
    <w:tmpl w:val="0D42E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4A071C8">
      <w:start w:val="5"/>
      <w:numFmt w:val="bullet"/>
      <w:lvlText w:val="-"/>
      <w:lvlJc w:val="left"/>
      <w:pPr>
        <w:ind w:left="2160" w:hanging="360"/>
      </w:pPr>
      <w:rPr>
        <w:rFonts w:ascii="Calibri" w:eastAsiaTheme="minorEastAsia"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65318E"/>
    <w:multiLevelType w:val="hybridMultilevel"/>
    <w:tmpl w:val="E4E00E30"/>
    <w:lvl w:ilvl="0" w:tplc="FC74B58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6F2D31"/>
    <w:multiLevelType w:val="hybridMultilevel"/>
    <w:tmpl w:val="E578CB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684876"/>
    <w:multiLevelType w:val="hybridMultilevel"/>
    <w:tmpl w:val="508A2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C55091"/>
    <w:multiLevelType w:val="hybridMultilevel"/>
    <w:tmpl w:val="829C1044"/>
    <w:lvl w:ilvl="0" w:tplc="4E382E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4672AD"/>
    <w:multiLevelType w:val="hybridMultilevel"/>
    <w:tmpl w:val="39CEF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FA754C"/>
    <w:multiLevelType w:val="multilevel"/>
    <w:tmpl w:val="7BFAC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ACC2C61"/>
    <w:multiLevelType w:val="hybridMultilevel"/>
    <w:tmpl w:val="6720C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8"/>
  </w:num>
  <w:num w:numId="4">
    <w:abstractNumId w:val="20"/>
  </w:num>
  <w:num w:numId="5">
    <w:abstractNumId w:val="14"/>
  </w:num>
  <w:num w:numId="6">
    <w:abstractNumId w:val="16"/>
  </w:num>
  <w:num w:numId="7">
    <w:abstractNumId w:val="13"/>
  </w:num>
  <w:num w:numId="8">
    <w:abstractNumId w:val="11"/>
  </w:num>
  <w:num w:numId="9">
    <w:abstractNumId w:val="15"/>
  </w:num>
  <w:num w:numId="10">
    <w:abstractNumId w:val="17"/>
  </w:num>
  <w:num w:numId="11">
    <w:abstractNumId w:val="19"/>
  </w:num>
  <w:num w:numId="12">
    <w:abstractNumId w:val="0"/>
  </w:num>
  <w:num w:numId="13">
    <w:abstractNumId w:val="1"/>
  </w:num>
  <w:num w:numId="14">
    <w:abstractNumId w:val="2"/>
  </w:num>
  <w:num w:numId="15">
    <w:abstractNumId w:val="3"/>
  </w:num>
  <w:num w:numId="16">
    <w:abstractNumId w:val="8"/>
  </w:num>
  <w:num w:numId="17">
    <w:abstractNumId w:val="4"/>
  </w:num>
  <w:num w:numId="18">
    <w:abstractNumId w:val="5"/>
  </w:num>
  <w:num w:numId="19">
    <w:abstractNumId w:val="6"/>
  </w:num>
  <w:num w:numId="20">
    <w:abstractNumId w:val="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FC1"/>
    <w:rsid w:val="00002016"/>
    <w:rsid w:val="000036FD"/>
    <w:rsid w:val="000056F8"/>
    <w:rsid w:val="000074AD"/>
    <w:rsid w:val="00007B8E"/>
    <w:rsid w:val="0001194E"/>
    <w:rsid w:val="00015AF5"/>
    <w:rsid w:val="00015FB7"/>
    <w:rsid w:val="00020324"/>
    <w:rsid w:val="00023CEA"/>
    <w:rsid w:val="00026431"/>
    <w:rsid w:val="00026A91"/>
    <w:rsid w:val="000323CE"/>
    <w:rsid w:val="00034B36"/>
    <w:rsid w:val="000458AB"/>
    <w:rsid w:val="00045B23"/>
    <w:rsid w:val="00050F8F"/>
    <w:rsid w:val="00053F8A"/>
    <w:rsid w:val="00054967"/>
    <w:rsid w:val="0006445F"/>
    <w:rsid w:val="000645C1"/>
    <w:rsid w:val="0006775F"/>
    <w:rsid w:val="0007376A"/>
    <w:rsid w:val="000739DA"/>
    <w:rsid w:val="00076E89"/>
    <w:rsid w:val="000776E8"/>
    <w:rsid w:val="00081AE6"/>
    <w:rsid w:val="000837CA"/>
    <w:rsid w:val="0008490F"/>
    <w:rsid w:val="0008519F"/>
    <w:rsid w:val="00086EDD"/>
    <w:rsid w:val="0009222F"/>
    <w:rsid w:val="000924E6"/>
    <w:rsid w:val="00092E34"/>
    <w:rsid w:val="0009301E"/>
    <w:rsid w:val="000935FC"/>
    <w:rsid w:val="00093C47"/>
    <w:rsid w:val="0009729E"/>
    <w:rsid w:val="000A3496"/>
    <w:rsid w:val="000A366B"/>
    <w:rsid w:val="000A4343"/>
    <w:rsid w:val="000A5BD6"/>
    <w:rsid w:val="000B0190"/>
    <w:rsid w:val="000B2274"/>
    <w:rsid w:val="000B2D1A"/>
    <w:rsid w:val="000B3770"/>
    <w:rsid w:val="000B4AB9"/>
    <w:rsid w:val="000B57D0"/>
    <w:rsid w:val="000B5AB2"/>
    <w:rsid w:val="000C3004"/>
    <w:rsid w:val="000C5735"/>
    <w:rsid w:val="000D457F"/>
    <w:rsid w:val="000D7178"/>
    <w:rsid w:val="000E1169"/>
    <w:rsid w:val="000E2CFE"/>
    <w:rsid w:val="000E6304"/>
    <w:rsid w:val="000F248E"/>
    <w:rsid w:val="000F4004"/>
    <w:rsid w:val="001100F1"/>
    <w:rsid w:val="00112886"/>
    <w:rsid w:val="00113191"/>
    <w:rsid w:val="001276F6"/>
    <w:rsid w:val="00131ADF"/>
    <w:rsid w:val="00140653"/>
    <w:rsid w:val="00141B70"/>
    <w:rsid w:val="00142B11"/>
    <w:rsid w:val="001434E1"/>
    <w:rsid w:val="00143617"/>
    <w:rsid w:val="00145254"/>
    <w:rsid w:val="00151466"/>
    <w:rsid w:val="00153C4A"/>
    <w:rsid w:val="00163D92"/>
    <w:rsid w:val="0017213D"/>
    <w:rsid w:val="00173305"/>
    <w:rsid w:val="00190839"/>
    <w:rsid w:val="00190C3E"/>
    <w:rsid w:val="0019542B"/>
    <w:rsid w:val="00195B1C"/>
    <w:rsid w:val="00196CCC"/>
    <w:rsid w:val="001A0D79"/>
    <w:rsid w:val="001A22EA"/>
    <w:rsid w:val="001A29B9"/>
    <w:rsid w:val="001A383A"/>
    <w:rsid w:val="001A5D00"/>
    <w:rsid w:val="001A6117"/>
    <w:rsid w:val="001A69AC"/>
    <w:rsid w:val="001B00D6"/>
    <w:rsid w:val="001B14A3"/>
    <w:rsid w:val="001B18FA"/>
    <w:rsid w:val="001B76A6"/>
    <w:rsid w:val="001C0EEF"/>
    <w:rsid w:val="001C6F88"/>
    <w:rsid w:val="001C76AB"/>
    <w:rsid w:val="001D1633"/>
    <w:rsid w:val="001D405D"/>
    <w:rsid w:val="001D44A9"/>
    <w:rsid w:val="001D68E7"/>
    <w:rsid w:val="001D7861"/>
    <w:rsid w:val="001D7C13"/>
    <w:rsid w:val="001E1DBE"/>
    <w:rsid w:val="001E4F58"/>
    <w:rsid w:val="001E7E04"/>
    <w:rsid w:val="001F27A8"/>
    <w:rsid w:val="00200C07"/>
    <w:rsid w:val="00200DBD"/>
    <w:rsid w:val="00202A39"/>
    <w:rsid w:val="00206CFD"/>
    <w:rsid w:val="00210F3F"/>
    <w:rsid w:val="00212222"/>
    <w:rsid w:val="00213895"/>
    <w:rsid w:val="002158E6"/>
    <w:rsid w:val="00215BCD"/>
    <w:rsid w:val="002164A7"/>
    <w:rsid w:val="00222FB3"/>
    <w:rsid w:val="00223F43"/>
    <w:rsid w:val="00225BA5"/>
    <w:rsid w:val="0022615C"/>
    <w:rsid w:val="00230927"/>
    <w:rsid w:val="0023231B"/>
    <w:rsid w:val="00232656"/>
    <w:rsid w:val="0023666B"/>
    <w:rsid w:val="00236B0B"/>
    <w:rsid w:val="00240CCE"/>
    <w:rsid w:val="00241CB6"/>
    <w:rsid w:val="00244B56"/>
    <w:rsid w:val="0024777D"/>
    <w:rsid w:val="00250839"/>
    <w:rsid w:val="00250C31"/>
    <w:rsid w:val="00251B0B"/>
    <w:rsid w:val="00251D8B"/>
    <w:rsid w:val="0025281E"/>
    <w:rsid w:val="002535C1"/>
    <w:rsid w:val="0025749D"/>
    <w:rsid w:val="0025780B"/>
    <w:rsid w:val="0026025C"/>
    <w:rsid w:val="00260EAC"/>
    <w:rsid w:val="00262823"/>
    <w:rsid w:val="00265557"/>
    <w:rsid w:val="00266D4E"/>
    <w:rsid w:val="00271F03"/>
    <w:rsid w:val="002835BD"/>
    <w:rsid w:val="00286C90"/>
    <w:rsid w:val="002926C7"/>
    <w:rsid w:val="00296E56"/>
    <w:rsid w:val="002A5E03"/>
    <w:rsid w:val="002A7580"/>
    <w:rsid w:val="002C358A"/>
    <w:rsid w:val="002D0758"/>
    <w:rsid w:val="002D25AC"/>
    <w:rsid w:val="002D4334"/>
    <w:rsid w:val="002E2A43"/>
    <w:rsid w:val="002E4346"/>
    <w:rsid w:val="002E4FF7"/>
    <w:rsid w:val="002E5573"/>
    <w:rsid w:val="002E6AA5"/>
    <w:rsid w:val="002E7291"/>
    <w:rsid w:val="002E7AF0"/>
    <w:rsid w:val="002F0DB5"/>
    <w:rsid w:val="002F1100"/>
    <w:rsid w:val="002F5A2E"/>
    <w:rsid w:val="002F6C9F"/>
    <w:rsid w:val="00303A62"/>
    <w:rsid w:val="00312AC4"/>
    <w:rsid w:val="00316820"/>
    <w:rsid w:val="00317D75"/>
    <w:rsid w:val="003222A7"/>
    <w:rsid w:val="0032609E"/>
    <w:rsid w:val="00327F7B"/>
    <w:rsid w:val="00334B3C"/>
    <w:rsid w:val="00341147"/>
    <w:rsid w:val="00343CB1"/>
    <w:rsid w:val="0034672A"/>
    <w:rsid w:val="00352A0B"/>
    <w:rsid w:val="003537EC"/>
    <w:rsid w:val="0035624B"/>
    <w:rsid w:val="0036528B"/>
    <w:rsid w:val="0037036C"/>
    <w:rsid w:val="00371054"/>
    <w:rsid w:val="00371A38"/>
    <w:rsid w:val="00376BD8"/>
    <w:rsid w:val="0038025C"/>
    <w:rsid w:val="0038027F"/>
    <w:rsid w:val="00383807"/>
    <w:rsid w:val="00384CD8"/>
    <w:rsid w:val="00385771"/>
    <w:rsid w:val="003877A7"/>
    <w:rsid w:val="00397DFC"/>
    <w:rsid w:val="003A1BFC"/>
    <w:rsid w:val="003A2AA1"/>
    <w:rsid w:val="003A3624"/>
    <w:rsid w:val="003A4B3B"/>
    <w:rsid w:val="003B005C"/>
    <w:rsid w:val="003B1A48"/>
    <w:rsid w:val="003B38B9"/>
    <w:rsid w:val="003B42AF"/>
    <w:rsid w:val="003B49E0"/>
    <w:rsid w:val="003C1676"/>
    <w:rsid w:val="003C271B"/>
    <w:rsid w:val="003C45E6"/>
    <w:rsid w:val="003D096D"/>
    <w:rsid w:val="003D2CB3"/>
    <w:rsid w:val="003D402A"/>
    <w:rsid w:val="003E25D9"/>
    <w:rsid w:val="003F081E"/>
    <w:rsid w:val="003F26A5"/>
    <w:rsid w:val="003F2E5D"/>
    <w:rsid w:val="003F7D95"/>
    <w:rsid w:val="00403742"/>
    <w:rsid w:val="00404727"/>
    <w:rsid w:val="004057D0"/>
    <w:rsid w:val="00405C52"/>
    <w:rsid w:val="00406440"/>
    <w:rsid w:val="00406487"/>
    <w:rsid w:val="00410CD2"/>
    <w:rsid w:val="00416292"/>
    <w:rsid w:val="00416FF6"/>
    <w:rsid w:val="004208E3"/>
    <w:rsid w:val="0042200D"/>
    <w:rsid w:val="00422FC1"/>
    <w:rsid w:val="00425CA4"/>
    <w:rsid w:val="004261BE"/>
    <w:rsid w:val="00431950"/>
    <w:rsid w:val="00431E83"/>
    <w:rsid w:val="00435D8A"/>
    <w:rsid w:val="00437925"/>
    <w:rsid w:val="00441157"/>
    <w:rsid w:val="0044307C"/>
    <w:rsid w:val="00446C08"/>
    <w:rsid w:val="00447581"/>
    <w:rsid w:val="00452E7F"/>
    <w:rsid w:val="00455B95"/>
    <w:rsid w:val="004575E0"/>
    <w:rsid w:val="00457B99"/>
    <w:rsid w:val="004611CD"/>
    <w:rsid w:val="004621FB"/>
    <w:rsid w:val="00464245"/>
    <w:rsid w:val="004647AD"/>
    <w:rsid w:val="00465100"/>
    <w:rsid w:val="00467310"/>
    <w:rsid w:val="004713AF"/>
    <w:rsid w:val="00471A4A"/>
    <w:rsid w:val="00475B25"/>
    <w:rsid w:val="00481771"/>
    <w:rsid w:val="004820C8"/>
    <w:rsid w:val="00482783"/>
    <w:rsid w:val="0048284D"/>
    <w:rsid w:val="00482DCE"/>
    <w:rsid w:val="00483058"/>
    <w:rsid w:val="00486A97"/>
    <w:rsid w:val="00490479"/>
    <w:rsid w:val="00491E8E"/>
    <w:rsid w:val="00496A75"/>
    <w:rsid w:val="00497075"/>
    <w:rsid w:val="0049738C"/>
    <w:rsid w:val="00497A2E"/>
    <w:rsid w:val="004B05D8"/>
    <w:rsid w:val="004C06E5"/>
    <w:rsid w:val="004C07C9"/>
    <w:rsid w:val="004C190D"/>
    <w:rsid w:val="004C2D46"/>
    <w:rsid w:val="004C3935"/>
    <w:rsid w:val="004C4350"/>
    <w:rsid w:val="004C61AA"/>
    <w:rsid w:val="004D15FA"/>
    <w:rsid w:val="004E0AE3"/>
    <w:rsid w:val="004E2236"/>
    <w:rsid w:val="004E4834"/>
    <w:rsid w:val="004E5CDA"/>
    <w:rsid w:val="004F2F72"/>
    <w:rsid w:val="00501312"/>
    <w:rsid w:val="00511E32"/>
    <w:rsid w:val="00514C03"/>
    <w:rsid w:val="0051585E"/>
    <w:rsid w:val="00522C3A"/>
    <w:rsid w:val="00524323"/>
    <w:rsid w:val="0052621B"/>
    <w:rsid w:val="00527194"/>
    <w:rsid w:val="00533EB9"/>
    <w:rsid w:val="0054259E"/>
    <w:rsid w:val="00544347"/>
    <w:rsid w:val="005456B1"/>
    <w:rsid w:val="00545B34"/>
    <w:rsid w:val="00546A15"/>
    <w:rsid w:val="005501F8"/>
    <w:rsid w:val="0055104D"/>
    <w:rsid w:val="00552259"/>
    <w:rsid w:val="00553032"/>
    <w:rsid w:val="005564E1"/>
    <w:rsid w:val="005579AF"/>
    <w:rsid w:val="00561498"/>
    <w:rsid w:val="00563798"/>
    <w:rsid w:val="005642FC"/>
    <w:rsid w:val="00564B8B"/>
    <w:rsid w:val="005807D8"/>
    <w:rsid w:val="00583867"/>
    <w:rsid w:val="0059018B"/>
    <w:rsid w:val="00591CE1"/>
    <w:rsid w:val="00596747"/>
    <w:rsid w:val="005969C9"/>
    <w:rsid w:val="00597395"/>
    <w:rsid w:val="005A039D"/>
    <w:rsid w:val="005A17EF"/>
    <w:rsid w:val="005A2A98"/>
    <w:rsid w:val="005A4F26"/>
    <w:rsid w:val="005A5725"/>
    <w:rsid w:val="005A6226"/>
    <w:rsid w:val="005A62E8"/>
    <w:rsid w:val="005A7038"/>
    <w:rsid w:val="005B07BB"/>
    <w:rsid w:val="005B0BDE"/>
    <w:rsid w:val="005B1BD6"/>
    <w:rsid w:val="005B1D24"/>
    <w:rsid w:val="005B4BB3"/>
    <w:rsid w:val="005D2183"/>
    <w:rsid w:val="005D3111"/>
    <w:rsid w:val="005D342F"/>
    <w:rsid w:val="005D6A10"/>
    <w:rsid w:val="005D7B67"/>
    <w:rsid w:val="005E089D"/>
    <w:rsid w:val="005E0DAA"/>
    <w:rsid w:val="005E1291"/>
    <w:rsid w:val="005E56B9"/>
    <w:rsid w:val="005E7305"/>
    <w:rsid w:val="005E7DDF"/>
    <w:rsid w:val="005F03A0"/>
    <w:rsid w:val="006074FA"/>
    <w:rsid w:val="00611772"/>
    <w:rsid w:val="00611C34"/>
    <w:rsid w:val="00621CE3"/>
    <w:rsid w:val="00624862"/>
    <w:rsid w:val="006265E8"/>
    <w:rsid w:val="00633192"/>
    <w:rsid w:val="00634464"/>
    <w:rsid w:val="00636B85"/>
    <w:rsid w:val="00636BC4"/>
    <w:rsid w:val="006406CD"/>
    <w:rsid w:val="00647D63"/>
    <w:rsid w:val="00650BB9"/>
    <w:rsid w:val="0065118B"/>
    <w:rsid w:val="00653C00"/>
    <w:rsid w:val="00653C9E"/>
    <w:rsid w:val="00660DAA"/>
    <w:rsid w:val="006661BD"/>
    <w:rsid w:val="0066621B"/>
    <w:rsid w:val="0067073A"/>
    <w:rsid w:val="006714B9"/>
    <w:rsid w:val="00671675"/>
    <w:rsid w:val="00672AE7"/>
    <w:rsid w:val="006732D7"/>
    <w:rsid w:val="00683439"/>
    <w:rsid w:val="00684877"/>
    <w:rsid w:val="006848FD"/>
    <w:rsid w:val="00686CE4"/>
    <w:rsid w:val="00687FA7"/>
    <w:rsid w:val="0069040C"/>
    <w:rsid w:val="0069246B"/>
    <w:rsid w:val="00694A27"/>
    <w:rsid w:val="006A0378"/>
    <w:rsid w:val="006A0DCB"/>
    <w:rsid w:val="006A2DFA"/>
    <w:rsid w:val="006A477D"/>
    <w:rsid w:val="006B0A43"/>
    <w:rsid w:val="006B0C6C"/>
    <w:rsid w:val="006B3D5F"/>
    <w:rsid w:val="006C0E3C"/>
    <w:rsid w:val="006C1677"/>
    <w:rsid w:val="006C26E7"/>
    <w:rsid w:val="006C3A68"/>
    <w:rsid w:val="006C7CC0"/>
    <w:rsid w:val="006C7CFA"/>
    <w:rsid w:val="006C7FE4"/>
    <w:rsid w:val="006D0FD0"/>
    <w:rsid w:val="006D16E8"/>
    <w:rsid w:val="006D1E6B"/>
    <w:rsid w:val="006D2B3E"/>
    <w:rsid w:val="006D6004"/>
    <w:rsid w:val="006D7C75"/>
    <w:rsid w:val="006E5855"/>
    <w:rsid w:val="006F435C"/>
    <w:rsid w:val="006F5C16"/>
    <w:rsid w:val="006F5F6E"/>
    <w:rsid w:val="006F783C"/>
    <w:rsid w:val="00701E63"/>
    <w:rsid w:val="00702D37"/>
    <w:rsid w:val="0070624F"/>
    <w:rsid w:val="007144A9"/>
    <w:rsid w:val="007173FE"/>
    <w:rsid w:val="007174DE"/>
    <w:rsid w:val="00720639"/>
    <w:rsid w:val="00723258"/>
    <w:rsid w:val="0072382A"/>
    <w:rsid w:val="0072441A"/>
    <w:rsid w:val="007276F6"/>
    <w:rsid w:val="00731F14"/>
    <w:rsid w:val="007333C8"/>
    <w:rsid w:val="00735475"/>
    <w:rsid w:val="007376F9"/>
    <w:rsid w:val="007419BD"/>
    <w:rsid w:val="007443A3"/>
    <w:rsid w:val="0074797A"/>
    <w:rsid w:val="00751253"/>
    <w:rsid w:val="00752820"/>
    <w:rsid w:val="007539E5"/>
    <w:rsid w:val="00753C5E"/>
    <w:rsid w:val="0076344B"/>
    <w:rsid w:val="0076508F"/>
    <w:rsid w:val="00767748"/>
    <w:rsid w:val="00771E6A"/>
    <w:rsid w:val="00773A73"/>
    <w:rsid w:val="00774727"/>
    <w:rsid w:val="00777B72"/>
    <w:rsid w:val="00781173"/>
    <w:rsid w:val="00781588"/>
    <w:rsid w:val="0078562B"/>
    <w:rsid w:val="00785EE9"/>
    <w:rsid w:val="00786801"/>
    <w:rsid w:val="00786BFD"/>
    <w:rsid w:val="007873B9"/>
    <w:rsid w:val="0079068B"/>
    <w:rsid w:val="007910F3"/>
    <w:rsid w:val="00793EE5"/>
    <w:rsid w:val="00796823"/>
    <w:rsid w:val="00796DB0"/>
    <w:rsid w:val="007979A7"/>
    <w:rsid w:val="007A7744"/>
    <w:rsid w:val="007B11D0"/>
    <w:rsid w:val="007B21A5"/>
    <w:rsid w:val="007B665E"/>
    <w:rsid w:val="007B7C48"/>
    <w:rsid w:val="007B7D39"/>
    <w:rsid w:val="007C0D3E"/>
    <w:rsid w:val="007C1803"/>
    <w:rsid w:val="007C2D90"/>
    <w:rsid w:val="007C312D"/>
    <w:rsid w:val="007C3DB2"/>
    <w:rsid w:val="007C40FE"/>
    <w:rsid w:val="007C6F7D"/>
    <w:rsid w:val="007D01F1"/>
    <w:rsid w:val="007D0FF0"/>
    <w:rsid w:val="007D3373"/>
    <w:rsid w:val="007D3A89"/>
    <w:rsid w:val="007D4B9D"/>
    <w:rsid w:val="007D6E7C"/>
    <w:rsid w:val="007E14DB"/>
    <w:rsid w:val="007E65EA"/>
    <w:rsid w:val="007F4E67"/>
    <w:rsid w:val="007F70D6"/>
    <w:rsid w:val="007F748B"/>
    <w:rsid w:val="00802CDC"/>
    <w:rsid w:val="00804564"/>
    <w:rsid w:val="0080707E"/>
    <w:rsid w:val="008109BB"/>
    <w:rsid w:val="00810F36"/>
    <w:rsid w:val="00812248"/>
    <w:rsid w:val="008122C8"/>
    <w:rsid w:val="00820224"/>
    <w:rsid w:val="0082298F"/>
    <w:rsid w:val="00831E80"/>
    <w:rsid w:val="008321EC"/>
    <w:rsid w:val="008344FF"/>
    <w:rsid w:val="00836149"/>
    <w:rsid w:val="00837D93"/>
    <w:rsid w:val="00842950"/>
    <w:rsid w:val="00844760"/>
    <w:rsid w:val="00847B02"/>
    <w:rsid w:val="008526F0"/>
    <w:rsid w:val="00856298"/>
    <w:rsid w:val="00856F6D"/>
    <w:rsid w:val="00860352"/>
    <w:rsid w:val="008603F6"/>
    <w:rsid w:val="00861B33"/>
    <w:rsid w:val="0086292A"/>
    <w:rsid w:val="00863608"/>
    <w:rsid w:val="00863C75"/>
    <w:rsid w:val="00864561"/>
    <w:rsid w:val="008673A9"/>
    <w:rsid w:val="0087088C"/>
    <w:rsid w:val="00870A20"/>
    <w:rsid w:val="00870C07"/>
    <w:rsid w:val="0087181D"/>
    <w:rsid w:val="00873D72"/>
    <w:rsid w:val="00874211"/>
    <w:rsid w:val="00874419"/>
    <w:rsid w:val="008758CE"/>
    <w:rsid w:val="00880AD3"/>
    <w:rsid w:val="00881090"/>
    <w:rsid w:val="00884107"/>
    <w:rsid w:val="008842ED"/>
    <w:rsid w:val="00885A7F"/>
    <w:rsid w:val="00886E5A"/>
    <w:rsid w:val="00887A66"/>
    <w:rsid w:val="00891B11"/>
    <w:rsid w:val="00892CA6"/>
    <w:rsid w:val="00893504"/>
    <w:rsid w:val="00893A71"/>
    <w:rsid w:val="008942EC"/>
    <w:rsid w:val="008957D5"/>
    <w:rsid w:val="008974D6"/>
    <w:rsid w:val="008A04C4"/>
    <w:rsid w:val="008A14F5"/>
    <w:rsid w:val="008A4AC7"/>
    <w:rsid w:val="008B0F70"/>
    <w:rsid w:val="008B3121"/>
    <w:rsid w:val="008B7F68"/>
    <w:rsid w:val="008C25A5"/>
    <w:rsid w:val="008C3B4A"/>
    <w:rsid w:val="008C3BE0"/>
    <w:rsid w:val="008C4661"/>
    <w:rsid w:val="008C4BCA"/>
    <w:rsid w:val="008C65F9"/>
    <w:rsid w:val="008C67D8"/>
    <w:rsid w:val="008C68A9"/>
    <w:rsid w:val="008D1D29"/>
    <w:rsid w:val="008D317A"/>
    <w:rsid w:val="008D52D4"/>
    <w:rsid w:val="008D5A84"/>
    <w:rsid w:val="008D6F78"/>
    <w:rsid w:val="008E14BD"/>
    <w:rsid w:val="008E2E2C"/>
    <w:rsid w:val="008E34E6"/>
    <w:rsid w:val="008E4003"/>
    <w:rsid w:val="008E46B6"/>
    <w:rsid w:val="008E53DE"/>
    <w:rsid w:val="008E65E4"/>
    <w:rsid w:val="008E7EFD"/>
    <w:rsid w:val="008F156D"/>
    <w:rsid w:val="008F7241"/>
    <w:rsid w:val="008F7440"/>
    <w:rsid w:val="008F7C30"/>
    <w:rsid w:val="00900412"/>
    <w:rsid w:val="009011C5"/>
    <w:rsid w:val="00906047"/>
    <w:rsid w:val="0090673D"/>
    <w:rsid w:val="009068C8"/>
    <w:rsid w:val="00911865"/>
    <w:rsid w:val="00911B31"/>
    <w:rsid w:val="00914EB6"/>
    <w:rsid w:val="00920B3F"/>
    <w:rsid w:val="00924BDB"/>
    <w:rsid w:val="009306C5"/>
    <w:rsid w:val="00937ED7"/>
    <w:rsid w:val="0094291C"/>
    <w:rsid w:val="00942CDA"/>
    <w:rsid w:val="0094748C"/>
    <w:rsid w:val="009477E4"/>
    <w:rsid w:val="0094780F"/>
    <w:rsid w:val="009518DD"/>
    <w:rsid w:val="009529C6"/>
    <w:rsid w:val="009555E4"/>
    <w:rsid w:val="00955EA4"/>
    <w:rsid w:val="0096457D"/>
    <w:rsid w:val="009663A4"/>
    <w:rsid w:val="009663D8"/>
    <w:rsid w:val="009672CF"/>
    <w:rsid w:val="00983FA0"/>
    <w:rsid w:val="0098569A"/>
    <w:rsid w:val="009857B9"/>
    <w:rsid w:val="0098781A"/>
    <w:rsid w:val="00987838"/>
    <w:rsid w:val="00993F02"/>
    <w:rsid w:val="00995E05"/>
    <w:rsid w:val="00997867"/>
    <w:rsid w:val="009A00AF"/>
    <w:rsid w:val="009A06A2"/>
    <w:rsid w:val="009A2DAB"/>
    <w:rsid w:val="009A5B1C"/>
    <w:rsid w:val="009B2CC6"/>
    <w:rsid w:val="009B3C52"/>
    <w:rsid w:val="009C10C1"/>
    <w:rsid w:val="009C298C"/>
    <w:rsid w:val="009C4B47"/>
    <w:rsid w:val="009D00BE"/>
    <w:rsid w:val="009D3154"/>
    <w:rsid w:val="009D3D05"/>
    <w:rsid w:val="009D41B4"/>
    <w:rsid w:val="009D42FC"/>
    <w:rsid w:val="009E3D62"/>
    <w:rsid w:val="009E7850"/>
    <w:rsid w:val="009F051A"/>
    <w:rsid w:val="009F060E"/>
    <w:rsid w:val="009F0D50"/>
    <w:rsid w:val="009F0D82"/>
    <w:rsid w:val="009F3D1F"/>
    <w:rsid w:val="009F569E"/>
    <w:rsid w:val="009F6E69"/>
    <w:rsid w:val="009F7A31"/>
    <w:rsid w:val="00A005FB"/>
    <w:rsid w:val="00A0080C"/>
    <w:rsid w:val="00A049B3"/>
    <w:rsid w:val="00A07178"/>
    <w:rsid w:val="00A11810"/>
    <w:rsid w:val="00A13A4B"/>
    <w:rsid w:val="00A1573F"/>
    <w:rsid w:val="00A17752"/>
    <w:rsid w:val="00A1787B"/>
    <w:rsid w:val="00A17C84"/>
    <w:rsid w:val="00A21684"/>
    <w:rsid w:val="00A226B9"/>
    <w:rsid w:val="00A25AF6"/>
    <w:rsid w:val="00A30D43"/>
    <w:rsid w:val="00A31C54"/>
    <w:rsid w:val="00A3250C"/>
    <w:rsid w:val="00A37029"/>
    <w:rsid w:val="00A431F7"/>
    <w:rsid w:val="00A4643D"/>
    <w:rsid w:val="00A464B3"/>
    <w:rsid w:val="00A46964"/>
    <w:rsid w:val="00A51EB7"/>
    <w:rsid w:val="00A61634"/>
    <w:rsid w:val="00A623AC"/>
    <w:rsid w:val="00A63BB3"/>
    <w:rsid w:val="00A72DCD"/>
    <w:rsid w:val="00A731D4"/>
    <w:rsid w:val="00A740EB"/>
    <w:rsid w:val="00A75B32"/>
    <w:rsid w:val="00A75D19"/>
    <w:rsid w:val="00A80428"/>
    <w:rsid w:val="00A80A01"/>
    <w:rsid w:val="00A813DC"/>
    <w:rsid w:val="00A81FDD"/>
    <w:rsid w:val="00A8291B"/>
    <w:rsid w:val="00A911BD"/>
    <w:rsid w:val="00A92FCD"/>
    <w:rsid w:val="00A94AB5"/>
    <w:rsid w:val="00A9773F"/>
    <w:rsid w:val="00AA1C44"/>
    <w:rsid w:val="00AA4FAB"/>
    <w:rsid w:val="00AB0B8D"/>
    <w:rsid w:val="00AB0D33"/>
    <w:rsid w:val="00AB11FE"/>
    <w:rsid w:val="00AB258A"/>
    <w:rsid w:val="00AB5E0F"/>
    <w:rsid w:val="00AB6A37"/>
    <w:rsid w:val="00AB6B65"/>
    <w:rsid w:val="00AB7795"/>
    <w:rsid w:val="00AB7EE9"/>
    <w:rsid w:val="00AC079F"/>
    <w:rsid w:val="00AC1069"/>
    <w:rsid w:val="00AC308C"/>
    <w:rsid w:val="00AD0722"/>
    <w:rsid w:val="00AE2A3E"/>
    <w:rsid w:val="00AE2B7F"/>
    <w:rsid w:val="00AE389D"/>
    <w:rsid w:val="00AE429E"/>
    <w:rsid w:val="00AF2826"/>
    <w:rsid w:val="00AF5E53"/>
    <w:rsid w:val="00B06AC9"/>
    <w:rsid w:val="00B11305"/>
    <w:rsid w:val="00B13AC6"/>
    <w:rsid w:val="00B2708C"/>
    <w:rsid w:val="00B30326"/>
    <w:rsid w:val="00B30712"/>
    <w:rsid w:val="00B3364E"/>
    <w:rsid w:val="00B36FCA"/>
    <w:rsid w:val="00B40194"/>
    <w:rsid w:val="00B434C8"/>
    <w:rsid w:val="00B46E95"/>
    <w:rsid w:val="00B46EC4"/>
    <w:rsid w:val="00B5265C"/>
    <w:rsid w:val="00B53871"/>
    <w:rsid w:val="00B636AA"/>
    <w:rsid w:val="00B64D9E"/>
    <w:rsid w:val="00B654DF"/>
    <w:rsid w:val="00B662DF"/>
    <w:rsid w:val="00B711BB"/>
    <w:rsid w:val="00B71B7A"/>
    <w:rsid w:val="00B748A9"/>
    <w:rsid w:val="00B857BC"/>
    <w:rsid w:val="00B86CC7"/>
    <w:rsid w:val="00B874DD"/>
    <w:rsid w:val="00B87A1F"/>
    <w:rsid w:val="00B91827"/>
    <w:rsid w:val="00B93129"/>
    <w:rsid w:val="00B940C2"/>
    <w:rsid w:val="00B957B5"/>
    <w:rsid w:val="00B96148"/>
    <w:rsid w:val="00BA111A"/>
    <w:rsid w:val="00BA137F"/>
    <w:rsid w:val="00BB01C3"/>
    <w:rsid w:val="00BB08F6"/>
    <w:rsid w:val="00BB0945"/>
    <w:rsid w:val="00BB4B8E"/>
    <w:rsid w:val="00BB630E"/>
    <w:rsid w:val="00BC2698"/>
    <w:rsid w:val="00BC4CD6"/>
    <w:rsid w:val="00BC5A93"/>
    <w:rsid w:val="00BD28D0"/>
    <w:rsid w:val="00BD2EA7"/>
    <w:rsid w:val="00BD3660"/>
    <w:rsid w:val="00BD3F95"/>
    <w:rsid w:val="00BD71F2"/>
    <w:rsid w:val="00BE6CA0"/>
    <w:rsid w:val="00BE76A8"/>
    <w:rsid w:val="00C00542"/>
    <w:rsid w:val="00C01C7A"/>
    <w:rsid w:val="00C028F0"/>
    <w:rsid w:val="00C0713A"/>
    <w:rsid w:val="00C078E4"/>
    <w:rsid w:val="00C13691"/>
    <w:rsid w:val="00C2241F"/>
    <w:rsid w:val="00C34565"/>
    <w:rsid w:val="00C36C7F"/>
    <w:rsid w:val="00C37FF9"/>
    <w:rsid w:val="00C507C6"/>
    <w:rsid w:val="00C50C7C"/>
    <w:rsid w:val="00C50CAE"/>
    <w:rsid w:val="00C55F4C"/>
    <w:rsid w:val="00C627CA"/>
    <w:rsid w:val="00C7297B"/>
    <w:rsid w:val="00C76773"/>
    <w:rsid w:val="00C77DEF"/>
    <w:rsid w:val="00C80EC7"/>
    <w:rsid w:val="00C81019"/>
    <w:rsid w:val="00C813F6"/>
    <w:rsid w:val="00C817AA"/>
    <w:rsid w:val="00C81E7D"/>
    <w:rsid w:val="00C87282"/>
    <w:rsid w:val="00C91F45"/>
    <w:rsid w:val="00C9274F"/>
    <w:rsid w:val="00C94C44"/>
    <w:rsid w:val="00C96145"/>
    <w:rsid w:val="00C96609"/>
    <w:rsid w:val="00CA070A"/>
    <w:rsid w:val="00CA4AE9"/>
    <w:rsid w:val="00CA52E3"/>
    <w:rsid w:val="00CB5464"/>
    <w:rsid w:val="00CB5A22"/>
    <w:rsid w:val="00CC0F49"/>
    <w:rsid w:val="00CC2DBD"/>
    <w:rsid w:val="00CC42D5"/>
    <w:rsid w:val="00CC55AD"/>
    <w:rsid w:val="00CD109B"/>
    <w:rsid w:val="00CD6EA5"/>
    <w:rsid w:val="00CF000E"/>
    <w:rsid w:val="00CF0690"/>
    <w:rsid w:val="00D01841"/>
    <w:rsid w:val="00D025B9"/>
    <w:rsid w:val="00D04771"/>
    <w:rsid w:val="00D05B57"/>
    <w:rsid w:val="00D133CE"/>
    <w:rsid w:val="00D15CD6"/>
    <w:rsid w:val="00D23D0B"/>
    <w:rsid w:val="00D253C7"/>
    <w:rsid w:val="00D27006"/>
    <w:rsid w:val="00D27149"/>
    <w:rsid w:val="00D303E0"/>
    <w:rsid w:val="00D35015"/>
    <w:rsid w:val="00D36A05"/>
    <w:rsid w:val="00D415CA"/>
    <w:rsid w:val="00D50805"/>
    <w:rsid w:val="00D5090C"/>
    <w:rsid w:val="00D53310"/>
    <w:rsid w:val="00D5401E"/>
    <w:rsid w:val="00D55065"/>
    <w:rsid w:val="00D57D63"/>
    <w:rsid w:val="00D652CE"/>
    <w:rsid w:val="00D726D8"/>
    <w:rsid w:val="00D77F4E"/>
    <w:rsid w:val="00D812BE"/>
    <w:rsid w:val="00D83413"/>
    <w:rsid w:val="00D867ED"/>
    <w:rsid w:val="00D909E2"/>
    <w:rsid w:val="00D909F6"/>
    <w:rsid w:val="00DA6AE5"/>
    <w:rsid w:val="00DA6CD3"/>
    <w:rsid w:val="00DB1D17"/>
    <w:rsid w:val="00DB22B5"/>
    <w:rsid w:val="00DB6F05"/>
    <w:rsid w:val="00DC095E"/>
    <w:rsid w:val="00DC0CC5"/>
    <w:rsid w:val="00DC1920"/>
    <w:rsid w:val="00DC3F0A"/>
    <w:rsid w:val="00DD1D2B"/>
    <w:rsid w:val="00DD2F54"/>
    <w:rsid w:val="00DD6754"/>
    <w:rsid w:val="00DE012B"/>
    <w:rsid w:val="00DE42A3"/>
    <w:rsid w:val="00DF3908"/>
    <w:rsid w:val="00DF3D34"/>
    <w:rsid w:val="00E107EB"/>
    <w:rsid w:val="00E17CD2"/>
    <w:rsid w:val="00E207FA"/>
    <w:rsid w:val="00E20A1A"/>
    <w:rsid w:val="00E25697"/>
    <w:rsid w:val="00E257F7"/>
    <w:rsid w:val="00E310B4"/>
    <w:rsid w:val="00E32BDD"/>
    <w:rsid w:val="00E42743"/>
    <w:rsid w:val="00E4298E"/>
    <w:rsid w:val="00E43405"/>
    <w:rsid w:val="00E44E04"/>
    <w:rsid w:val="00E45892"/>
    <w:rsid w:val="00E46CA2"/>
    <w:rsid w:val="00E57059"/>
    <w:rsid w:val="00E579A6"/>
    <w:rsid w:val="00E60A73"/>
    <w:rsid w:val="00E623FF"/>
    <w:rsid w:val="00E64FE7"/>
    <w:rsid w:val="00E65724"/>
    <w:rsid w:val="00E66364"/>
    <w:rsid w:val="00E705A4"/>
    <w:rsid w:val="00E73FE2"/>
    <w:rsid w:val="00E74ADA"/>
    <w:rsid w:val="00E8050D"/>
    <w:rsid w:val="00E8582B"/>
    <w:rsid w:val="00E9376D"/>
    <w:rsid w:val="00E94971"/>
    <w:rsid w:val="00EA16FD"/>
    <w:rsid w:val="00EA5460"/>
    <w:rsid w:val="00EA5DF1"/>
    <w:rsid w:val="00EA79E7"/>
    <w:rsid w:val="00EB054B"/>
    <w:rsid w:val="00EB0780"/>
    <w:rsid w:val="00EB22DD"/>
    <w:rsid w:val="00EB65FA"/>
    <w:rsid w:val="00EB7727"/>
    <w:rsid w:val="00EB7751"/>
    <w:rsid w:val="00EC050A"/>
    <w:rsid w:val="00EC0A15"/>
    <w:rsid w:val="00EC5E67"/>
    <w:rsid w:val="00EC79E6"/>
    <w:rsid w:val="00ED24C3"/>
    <w:rsid w:val="00EE1297"/>
    <w:rsid w:val="00EE1390"/>
    <w:rsid w:val="00EE1621"/>
    <w:rsid w:val="00EE5B12"/>
    <w:rsid w:val="00EF06A0"/>
    <w:rsid w:val="00EF2B06"/>
    <w:rsid w:val="00EF4C34"/>
    <w:rsid w:val="00EF5014"/>
    <w:rsid w:val="00F0340F"/>
    <w:rsid w:val="00F050A1"/>
    <w:rsid w:val="00F07675"/>
    <w:rsid w:val="00F076AA"/>
    <w:rsid w:val="00F07784"/>
    <w:rsid w:val="00F11F89"/>
    <w:rsid w:val="00F15EC8"/>
    <w:rsid w:val="00F213DA"/>
    <w:rsid w:val="00F23A43"/>
    <w:rsid w:val="00F25D99"/>
    <w:rsid w:val="00F260DA"/>
    <w:rsid w:val="00F26E09"/>
    <w:rsid w:val="00F26E79"/>
    <w:rsid w:val="00F339D7"/>
    <w:rsid w:val="00F342AC"/>
    <w:rsid w:val="00F34728"/>
    <w:rsid w:val="00F35C90"/>
    <w:rsid w:val="00F405EF"/>
    <w:rsid w:val="00F409D9"/>
    <w:rsid w:val="00F41032"/>
    <w:rsid w:val="00F44A2A"/>
    <w:rsid w:val="00F4732C"/>
    <w:rsid w:val="00F503F1"/>
    <w:rsid w:val="00F51F4F"/>
    <w:rsid w:val="00F527F5"/>
    <w:rsid w:val="00F568EC"/>
    <w:rsid w:val="00F6370A"/>
    <w:rsid w:val="00F73F11"/>
    <w:rsid w:val="00F7535C"/>
    <w:rsid w:val="00F76EA8"/>
    <w:rsid w:val="00F82CAB"/>
    <w:rsid w:val="00F83D4D"/>
    <w:rsid w:val="00F85592"/>
    <w:rsid w:val="00F8712F"/>
    <w:rsid w:val="00F87FC7"/>
    <w:rsid w:val="00F92960"/>
    <w:rsid w:val="00F940BD"/>
    <w:rsid w:val="00FA1C16"/>
    <w:rsid w:val="00FA5203"/>
    <w:rsid w:val="00FA607A"/>
    <w:rsid w:val="00FA6589"/>
    <w:rsid w:val="00FA7146"/>
    <w:rsid w:val="00FB04C1"/>
    <w:rsid w:val="00FB36B0"/>
    <w:rsid w:val="00FB6C55"/>
    <w:rsid w:val="00FB70B0"/>
    <w:rsid w:val="00FC0CD1"/>
    <w:rsid w:val="00FC1C0D"/>
    <w:rsid w:val="00FC37B9"/>
    <w:rsid w:val="00FC4117"/>
    <w:rsid w:val="00FC4310"/>
    <w:rsid w:val="00FC4382"/>
    <w:rsid w:val="00FC48B5"/>
    <w:rsid w:val="00FC5C37"/>
    <w:rsid w:val="00FC7D11"/>
    <w:rsid w:val="00FD17EF"/>
    <w:rsid w:val="00FD2CC0"/>
    <w:rsid w:val="00FD4075"/>
    <w:rsid w:val="00FD480F"/>
    <w:rsid w:val="00FD4D36"/>
    <w:rsid w:val="00FE23FE"/>
    <w:rsid w:val="00FE2BBC"/>
    <w:rsid w:val="00FE2D36"/>
    <w:rsid w:val="00FE55F3"/>
    <w:rsid w:val="00FE6883"/>
    <w:rsid w:val="00FF2415"/>
    <w:rsid w:val="00FF35A1"/>
    <w:rsid w:val="00FF406A"/>
    <w:rsid w:val="00FF694A"/>
    <w:rsid w:val="00FF6FF8"/>
    <w:rsid w:val="00FF75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5794EB"/>
  <w14:defaultImageDpi w14:val="32767"/>
  <w15:docId w15:val="{4135AD0C-C1D1-524A-A817-E1722B601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1E63"/>
    <w:pPr>
      <w:keepNext/>
      <w:keepLines/>
      <w:spacing w:before="240"/>
      <w:outlineLvl w:val="0"/>
    </w:pPr>
    <w:rPr>
      <w:rFonts w:asciiTheme="majorBidi" w:eastAsiaTheme="majorEastAsia" w:hAnsiTheme="majorBidi" w:cstheme="majorBidi"/>
      <w:color w:val="000000" w:themeColor="text1"/>
      <w:sz w:val="28"/>
      <w:szCs w:val="32"/>
    </w:rPr>
  </w:style>
  <w:style w:type="paragraph" w:styleId="Heading2">
    <w:name w:val="heading 2"/>
    <w:basedOn w:val="Normal"/>
    <w:next w:val="Normal"/>
    <w:link w:val="Heading2Char"/>
    <w:uiPriority w:val="9"/>
    <w:unhideWhenUsed/>
    <w:qFormat/>
    <w:rsid w:val="00701E63"/>
    <w:pPr>
      <w:keepNext/>
      <w:keepLines/>
      <w:spacing w:before="40"/>
      <w:outlineLvl w:val="1"/>
    </w:pPr>
    <w:rPr>
      <w:rFonts w:asciiTheme="majorBidi" w:eastAsiaTheme="majorEastAsia" w:hAnsiTheme="majorBidi" w:cstheme="majorBidi"/>
      <w:i/>
      <w:color w:val="000000" w:themeColor="text1"/>
      <w:sz w:val="26"/>
      <w:szCs w:val="26"/>
    </w:rPr>
  </w:style>
  <w:style w:type="paragraph" w:styleId="Heading3">
    <w:name w:val="heading 3"/>
    <w:basedOn w:val="Normal"/>
    <w:next w:val="Normal"/>
    <w:link w:val="Heading3Char"/>
    <w:uiPriority w:val="9"/>
    <w:unhideWhenUsed/>
    <w:qFormat/>
    <w:rsid w:val="00E6636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E63"/>
    <w:rPr>
      <w:rFonts w:asciiTheme="majorBidi" w:eastAsiaTheme="majorEastAsia" w:hAnsiTheme="majorBidi" w:cstheme="majorBidi"/>
      <w:color w:val="000000" w:themeColor="text1"/>
      <w:sz w:val="28"/>
      <w:szCs w:val="32"/>
    </w:rPr>
  </w:style>
  <w:style w:type="character" w:customStyle="1" w:styleId="Heading2Char">
    <w:name w:val="Heading 2 Char"/>
    <w:basedOn w:val="DefaultParagraphFont"/>
    <w:link w:val="Heading2"/>
    <w:uiPriority w:val="9"/>
    <w:rsid w:val="00701E63"/>
    <w:rPr>
      <w:rFonts w:asciiTheme="majorBidi" w:eastAsiaTheme="majorEastAsia" w:hAnsiTheme="majorBidi" w:cstheme="majorBidi"/>
      <w:i/>
      <w:color w:val="000000" w:themeColor="text1"/>
      <w:sz w:val="26"/>
      <w:szCs w:val="26"/>
    </w:rPr>
  </w:style>
  <w:style w:type="paragraph" w:styleId="Title">
    <w:name w:val="Title"/>
    <w:basedOn w:val="Normal"/>
    <w:next w:val="Normal"/>
    <w:link w:val="TitleChar"/>
    <w:uiPriority w:val="10"/>
    <w:qFormat/>
    <w:rsid w:val="00702D37"/>
    <w:pPr>
      <w:contextualSpacing/>
    </w:pPr>
    <w:rPr>
      <w:rFonts w:asciiTheme="majorHAnsi" w:eastAsiaTheme="majorEastAsia" w:hAnsiTheme="majorHAnsi" w:cstheme="majorBidi"/>
      <w:spacing w:val="-10"/>
      <w:kern w:val="28"/>
      <w:sz w:val="32"/>
      <w:szCs w:val="56"/>
    </w:rPr>
  </w:style>
  <w:style w:type="character" w:customStyle="1" w:styleId="TitleChar">
    <w:name w:val="Title Char"/>
    <w:basedOn w:val="DefaultParagraphFont"/>
    <w:link w:val="Title"/>
    <w:uiPriority w:val="10"/>
    <w:rsid w:val="00702D37"/>
    <w:rPr>
      <w:rFonts w:asciiTheme="majorHAnsi" w:eastAsiaTheme="majorEastAsia" w:hAnsiTheme="majorHAnsi" w:cstheme="majorBidi"/>
      <w:spacing w:val="-10"/>
      <w:kern w:val="28"/>
      <w:sz w:val="32"/>
      <w:szCs w:val="56"/>
    </w:rPr>
  </w:style>
  <w:style w:type="paragraph" w:styleId="ListParagraph">
    <w:name w:val="List Paragraph"/>
    <w:basedOn w:val="Normal"/>
    <w:uiPriority w:val="34"/>
    <w:qFormat/>
    <w:rsid w:val="00D57D63"/>
    <w:pPr>
      <w:ind w:left="720"/>
      <w:contextualSpacing/>
    </w:pPr>
  </w:style>
  <w:style w:type="table" w:styleId="TableGrid">
    <w:name w:val="Table Grid"/>
    <w:basedOn w:val="TableNormal"/>
    <w:uiPriority w:val="39"/>
    <w:rsid w:val="00684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PlaceholderText">
    <w:name w:val="Placeholder Text"/>
    <w:basedOn w:val="DefaultParagraphFont"/>
    <w:uiPriority w:val="99"/>
    <w:semiHidden/>
    <w:rsid w:val="00793EE5"/>
    <w:rPr>
      <w:color w:val="808080"/>
    </w:rPr>
  </w:style>
  <w:style w:type="character" w:styleId="CommentReference">
    <w:name w:val="annotation reference"/>
    <w:basedOn w:val="DefaultParagraphFont"/>
    <w:uiPriority w:val="99"/>
    <w:semiHidden/>
    <w:unhideWhenUsed/>
    <w:rsid w:val="00452E7F"/>
    <w:rPr>
      <w:sz w:val="16"/>
      <w:szCs w:val="16"/>
    </w:rPr>
  </w:style>
  <w:style w:type="paragraph" w:styleId="CommentText">
    <w:name w:val="annotation text"/>
    <w:basedOn w:val="Normal"/>
    <w:link w:val="CommentTextChar"/>
    <w:uiPriority w:val="99"/>
    <w:unhideWhenUsed/>
    <w:rsid w:val="00452E7F"/>
    <w:rPr>
      <w:sz w:val="20"/>
      <w:szCs w:val="20"/>
    </w:rPr>
  </w:style>
  <w:style w:type="character" w:customStyle="1" w:styleId="CommentTextChar">
    <w:name w:val="Comment Text Char"/>
    <w:basedOn w:val="DefaultParagraphFont"/>
    <w:link w:val="CommentText"/>
    <w:uiPriority w:val="99"/>
    <w:rsid w:val="00452E7F"/>
    <w:rPr>
      <w:sz w:val="20"/>
      <w:szCs w:val="20"/>
    </w:rPr>
  </w:style>
  <w:style w:type="paragraph" w:styleId="BalloonText">
    <w:name w:val="Balloon Text"/>
    <w:basedOn w:val="Normal"/>
    <w:link w:val="BalloonTextChar"/>
    <w:uiPriority w:val="99"/>
    <w:semiHidden/>
    <w:unhideWhenUsed/>
    <w:rsid w:val="00452E7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2E7F"/>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37036C"/>
    <w:rPr>
      <w:b/>
      <w:bCs/>
    </w:rPr>
  </w:style>
  <w:style w:type="character" w:customStyle="1" w:styleId="CommentSubjectChar">
    <w:name w:val="Comment Subject Char"/>
    <w:basedOn w:val="CommentTextChar"/>
    <w:link w:val="CommentSubject"/>
    <w:uiPriority w:val="99"/>
    <w:semiHidden/>
    <w:rsid w:val="0037036C"/>
    <w:rPr>
      <w:b/>
      <w:bCs/>
      <w:sz w:val="20"/>
      <w:szCs w:val="20"/>
    </w:rPr>
  </w:style>
  <w:style w:type="paragraph" w:styleId="Revision">
    <w:name w:val="Revision"/>
    <w:hidden/>
    <w:uiPriority w:val="99"/>
    <w:semiHidden/>
    <w:rsid w:val="00AB5E0F"/>
  </w:style>
  <w:style w:type="paragraph" w:styleId="NoSpacing">
    <w:name w:val="No Spacing"/>
    <w:uiPriority w:val="1"/>
    <w:qFormat/>
    <w:rsid w:val="00E66364"/>
  </w:style>
  <w:style w:type="character" w:customStyle="1" w:styleId="Heading3Char">
    <w:name w:val="Heading 3 Char"/>
    <w:basedOn w:val="DefaultParagraphFont"/>
    <w:link w:val="Heading3"/>
    <w:uiPriority w:val="9"/>
    <w:rsid w:val="00E66364"/>
    <w:rPr>
      <w:rFonts w:asciiTheme="majorHAnsi" w:eastAsiaTheme="majorEastAsia" w:hAnsiTheme="majorHAnsi" w:cstheme="majorBidi"/>
      <w:color w:val="1F3763" w:themeColor="accent1" w:themeShade="7F"/>
    </w:rPr>
  </w:style>
  <w:style w:type="character" w:styleId="LineNumber">
    <w:name w:val="line number"/>
    <w:basedOn w:val="DefaultParagraphFont"/>
    <w:uiPriority w:val="99"/>
    <w:unhideWhenUsed/>
    <w:rsid w:val="00636B85"/>
    <w:rPr>
      <w:rFonts w:asciiTheme="majorBidi" w:hAnsiTheme="majorBidi"/>
      <w:sz w:val="24"/>
    </w:rPr>
  </w:style>
  <w:style w:type="paragraph" w:styleId="Footer">
    <w:name w:val="footer"/>
    <w:basedOn w:val="Normal"/>
    <w:link w:val="FooterChar"/>
    <w:uiPriority w:val="99"/>
    <w:unhideWhenUsed/>
    <w:rsid w:val="00026431"/>
    <w:pPr>
      <w:tabs>
        <w:tab w:val="center" w:pos="4680"/>
        <w:tab w:val="right" w:pos="9360"/>
      </w:tabs>
    </w:pPr>
  </w:style>
  <w:style w:type="character" w:customStyle="1" w:styleId="FooterChar">
    <w:name w:val="Footer Char"/>
    <w:basedOn w:val="DefaultParagraphFont"/>
    <w:link w:val="Footer"/>
    <w:uiPriority w:val="99"/>
    <w:rsid w:val="00026431"/>
  </w:style>
  <w:style w:type="character" w:styleId="PageNumber">
    <w:name w:val="page number"/>
    <w:basedOn w:val="DefaultParagraphFont"/>
    <w:uiPriority w:val="99"/>
    <w:semiHidden/>
    <w:unhideWhenUsed/>
    <w:rsid w:val="00701E63"/>
    <w:rPr>
      <w:rFonts w:asciiTheme="majorBidi" w:hAnsiTheme="majorBidi"/>
      <w:sz w:val="24"/>
    </w:rPr>
  </w:style>
  <w:style w:type="character" w:styleId="Hyperlink">
    <w:name w:val="Hyperlink"/>
    <w:basedOn w:val="DefaultParagraphFont"/>
    <w:uiPriority w:val="99"/>
    <w:unhideWhenUsed/>
    <w:rsid w:val="008B7F68"/>
    <w:rPr>
      <w:color w:val="0563C1" w:themeColor="hyperlink"/>
      <w:u w:val="single"/>
    </w:rPr>
  </w:style>
  <w:style w:type="character" w:customStyle="1" w:styleId="UnresolvedMention1">
    <w:name w:val="Unresolved Mention1"/>
    <w:basedOn w:val="DefaultParagraphFont"/>
    <w:uiPriority w:val="99"/>
    <w:rsid w:val="008B7F68"/>
    <w:rPr>
      <w:color w:val="605E5C"/>
      <w:shd w:val="clear" w:color="auto" w:fill="E1DFDD"/>
    </w:rPr>
  </w:style>
  <w:style w:type="paragraph" w:styleId="Header">
    <w:name w:val="header"/>
    <w:basedOn w:val="Normal"/>
    <w:link w:val="HeaderChar"/>
    <w:uiPriority w:val="99"/>
    <w:unhideWhenUsed/>
    <w:rsid w:val="000F248E"/>
    <w:pPr>
      <w:tabs>
        <w:tab w:val="center" w:pos="4680"/>
        <w:tab w:val="right" w:pos="9360"/>
      </w:tabs>
    </w:pPr>
  </w:style>
  <w:style w:type="character" w:customStyle="1" w:styleId="HeaderChar">
    <w:name w:val="Header Char"/>
    <w:basedOn w:val="DefaultParagraphFont"/>
    <w:link w:val="Header"/>
    <w:uiPriority w:val="99"/>
    <w:rsid w:val="000F248E"/>
  </w:style>
  <w:style w:type="character" w:styleId="UnresolvedMention">
    <w:name w:val="Unresolved Mention"/>
    <w:basedOn w:val="DefaultParagraphFont"/>
    <w:uiPriority w:val="99"/>
    <w:semiHidden/>
    <w:unhideWhenUsed/>
    <w:rsid w:val="002835BD"/>
    <w:rPr>
      <w:color w:val="605E5C"/>
      <w:shd w:val="clear" w:color="auto" w:fill="E1DFDD"/>
    </w:rPr>
  </w:style>
  <w:style w:type="character" w:styleId="FollowedHyperlink">
    <w:name w:val="FollowedHyperlink"/>
    <w:basedOn w:val="DefaultParagraphFont"/>
    <w:uiPriority w:val="99"/>
    <w:semiHidden/>
    <w:unhideWhenUsed/>
    <w:rsid w:val="002835BD"/>
    <w:rPr>
      <w:color w:val="954F72" w:themeColor="followedHyperlink"/>
      <w:u w:val="single"/>
    </w:rPr>
  </w:style>
  <w:style w:type="table" w:styleId="PlainTable2">
    <w:name w:val="Plain Table 2"/>
    <w:basedOn w:val="TableNormal"/>
    <w:uiPriority w:val="42"/>
    <w:rsid w:val="00781173"/>
    <w:tblPr>
      <w:tblStyleRowBandSize w:val="1"/>
      <w:tblStyleColBandSize w:val="1"/>
      <w:tblBorders>
        <w:top w:val="single" w:sz="4" w:space="0" w:color="7F7F7F" w:themeColor="text1" w:themeTint="80"/>
        <w:bottom w:val="single" w:sz="4" w:space="0" w:color="7F7F7F" w:themeColor="text1" w:themeTint="80"/>
      </w:tblBorders>
    </w:tblPr>
    <w:trPr>
      <w:hidden/>
    </w:trPr>
    <w:tblStylePr w:type="firstRow">
      <w:rPr>
        <w:b/>
        <w:bCs/>
      </w:rPr>
      <w:tblPr/>
      <w:trPr>
        <w:hidden/>
      </w:trPr>
      <w:tcPr>
        <w:tcBorders>
          <w:bottom w:val="single" w:sz="4" w:space="0" w:color="7F7F7F" w:themeColor="text1" w:themeTint="80"/>
        </w:tcBorders>
      </w:tcPr>
    </w:tblStylePr>
    <w:tblStylePr w:type="lastRow">
      <w:rPr>
        <w:b/>
        <w:bCs/>
      </w:rPr>
      <w:tblPr/>
      <w:trPr>
        <w:hidden/>
      </w:trPr>
      <w:tcPr>
        <w:tcBorders>
          <w:top w:val="single" w:sz="4" w:space="0" w:color="7F7F7F" w:themeColor="text1" w:themeTint="80"/>
        </w:tcBorders>
      </w:tcPr>
    </w:tblStylePr>
    <w:tblStylePr w:type="firstCol">
      <w:rPr>
        <w:b/>
        <w:bCs/>
      </w:rPr>
    </w:tblStylePr>
    <w:tblStylePr w:type="lastCol">
      <w:rPr>
        <w:b/>
        <w:bCs/>
      </w:rPr>
    </w:tblStylePr>
    <w:tblStylePr w:type="band1Vert">
      <w:tblPr/>
      <w:trPr>
        <w:hidden/>
      </w:trPr>
      <w:tcPr>
        <w:tcBorders>
          <w:left w:val="single" w:sz="4" w:space="0" w:color="7F7F7F" w:themeColor="text1" w:themeTint="80"/>
          <w:right w:val="single" w:sz="4" w:space="0" w:color="7F7F7F" w:themeColor="text1" w:themeTint="80"/>
        </w:tcBorders>
      </w:tcPr>
    </w:tblStylePr>
    <w:tblStylePr w:type="band2Vert">
      <w:tblPr/>
      <w:trPr>
        <w:hidden/>
      </w:trPr>
      <w:tcPr>
        <w:tcBorders>
          <w:left w:val="single" w:sz="4" w:space="0" w:color="7F7F7F" w:themeColor="text1" w:themeTint="80"/>
          <w:right w:val="single" w:sz="4" w:space="0" w:color="7F7F7F" w:themeColor="text1" w:themeTint="80"/>
        </w:tcBorders>
      </w:tcPr>
    </w:tblStylePr>
    <w:tblStylePr w:type="band1Horz">
      <w:tblPr/>
      <w:trPr>
        <w:hidden/>
      </w:tr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031471">
      <w:bodyDiv w:val="1"/>
      <w:marLeft w:val="0"/>
      <w:marRight w:val="0"/>
      <w:marTop w:val="0"/>
      <w:marBottom w:val="0"/>
      <w:divBdr>
        <w:top w:val="none" w:sz="0" w:space="0" w:color="auto"/>
        <w:left w:val="none" w:sz="0" w:space="0" w:color="auto"/>
        <w:bottom w:val="none" w:sz="0" w:space="0" w:color="auto"/>
        <w:right w:val="none" w:sz="0" w:space="0" w:color="auto"/>
      </w:divBdr>
    </w:div>
    <w:div w:id="1226184451">
      <w:bodyDiv w:val="1"/>
      <w:marLeft w:val="0"/>
      <w:marRight w:val="0"/>
      <w:marTop w:val="0"/>
      <w:marBottom w:val="0"/>
      <w:divBdr>
        <w:top w:val="none" w:sz="0" w:space="0" w:color="auto"/>
        <w:left w:val="none" w:sz="0" w:space="0" w:color="auto"/>
        <w:bottom w:val="none" w:sz="0" w:space="0" w:color="auto"/>
        <w:right w:val="none" w:sz="0" w:space="0" w:color="auto"/>
      </w:divBdr>
    </w:div>
    <w:div w:id="1801340333">
      <w:bodyDiv w:val="1"/>
      <w:marLeft w:val="0"/>
      <w:marRight w:val="0"/>
      <w:marTop w:val="0"/>
      <w:marBottom w:val="0"/>
      <w:divBdr>
        <w:top w:val="none" w:sz="0" w:space="0" w:color="auto"/>
        <w:left w:val="none" w:sz="0" w:space="0" w:color="auto"/>
        <w:bottom w:val="none" w:sz="0" w:space="0" w:color="auto"/>
        <w:right w:val="none" w:sz="0" w:space="0" w:color="auto"/>
      </w:divBdr>
    </w:div>
    <w:div w:id="191951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AA7B0-6F55-7443-A48A-7B3378E15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300</Words>
  <Characters>1712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Kerr</dc:creator>
  <cp:keywords/>
  <dc:description/>
  <cp:lastModifiedBy>NICOLE KATHRYN ZENES</cp:lastModifiedBy>
  <cp:revision>7</cp:revision>
  <cp:lastPrinted>2019-04-17T16:54:00Z</cp:lastPrinted>
  <dcterms:created xsi:type="dcterms:W3CDTF">2020-04-13T22:07:00Z</dcterms:created>
  <dcterms:modified xsi:type="dcterms:W3CDTF">2020-04-14T18:29:00Z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http://www.zotero.org/styles/ecology</vt:lpwstr>
  </property>
  <property fmtid="{D5CDD505-2E9C-101B-9397-08002B2CF9AE}" pid="11" name="Mendeley Recent Style Name 4_1">
    <vt:lpwstr>Ecology</vt:lpwstr>
  </property>
  <property fmtid="{D5CDD505-2E9C-101B-9397-08002B2CF9AE}" pid="12" name="Mendeley Recent Style Id 5_1">
    <vt:lpwstr>http://www.zotero.org/styles/journal-of-ecology</vt:lpwstr>
  </property>
  <property fmtid="{D5CDD505-2E9C-101B-9397-08002B2CF9AE}" pid="13" name="Mendeley Recent Style Name 5_1">
    <vt:lpwstr>Journal of Ecology</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http://www.zotero.org/styles/new-phytologist</vt:lpwstr>
  </property>
  <property fmtid="{D5CDD505-2E9C-101B-9397-08002B2CF9AE}" pid="17" name="Mendeley Recent Style Name 7_1">
    <vt:lpwstr>New Phytologist</vt:lpwstr>
  </property>
  <property fmtid="{D5CDD505-2E9C-101B-9397-08002B2CF9AE}" pid="18" name="Mendeley Recent Style Id 8_1">
    <vt:lpwstr>http://www.zotero.org/styles/plant-physiology</vt:lpwstr>
  </property>
  <property fmtid="{D5CDD505-2E9C-101B-9397-08002B2CF9AE}" pid="19" name="Mendeley Recent Style Name 8_1">
    <vt:lpwstr>Plant Physiology</vt:lpwstr>
  </property>
  <property fmtid="{D5CDD505-2E9C-101B-9397-08002B2CF9AE}" pid="20" name="Mendeley Recent Style Id 9_1">
    <vt:lpwstr>http://www.zotero.org/styles/tree-physiology</vt:lpwstr>
  </property>
  <property fmtid="{D5CDD505-2E9C-101B-9397-08002B2CF9AE}" pid="21" name="Mendeley Recent Style Name 9_1">
    <vt:lpwstr>Tree Physiology</vt:lpwstr>
  </property>
  <property fmtid="{D5CDD505-2E9C-101B-9397-08002B2CF9AE}" pid="22" name="Mendeley Document_1">
    <vt:lpwstr>True</vt:lpwstr>
  </property>
  <property fmtid="{D5CDD505-2E9C-101B-9397-08002B2CF9AE}" pid="23" name="Mendeley Unique User Id_1">
    <vt:lpwstr>87f71d71-1733-3987-a73c-4fe1a39ef40c</vt:lpwstr>
  </property>
  <property fmtid="{D5CDD505-2E9C-101B-9397-08002B2CF9AE}" pid="24" name="Mendeley Citation Style_1">
    <vt:lpwstr>http://www.zotero.org/styles/journal-of-ecology</vt:lpwstr>
  </property>
</Properties>
</file>