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2B8A" w14:textId="77777777" w:rsidR="00AA7738" w:rsidRPr="00A63989" w:rsidRDefault="00AA7738" w:rsidP="00A63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3989">
        <w:rPr>
          <w:rFonts w:ascii="Times New Roman" w:hAnsi="Times New Roman" w:cs="Times New Roman"/>
          <w:b/>
          <w:sz w:val="24"/>
          <w:szCs w:val="24"/>
          <w:lang w:val="en-US"/>
        </w:rPr>
        <w:t>SUPPLEMENT</w:t>
      </w:r>
    </w:p>
    <w:p w14:paraId="5DD18711" w14:textId="674CDEEF" w:rsidR="00965389" w:rsidRPr="007164E5" w:rsidRDefault="00965389" w:rsidP="007164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A63989">
        <w:rPr>
          <w:rFonts w:ascii="Times New Roman" w:hAnsi="Times New Roman" w:cs="Times New Roman"/>
          <w:b/>
          <w:sz w:val="24"/>
          <w:szCs w:val="24"/>
          <w:lang w:val="en-US"/>
        </w:rPr>
        <w:t>Supplement Figure 1.</w:t>
      </w:r>
      <w:r w:rsidRPr="00A63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98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63989">
        <w:rPr>
          <w:rFonts w:ascii="Times New Roman" w:hAnsi="Times New Roman" w:cs="Times New Roman"/>
          <w:sz w:val="24"/>
          <w:szCs w:val="24"/>
          <w:lang w:val="en-US"/>
        </w:rPr>
        <w:t xml:space="preserve">. Maximum likelihood phylogeny of </w:t>
      </w:r>
      <w:r w:rsidRPr="00A63989">
        <w:rPr>
          <w:rFonts w:ascii="Times New Roman" w:hAnsi="Times New Roman" w:cs="Times New Roman"/>
          <w:i/>
          <w:sz w:val="24"/>
          <w:szCs w:val="24"/>
          <w:lang w:val="en-US"/>
        </w:rPr>
        <w:t>Nothoceros</w:t>
      </w:r>
      <w:r w:rsidRPr="00A63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989">
        <w:rPr>
          <w:rFonts w:ascii="Times New Roman" w:hAnsi="Times New Roman" w:cs="Times New Roman"/>
          <w:i/>
          <w:sz w:val="24"/>
          <w:szCs w:val="24"/>
          <w:lang w:val="en-US"/>
        </w:rPr>
        <w:t>aenigmaticus</w:t>
      </w:r>
      <w:r w:rsidRPr="00A63989">
        <w:rPr>
          <w:rFonts w:ascii="Times New Roman" w:hAnsi="Times New Roman" w:cs="Times New Roman"/>
          <w:sz w:val="24"/>
          <w:szCs w:val="24"/>
          <w:lang w:val="en-US"/>
        </w:rPr>
        <w:t xml:space="preserve"> and outgroup taxa based on seven nuclear, plastid, and mitochondrial loci; ML bootstrap values (as circles on the branches). We highlighted </w:t>
      </w:r>
      <w:r w:rsidRPr="00A63989">
        <w:rPr>
          <w:rFonts w:ascii="Times New Roman" w:hAnsi="Times New Roman" w:cs="Times New Roman"/>
          <w:i/>
          <w:sz w:val="24"/>
          <w:szCs w:val="24"/>
          <w:lang w:val="en-US"/>
        </w:rPr>
        <w:t>Nothoceros aenigmaticus</w:t>
      </w:r>
      <w:r w:rsidRPr="00A63989">
        <w:rPr>
          <w:rFonts w:ascii="Times New Roman" w:hAnsi="Times New Roman" w:cs="Times New Roman"/>
          <w:sz w:val="24"/>
          <w:szCs w:val="24"/>
          <w:lang w:val="en-US"/>
        </w:rPr>
        <w:t xml:space="preserve"> from Paramos (in red) and </w:t>
      </w:r>
      <w:r w:rsidRPr="00A63989">
        <w:rPr>
          <w:rFonts w:ascii="Times New Roman" w:hAnsi="Times New Roman" w:cs="Times New Roman"/>
          <w:i/>
          <w:sz w:val="24"/>
          <w:szCs w:val="24"/>
          <w:lang w:val="en-US"/>
        </w:rPr>
        <w:t>Nothoceros aenigmaticus</w:t>
      </w:r>
      <w:r w:rsidRPr="00A63989">
        <w:rPr>
          <w:rFonts w:ascii="Times New Roman" w:hAnsi="Times New Roman" w:cs="Times New Roman"/>
          <w:sz w:val="24"/>
          <w:szCs w:val="24"/>
          <w:lang w:val="en-US"/>
        </w:rPr>
        <w:t xml:space="preserve"> from Mexico and the US (in green). </w:t>
      </w:r>
      <w:r w:rsidRPr="00A63989">
        <w:rPr>
          <w:rFonts w:ascii="Times New Roman" w:hAnsi="Times New Roman" w:cs="Times New Roman"/>
          <w:b/>
          <w:bCs/>
          <w:sz w:val="24"/>
          <w:szCs w:val="24"/>
          <w:lang w:val="en-US"/>
        </w:rPr>
        <w:t>B.</w:t>
      </w:r>
      <w:r w:rsidRPr="00A63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4E5">
        <w:rPr>
          <w:rFonts w:ascii="Times New Roman" w:hAnsi="Times New Roman" w:cs="Times New Roman"/>
          <w:i/>
          <w:sz w:val="24"/>
          <w:szCs w:val="24"/>
          <w:lang w:val="en-CA"/>
        </w:rPr>
        <w:t xml:space="preserve">Nothoceros </w:t>
      </w:r>
      <w:r w:rsidRPr="007164E5">
        <w:rPr>
          <w:rFonts w:ascii="Times New Roman" w:hAnsi="Times New Roman" w:cs="Times New Roman"/>
          <w:sz w:val="24"/>
          <w:szCs w:val="24"/>
          <w:lang w:val="en-CA"/>
        </w:rPr>
        <w:t>divergence dates (in M</w:t>
      </w:r>
      <w:r w:rsidR="00066B94">
        <w:rPr>
          <w:rFonts w:ascii="Times New Roman" w:hAnsi="Times New Roman" w:cs="Times New Roman"/>
          <w:sz w:val="24"/>
          <w:szCs w:val="24"/>
          <w:lang w:val="en-CA"/>
        </w:rPr>
        <w:t>y</w:t>
      </w:r>
      <w:r w:rsidRPr="007164E5">
        <w:rPr>
          <w:rFonts w:ascii="Times New Roman" w:hAnsi="Times New Roman" w:cs="Times New Roman"/>
          <w:sz w:val="24"/>
          <w:szCs w:val="24"/>
          <w:lang w:val="en-CA"/>
        </w:rPr>
        <w:t xml:space="preserve">a) using a secondary calibration (modeled using a uniform prior) for the crown group of the genus </w:t>
      </w:r>
      <w:r w:rsidRPr="007164E5">
        <w:rPr>
          <w:rFonts w:ascii="Times New Roman" w:hAnsi="Times New Roman" w:cs="Times New Roman"/>
          <w:i/>
          <w:sz w:val="24"/>
          <w:szCs w:val="24"/>
          <w:lang w:val="en-CA"/>
        </w:rPr>
        <w:t>Nothoceros</w:t>
      </w:r>
      <w:r w:rsidRPr="007164E5">
        <w:rPr>
          <w:rFonts w:ascii="Times New Roman" w:hAnsi="Times New Roman" w:cs="Times New Roman"/>
          <w:sz w:val="24"/>
          <w:szCs w:val="24"/>
          <w:lang w:val="en-CA"/>
        </w:rPr>
        <w:t xml:space="preserve"> and a </w:t>
      </w:r>
      <w:r w:rsidRPr="007164E5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birth death </w:t>
      </w:r>
      <w:r w:rsidRPr="007164E5">
        <w:rPr>
          <w:rFonts w:ascii="Times New Roman" w:hAnsi="Times New Roman" w:cs="Times New Roman"/>
          <w:sz w:val="24"/>
          <w:szCs w:val="24"/>
          <w:lang w:val="en-CA"/>
        </w:rPr>
        <w:t>tree</w:t>
      </w:r>
      <w:r w:rsidRPr="007164E5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prior. </w:t>
      </w:r>
      <w:r w:rsidRPr="007164E5">
        <w:rPr>
          <w:rFonts w:ascii="Times New Roman" w:hAnsi="Times New Roman" w:cs="Times New Roman"/>
          <w:sz w:val="24"/>
          <w:szCs w:val="24"/>
          <w:lang w:val="en-CA"/>
        </w:rPr>
        <w:t xml:space="preserve">We selected some clades to show the </w:t>
      </w:r>
      <w:r w:rsidRPr="00A63989">
        <w:rPr>
          <w:rFonts w:ascii="Times New Roman" w:hAnsi="Times New Roman" w:cs="Times New Roman"/>
          <w:sz w:val="24"/>
          <w:szCs w:val="24"/>
          <w:lang w:val="en-US"/>
        </w:rPr>
        <w:t>high posterior density (HPD, blue horizontal bars).</w:t>
      </w:r>
      <w:r w:rsidRPr="007164E5">
        <w:rPr>
          <w:rFonts w:ascii="Times New Roman" w:hAnsi="Times New Roman" w:cs="Times New Roman"/>
          <w:sz w:val="24"/>
          <w:szCs w:val="24"/>
          <w:lang w:val="en-CA"/>
        </w:rPr>
        <w:t xml:space="preserve">The chronogram shows the recent origin of </w:t>
      </w:r>
      <w:r w:rsidRPr="007164E5">
        <w:rPr>
          <w:rFonts w:ascii="Times New Roman" w:hAnsi="Times New Roman" w:cs="Times New Roman"/>
          <w:i/>
          <w:sz w:val="24"/>
          <w:szCs w:val="24"/>
          <w:lang w:val="en-CA"/>
        </w:rPr>
        <w:t>N. aenigmaticus</w:t>
      </w:r>
      <w:r w:rsidRPr="007164E5">
        <w:rPr>
          <w:rFonts w:ascii="Times New Roman" w:hAnsi="Times New Roman" w:cs="Times New Roman"/>
          <w:sz w:val="24"/>
          <w:szCs w:val="24"/>
          <w:lang w:val="en-CA"/>
        </w:rPr>
        <w:t xml:space="preserve"> from high elevation tropical habitats above 3,000 mts. (Paramos) (ca. 3-4 M</w:t>
      </w:r>
      <w:r w:rsidR="00066B94">
        <w:rPr>
          <w:rFonts w:ascii="Times New Roman" w:hAnsi="Times New Roman" w:cs="Times New Roman"/>
          <w:sz w:val="24"/>
          <w:szCs w:val="24"/>
          <w:lang w:val="en-CA"/>
        </w:rPr>
        <w:t>y</w:t>
      </w:r>
      <w:r w:rsidRPr="007164E5">
        <w:rPr>
          <w:rFonts w:ascii="Times New Roman" w:hAnsi="Times New Roman" w:cs="Times New Roman"/>
          <w:sz w:val="24"/>
          <w:szCs w:val="24"/>
          <w:lang w:val="en-CA"/>
        </w:rPr>
        <w:t xml:space="preserve">a on average, in red) and the US/Mexico </w:t>
      </w:r>
      <w:r w:rsidRPr="007164E5">
        <w:rPr>
          <w:rFonts w:ascii="Times New Roman" w:hAnsi="Times New Roman" w:cs="Times New Roman"/>
          <w:i/>
          <w:sz w:val="24"/>
          <w:szCs w:val="24"/>
          <w:lang w:val="en-CA"/>
        </w:rPr>
        <w:t>N. aenigmaticus</w:t>
      </w:r>
      <w:r w:rsidRPr="007164E5">
        <w:rPr>
          <w:rFonts w:ascii="Times New Roman" w:hAnsi="Times New Roman" w:cs="Times New Roman"/>
          <w:sz w:val="24"/>
          <w:szCs w:val="24"/>
          <w:lang w:val="en-CA"/>
        </w:rPr>
        <w:t xml:space="preserve"> (0.79-.88 M</w:t>
      </w:r>
      <w:r w:rsidR="00066B94">
        <w:rPr>
          <w:rFonts w:ascii="Times New Roman" w:hAnsi="Times New Roman" w:cs="Times New Roman"/>
          <w:sz w:val="24"/>
          <w:szCs w:val="24"/>
          <w:lang w:val="en-CA"/>
        </w:rPr>
        <w:t>y</w:t>
      </w:r>
      <w:r w:rsidRPr="007164E5">
        <w:rPr>
          <w:rFonts w:ascii="Times New Roman" w:hAnsi="Times New Roman" w:cs="Times New Roman"/>
          <w:sz w:val="24"/>
          <w:szCs w:val="24"/>
          <w:lang w:val="en-CA"/>
        </w:rPr>
        <w:t xml:space="preserve">a on average, in green). See also </w:t>
      </w:r>
      <w:r w:rsidRPr="007164E5">
        <w:rPr>
          <w:rFonts w:ascii="Times New Roman" w:hAnsi="Times New Roman" w:cs="Times New Roman"/>
          <w:sz w:val="24"/>
          <w:szCs w:val="24"/>
          <w:lang w:val="en-CA"/>
        </w:rPr>
        <w:softHyphen/>
      </w:r>
      <w:r w:rsidRPr="007164E5">
        <w:rPr>
          <w:rFonts w:ascii="Times New Roman" w:hAnsi="Times New Roman" w:cs="Times New Roman"/>
          <w:sz w:val="24"/>
          <w:szCs w:val="24"/>
          <w:lang w:val="en-CA"/>
        </w:rPr>
        <w:softHyphen/>
        <w:t>the inset graph of the HPD of the two clades. The nodes with &gt;0.95 of posterior probabilities are denoted by a red circle and the turquoise bar represents the formation of Andean paramos.</w:t>
      </w:r>
    </w:p>
    <w:p w14:paraId="5F8B9821" w14:textId="77777777" w:rsidR="007C4887" w:rsidRPr="00A63989" w:rsidRDefault="007C4887" w:rsidP="00A63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58160A" w14:textId="0192A2D4" w:rsidR="007C4887" w:rsidRPr="007164E5" w:rsidRDefault="00AA7738" w:rsidP="00716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639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 </w:t>
      </w:r>
      <w:r w:rsidR="007C4887" w:rsidRPr="007164E5"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 w:rsidRPr="007164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743595" w:rsidRPr="007164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7C4887" w:rsidRPr="007164E5">
        <w:rPr>
          <w:rFonts w:ascii="Times New Roman" w:hAnsi="Times New Roman" w:cs="Times New Roman"/>
          <w:sz w:val="24"/>
          <w:szCs w:val="24"/>
          <w:lang w:val="en-US"/>
        </w:rPr>
        <w:t xml:space="preserve">Chlorotype and mitotype diversity based on microsatellites of </w:t>
      </w:r>
      <w:r w:rsidR="007C4887" w:rsidRPr="007164E5">
        <w:rPr>
          <w:rFonts w:ascii="Times New Roman" w:hAnsi="Times New Roman" w:cs="Times New Roman"/>
          <w:i/>
          <w:sz w:val="24"/>
          <w:szCs w:val="24"/>
          <w:lang w:val="en-US"/>
        </w:rPr>
        <w:t>Nothoceros aenigmaticus</w:t>
      </w:r>
      <w:r w:rsidR="007C4887" w:rsidRPr="007164E5">
        <w:rPr>
          <w:rFonts w:ascii="Times New Roman" w:hAnsi="Times New Roman" w:cs="Times New Roman"/>
          <w:sz w:val="24"/>
          <w:szCs w:val="24"/>
          <w:lang w:val="en-US"/>
        </w:rPr>
        <w:t>. The pies above the diagonal line represent the mitotypes and below the line, the chlorotypes, pie</w:t>
      </w:r>
      <w:r w:rsidR="007C4887" w:rsidRPr="007164E5">
        <w:rPr>
          <w:rFonts w:ascii="Times New Roman" w:hAnsi="Times New Roman" w:cs="Times New Roman"/>
          <w:sz w:val="24"/>
          <w:szCs w:val="24"/>
          <w:lang w:val="en-GB"/>
        </w:rPr>
        <w:t xml:space="preserve"> charts were drawn using https://www.meta-chart.com. Watersheds sharing at least one chlorotype or mitotype are color-coded. The </w:t>
      </w:r>
      <w:r w:rsidR="006E5529" w:rsidRPr="007164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Pigeon and Little Pigeon River (blue oval); Balsam Mountain Preserve (blue oval); </w:t>
      </w:r>
      <w:r w:rsidR="006E5529" w:rsidRPr="007164E5">
        <w:rPr>
          <w:rFonts w:ascii="Times New Roman" w:hAnsi="Times New Roman" w:cs="Times New Roman"/>
          <w:sz w:val="24"/>
          <w:szCs w:val="24"/>
          <w:lang w:val="en-GB"/>
        </w:rPr>
        <w:t>Little Tennessee and</w:t>
      </w:r>
      <w:r w:rsidR="006E5529" w:rsidRPr="007164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Hiwassee River (reddish oval)</w:t>
      </w:r>
      <w:r w:rsidR="006E5529" w:rsidRPr="007164E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C4887" w:rsidRPr="007164E5">
        <w:rPr>
          <w:rFonts w:ascii="Times New Roman" w:hAnsi="Times New Roman" w:cs="Times New Roman"/>
          <w:color w:val="000000"/>
          <w:sz w:val="24"/>
          <w:szCs w:val="24"/>
          <w:lang w:val="en-GB"/>
        </w:rPr>
        <w:t>Ocoee and Coosa River (orange</w:t>
      </w:r>
      <w:r w:rsidR="006E5529" w:rsidRPr="007164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oval</w:t>
      </w:r>
      <w:r w:rsidR="007C4887" w:rsidRPr="00482E6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E5529" w:rsidRPr="00482E6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C4887" w:rsidRPr="00482E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2E6B" w:rsidRPr="00482E6B">
        <w:rPr>
          <w:rFonts w:ascii="Times New Roman" w:hAnsi="Times New Roman" w:cs="Times New Roman"/>
          <w:sz w:val="24"/>
          <w:szCs w:val="24"/>
          <w:lang w:val="en-GB"/>
        </w:rPr>
        <w:t xml:space="preserve">The two localities draining into the Coosa River are circled within the Ocoee/Coosa River cluster (orange oval). </w:t>
      </w:r>
      <w:r w:rsidR="007164E5" w:rsidRPr="00416414">
        <w:rPr>
          <w:rFonts w:ascii="Times New Roman" w:hAnsi="Times New Roman" w:cs="Times New Roman"/>
          <w:sz w:val="24"/>
          <w:szCs w:val="24"/>
          <w:lang w:val="en-GB"/>
        </w:rPr>
        <w:t xml:space="preserve">Black </w:t>
      </w:r>
      <w:r w:rsidR="00482E6B">
        <w:rPr>
          <w:rFonts w:ascii="Times New Roman" w:hAnsi="Times New Roman" w:cs="Times New Roman"/>
          <w:sz w:val="24"/>
          <w:szCs w:val="24"/>
          <w:lang w:val="en-GB"/>
        </w:rPr>
        <w:t>dots</w:t>
      </w:r>
      <w:r w:rsidR="007164E5" w:rsidRPr="00416414">
        <w:rPr>
          <w:rFonts w:ascii="Times New Roman" w:hAnsi="Times New Roman" w:cs="Times New Roman"/>
          <w:sz w:val="24"/>
          <w:szCs w:val="24"/>
          <w:lang w:val="en-GB"/>
        </w:rPr>
        <w:t xml:space="preserve"> represent sampling sites for female plants and blue </w:t>
      </w:r>
      <w:r w:rsidR="00482E6B">
        <w:rPr>
          <w:rFonts w:ascii="Times New Roman" w:hAnsi="Times New Roman" w:cs="Times New Roman"/>
          <w:sz w:val="24"/>
          <w:szCs w:val="24"/>
          <w:lang w:val="en-GB"/>
        </w:rPr>
        <w:t>dots</w:t>
      </w:r>
      <w:r w:rsidR="007164E5" w:rsidRPr="00416414">
        <w:rPr>
          <w:rFonts w:ascii="Times New Roman" w:hAnsi="Times New Roman" w:cs="Times New Roman"/>
          <w:sz w:val="24"/>
          <w:szCs w:val="24"/>
          <w:lang w:val="en-GB"/>
        </w:rPr>
        <w:t xml:space="preserve"> for male plants. </w:t>
      </w:r>
      <w:r w:rsidR="007C4887" w:rsidRPr="007164E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E5529" w:rsidRPr="00416414">
        <w:rPr>
          <w:rFonts w:ascii="Times New Roman" w:hAnsi="Times New Roman" w:cs="Times New Roman"/>
          <w:sz w:val="24"/>
          <w:szCs w:val="24"/>
          <w:lang w:val="en-GB"/>
        </w:rPr>
        <w:t xml:space="preserve">Little Pigeon (9), </w:t>
      </w:r>
      <w:r w:rsidR="007C4887" w:rsidRPr="00416414">
        <w:rPr>
          <w:rFonts w:ascii="Times New Roman" w:hAnsi="Times New Roman" w:cs="Times New Roman"/>
          <w:sz w:val="24"/>
          <w:szCs w:val="24"/>
          <w:lang w:val="en-GB"/>
        </w:rPr>
        <w:t>Little TN (7)</w:t>
      </w:r>
      <w:r w:rsidR="006E5529" w:rsidRPr="004164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4887" w:rsidRPr="00416414">
        <w:rPr>
          <w:rFonts w:ascii="Times New Roman" w:hAnsi="Times New Roman" w:cs="Times New Roman"/>
          <w:sz w:val="24"/>
          <w:szCs w:val="24"/>
          <w:lang w:val="en-GB"/>
        </w:rPr>
        <w:t>and Ocoee Rivers (6) show the highest number of mitotypes amongst</w:t>
      </w:r>
      <w:r w:rsidR="007C4887" w:rsidRPr="007164E5">
        <w:rPr>
          <w:rFonts w:ascii="Times New Roman" w:hAnsi="Times New Roman" w:cs="Times New Roman"/>
          <w:sz w:val="24"/>
          <w:szCs w:val="24"/>
          <w:lang w:val="en-GB"/>
        </w:rPr>
        <w:t xml:space="preserve"> Southern Appalachian populations. </w:t>
      </w:r>
    </w:p>
    <w:p w14:paraId="13522E44" w14:textId="77777777" w:rsidR="007C4887" w:rsidRPr="007164E5" w:rsidRDefault="007C4887" w:rsidP="00341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BBD3883" w14:textId="65254DB6" w:rsidR="00052520" w:rsidRPr="00052520" w:rsidRDefault="00052520" w:rsidP="0034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0EF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 Figure 3.</w:t>
      </w:r>
      <w:r w:rsidRPr="00052520">
        <w:rPr>
          <w:rFonts w:ascii="Times New Roman" w:hAnsi="Times New Roman" w:cs="Times New Roman"/>
          <w:sz w:val="24"/>
          <w:szCs w:val="24"/>
          <w:lang w:val="en-US"/>
        </w:rPr>
        <w:t xml:space="preserve"> Spatial genetic structure correlograms of </w:t>
      </w:r>
      <w:r w:rsidRPr="00052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Nothoceros aenigmaticus </w:t>
      </w:r>
      <w:r w:rsidRPr="00052520">
        <w:rPr>
          <w:rFonts w:ascii="Times New Roman" w:hAnsi="Times New Roman" w:cs="Times New Roman"/>
          <w:sz w:val="24"/>
          <w:szCs w:val="24"/>
          <w:lang w:val="en-US"/>
        </w:rPr>
        <w:t>from US for contiguous watersheds (LPR and PR, LTNR and HR, ONR and CR) at ramets and genets’ level. Graphs show mean kinship coefficient (F</w:t>
      </w:r>
      <w:r w:rsidRPr="003410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r w:rsidRPr="00052520">
        <w:rPr>
          <w:rFonts w:ascii="Times New Roman" w:hAnsi="Times New Roman" w:cs="Times New Roman"/>
          <w:sz w:val="24"/>
          <w:szCs w:val="24"/>
          <w:lang w:val="en-US"/>
        </w:rPr>
        <w:t xml:space="preserve">) between pairs of ramets or genets over </w:t>
      </w:r>
      <w:r>
        <w:rPr>
          <w:rFonts w:ascii="Times New Roman" w:hAnsi="Times New Roman" w:cs="Times New Roman"/>
          <w:sz w:val="24"/>
          <w:szCs w:val="24"/>
          <w:lang w:val="en-US"/>
        </w:rPr>
        <w:t>eight</w:t>
      </w:r>
      <w:r w:rsidRPr="00052520">
        <w:rPr>
          <w:rFonts w:ascii="Times New Roman" w:hAnsi="Times New Roman" w:cs="Times New Roman"/>
          <w:sz w:val="24"/>
          <w:szCs w:val="24"/>
          <w:lang w:val="en-US"/>
        </w:rPr>
        <w:t xml:space="preserve"> distance classes.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52520">
        <w:rPr>
          <w:rFonts w:ascii="Times New Roman" w:hAnsi="Times New Roman" w:cs="Times New Roman"/>
          <w:sz w:val="24"/>
          <w:szCs w:val="24"/>
          <w:lang w:val="en-GB"/>
        </w:rPr>
        <w:t>95%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52520">
        <w:rPr>
          <w:rFonts w:ascii="Times New Roman" w:hAnsi="Times New Roman" w:cs="Times New Roman"/>
          <w:sz w:val="24"/>
          <w:szCs w:val="24"/>
          <w:lang w:val="en-GB"/>
        </w:rPr>
        <w:t>CI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525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show </w:t>
      </w:r>
      <w:r w:rsidRPr="00052520">
        <w:rPr>
          <w:rFonts w:ascii="Times New Roman" w:hAnsi="Times New Roman" w:cs="Times New Roman"/>
          <w:sz w:val="24"/>
          <w:szCs w:val="24"/>
          <w:lang w:val="en-GB"/>
        </w:rPr>
        <w:t>the lower and the upper 95% confidence interval values.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52520">
        <w:rPr>
          <w:rFonts w:ascii="Times New Roman" w:hAnsi="Times New Roman" w:cs="Times New Roman"/>
          <w:sz w:val="24"/>
          <w:szCs w:val="24"/>
          <w:lang w:val="en-GB"/>
        </w:rPr>
        <w:t>Populations and sex: PR (Pigeon River, males), LPR (Little Pigeon River, males), LTNR (Little TN River, females), HR (Hiwassee River, females), OC (Ocoee River, females), CR (Coosa River, females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5252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2C595C2" w14:textId="77777777" w:rsidR="00AA7738" w:rsidRPr="003410EF" w:rsidRDefault="00AA7738" w:rsidP="0034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A7738" w:rsidRPr="00341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12E53" w14:textId="77777777" w:rsidR="00651836" w:rsidRDefault="00651836" w:rsidP="006E5529">
      <w:pPr>
        <w:spacing w:after="0" w:line="240" w:lineRule="auto"/>
      </w:pPr>
      <w:r>
        <w:separator/>
      </w:r>
    </w:p>
  </w:endnote>
  <w:endnote w:type="continuationSeparator" w:id="0">
    <w:p w14:paraId="1E93004B" w14:textId="77777777" w:rsidR="00651836" w:rsidRDefault="00651836" w:rsidP="006E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7B6DF" w14:textId="77777777" w:rsidR="00651836" w:rsidRDefault="00651836" w:rsidP="006E5529">
      <w:pPr>
        <w:spacing w:after="0" w:line="240" w:lineRule="auto"/>
      </w:pPr>
      <w:r>
        <w:separator/>
      </w:r>
    </w:p>
  </w:footnote>
  <w:footnote w:type="continuationSeparator" w:id="0">
    <w:p w14:paraId="7D3B6F3D" w14:textId="77777777" w:rsidR="00651836" w:rsidRDefault="00651836" w:rsidP="006E5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7A39"/>
    <w:multiLevelType w:val="hybridMultilevel"/>
    <w:tmpl w:val="49BACE34"/>
    <w:lvl w:ilvl="0" w:tplc="4E6E5C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A16343"/>
    <w:multiLevelType w:val="hybridMultilevel"/>
    <w:tmpl w:val="6CD8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F4B61"/>
    <w:multiLevelType w:val="hybridMultilevel"/>
    <w:tmpl w:val="6CD8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2E3"/>
    <w:rsid w:val="00001AB7"/>
    <w:rsid w:val="00052520"/>
    <w:rsid w:val="000611F4"/>
    <w:rsid w:val="00066B94"/>
    <w:rsid w:val="0006740B"/>
    <w:rsid w:val="000A6A15"/>
    <w:rsid w:val="000C4D4E"/>
    <w:rsid w:val="001227FB"/>
    <w:rsid w:val="001446FF"/>
    <w:rsid w:val="001C3C62"/>
    <w:rsid w:val="001D00FD"/>
    <w:rsid w:val="001D4002"/>
    <w:rsid w:val="00224726"/>
    <w:rsid w:val="0022778E"/>
    <w:rsid w:val="00244952"/>
    <w:rsid w:val="002741D5"/>
    <w:rsid w:val="002A6468"/>
    <w:rsid w:val="002B1B59"/>
    <w:rsid w:val="002E72F5"/>
    <w:rsid w:val="00314E94"/>
    <w:rsid w:val="00336FA1"/>
    <w:rsid w:val="003410EF"/>
    <w:rsid w:val="003537FD"/>
    <w:rsid w:val="003650A2"/>
    <w:rsid w:val="00391254"/>
    <w:rsid w:val="0039549C"/>
    <w:rsid w:val="003C01DD"/>
    <w:rsid w:val="00404A19"/>
    <w:rsid w:val="00416414"/>
    <w:rsid w:val="00440205"/>
    <w:rsid w:val="00451EB2"/>
    <w:rsid w:val="00482E6B"/>
    <w:rsid w:val="004F279D"/>
    <w:rsid w:val="004F52BF"/>
    <w:rsid w:val="005D1F26"/>
    <w:rsid w:val="005F13E3"/>
    <w:rsid w:val="00613254"/>
    <w:rsid w:val="00651836"/>
    <w:rsid w:val="00672896"/>
    <w:rsid w:val="006A38E1"/>
    <w:rsid w:val="006B79CE"/>
    <w:rsid w:val="006E5529"/>
    <w:rsid w:val="006E7D07"/>
    <w:rsid w:val="007164E5"/>
    <w:rsid w:val="00740D28"/>
    <w:rsid w:val="00743595"/>
    <w:rsid w:val="00784743"/>
    <w:rsid w:val="007B73E2"/>
    <w:rsid w:val="007C4887"/>
    <w:rsid w:val="00813F30"/>
    <w:rsid w:val="00831877"/>
    <w:rsid w:val="00833516"/>
    <w:rsid w:val="008468A7"/>
    <w:rsid w:val="00867906"/>
    <w:rsid w:val="008C2580"/>
    <w:rsid w:val="008E37A0"/>
    <w:rsid w:val="008F3421"/>
    <w:rsid w:val="008F429B"/>
    <w:rsid w:val="009335C7"/>
    <w:rsid w:val="00942BBF"/>
    <w:rsid w:val="00965389"/>
    <w:rsid w:val="00975CB5"/>
    <w:rsid w:val="00992D2C"/>
    <w:rsid w:val="00994B43"/>
    <w:rsid w:val="009A149C"/>
    <w:rsid w:val="009B1691"/>
    <w:rsid w:val="009F01E7"/>
    <w:rsid w:val="00A163CB"/>
    <w:rsid w:val="00A24E2F"/>
    <w:rsid w:val="00A63989"/>
    <w:rsid w:val="00AA7738"/>
    <w:rsid w:val="00AE1027"/>
    <w:rsid w:val="00AF35DA"/>
    <w:rsid w:val="00B03612"/>
    <w:rsid w:val="00B25F67"/>
    <w:rsid w:val="00BE1EE1"/>
    <w:rsid w:val="00BE4DDB"/>
    <w:rsid w:val="00C00CE1"/>
    <w:rsid w:val="00C76F50"/>
    <w:rsid w:val="00C94347"/>
    <w:rsid w:val="00CC2F72"/>
    <w:rsid w:val="00D1035E"/>
    <w:rsid w:val="00D12CFC"/>
    <w:rsid w:val="00D37DEB"/>
    <w:rsid w:val="00D46643"/>
    <w:rsid w:val="00D978FE"/>
    <w:rsid w:val="00DA304A"/>
    <w:rsid w:val="00DC518C"/>
    <w:rsid w:val="00E1447E"/>
    <w:rsid w:val="00E73DD6"/>
    <w:rsid w:val="00E9139B"/>
    <w:rsid w:val="00EC537B"/>
    <w:rsid w:val="00F26FBE"/>
    <w:rsid w:val="00F63B19"/>
    <w:rsid w:val="00F705A8"/>
    <w:rsid w:val="00F762E3"/>
    <w:rsid w:val="00FB4671"/>
    <w:rsid w:val="00F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85F9"/>
  <w15:docId w15:val="{45DAF9B4-9E84-48A7-9F61-E2AED837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F0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01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0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0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01E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1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E55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529"/>
  </w:style>
  <w:style w:type="paragraph" w:styleId="Pieddepage">
    <w:name w:val="footer"/>
    <w:basedOn w:val="Normal"/>
    <w:link w:val="PieddepageCar"/>
    <w:uiPriority w:val="99"/>
    <w:unhideWhenUsed/>
    <w:rsid w:val="006E55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Alonso García</dc:creator>
  <cp:keywords/>
  <dc:description/>
  <cp:lastModifiedBy>Marta Alonso García</cp:lastModifiedBy>
  <cp:revision>67</cp:revision>
  <dcterms:created xsi:type="dcterms:W3CDTF">2019-05-20T02:04:00Z</dcterms:created>
  <dcterms:modified xsi:type="dcterms:W3CDTF">2020-04-15T00:30:00Z</dcterms:modified>
</cp:coreProperties>
</file>