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5A5DF80C" w:rsidR="00654E8F" w:rsidRPr="001549D3" w:rsidRDefault="00654E8F" w:rsidP="0001436A">
      <w:pPr>
        <w:pStyle w:val="SupplementaryMaterial"/>
        <w:rPr>
          <w:b w:val="0"/>
        </w:rPr>
      </w:pPr>
      <w:r w:rsidRPr="001549D3">
        <w:t>Supplementary Material</w:t>
      </w:r>
      <w:r w:rsidR="004E3967">
        <w:t>s</w:t>
      </w:r>
    </w:p>
    <w:p w14:paraId="00E9BE9B" w14:textId="3D0269EC" w:rsidR="004465D5" w:rsidRPr="00884D96" w:rsidRDefault="00C77EB9" w:rsidP="004465D5">
      <w:pPr>
        <w:pStyle w:val="Titre"/>
      </w:pPr>
      <w:bookmarkStart w:id="0" w:name="_Hlk531768197"/>
      <w:r>
        <w:t>Eliciting ERP Components for Morphosyntactic Agreement Mismatches in Perfectly Grammatical Sentences</w:t>
      </w:r>
    </w:p>
    <w:bookmarkEnd w:id="0"/>
    <w:p w14:paraId="08AC6D35" w14:textId="11D3C993" w:rsidR="00740CC9" w:rsidRPr="002F4BD2" w:rsidRDefault="00740CC9" w:rsidP="00740CC9">
      <w:pPr>
        <w:pStyle w:val="AuthorList"/>
        <w:rPr>
          <w:lang w:val="fr-CA"/>
        </w:rPr>
      </w:pPr>
      <w:r w:rsidRPr="00564F17">
        <w:rPr>
          <w:lang w:val="fr-CA"/>
        </w:rPr>
        <w:t xml:space="preserve">Émilie Courteau, Lisa Martignetti, </w:t>
      </w:r>
      <w:r>
        <w:rPr>
          <w:lang w:val="fr-CA"/>
        </w:rPr>
        <w:t>Phaedra Royle</w:t>
      </w:r>
      <w:r w:rsidR="004465D5">
        <w:rPr>
          <w:lang w:val="fr-CA"/>
        </w:rPr>
        <w:t xml:space="preserve">, </w:t>
      </w:r>
      <w:r w:rsidR="004465D5" w:rsidRPr="00564F17">
        <w:rPr>
          <w:lang w:val="fr-CA"/>
        </w:rPr>
        <w:t>Karsten Steinhauer</w:t>
      </w:r>
      <w:r w:rsidR="004465D5">
        <w:rPr>
          <w:lang w:val="fr-CA"/>
        </w:rPr>
        <w:t>*</w:t>
      </w:r>
      <w:r w:rsidR="004465D5" w:rsidRPr="00564F17">
        <w:rPr>
          <w:vertAlign w:val="superscript"/>
          <w:lang w:val="fr-CA"/>
        </w:rPr>
        <w:t xml:space="preserve"> </w:t>
      </w:r>
      <w:r>
        <w:rPr>
          <w:vertAlign w:val="superscript"/>
          <w:lang w:val="fr-CA"/>
        </w:rPr>
        <w:t xml:space="preserve"> </w:t>
      </w:r>
    </w:p>
    <w:p w14:paraId="0C8DED4F" w14:textId="3D7F999B" w:rsidR="002868E2" w:rsidRPr="006167A9" w:rsidRDefault="002868E2" w:rsidP="00994A3D">
      <w:pPr>
        <w:spacing w:before="240" w:after="0"/>
        <w:rPr>
          <w:rFonts w:cs="Times New Roman"/>
          <w:lang w:val="fr-FR"/>
        </w:rPr>
      </w:pPr>
      <w:r w:rsidRPr="006167A9">
        <w:rPr>
          <w:rFonts w:cs="Times New Roman"/>
          <w:b/>
          <w:lang w:val="fr-FR"/>
        </w:rPr>
        <w:t xml:space="preserve">* </w:t>
      </w:r>
      <w:proofErr w:type="gramStart"/>
      <w:r w:rsidRPr="00FB6454">
        <w:rPr>
          <w:rFonts w:cs="Times New Roman"/>
          <w:b/>
          <w:lang w:val="en-CA"/>
        </w:rPr>
        <w:t>Correspondence:</w:t>
      </w:r>
      <w:proofErr w:type="gramEnd"/>
      <w:r w:rsidRPr="00FB6454">
        <w:rPr>
          <w:rFonts w:cs="Times New Roman"/>
          <w:b/>
          <w:lang w:val="en-CA"/>
        </w:rPr>
        <w:t xml:space="preserve"> </w:t>
      </w:r>
      <w:r w:rsidRPr="00FB6454">
        <w:rPr>
          <w:rFonts w:cs="Times New Roman"/>
          <w:lang w:val="en-CA"/>
        </w:rPr>
        <w:t>Corresponding Author</w:t>
      </w:r>
      <w:r w:rsidR="00994A3D" w:rsidRPr="006167A9">
        <w:rPr>
          <w:rFonts w:cs="Times New Roman"/>
          <w:lang w:val="fr-FR"/>
        </w:rPr>
        <w:t xml:space="preserve">: </w:t>
      </w:r>
      <w:r w:rsidR="00CD29FD" w:rsidRPr="006167A9">
        <w:rPr>
          <w:rStyle w:val="Lienhypertexte"/>
          <w:rFonts w:cs="Times New Roman"/>
          <w:szCs w:val="24"/>
          <w:lang w:val="fr-FR"/>
        </w:rPr>
        <w:t>Karsten.Steinhauer@mcgill.ca</w:t>
      </w:r>
      <w:r w:rsidR="00CD29FD" w:rsidRPr="006167A9">
        <w:rPr>
          <w:rFonts w:cs="Times New Roman"/>
          <w:lang w:val="fr-FR"/>
        </w:rPr>
        <w:t xml:space="preserve"> </w:t>
      </w:r>
    </w:p>
    <w:p w14:paraId="3BD5A427" w14:textId="77777777" w:rsidR="00EA3D3C" w:rsidRPr="00994A3D" w:rsidRDefault="00654E8F" w:rsidP="0001436A">
      <w:pPr>
        <w:pStyle w:val="Titre1"/>
      </w:pPr>
      <w:r w:rsidRPr="00994A3D">
        <w:t>Supplementary Data</w:t>
      </w:r>
    </w:p>
    <w:p w14:paraId="1A6FC2A1" w14:textId="7839B6BD" w:rsidR="0084006B" w:rsidRPr="002B23DC" w:rsidRDefault="0084006B" w:rsidP="00302A58">
      <w:pPr>
        <w:rPr>
          <w:rStyle w:val="Titre2Car"/>
          <w:rFonts w:eastAsiaTheme="minorHAnsi"/>
          <w:b w:val="0"/>
          <w:szCs w:val="22"/>
        </w:rPr>
      </w:pPr>
      <w:r w:rsidRPr="00DF3F9B">
        <w:rPr>
          <w:rStyle w:val="Titre1Car"/>
        </w:rPr>
        <w:t>Sentence structures</w:t>
      </w:r>
      <w:r>
        <w:t xml:space="preserve">: </w:t>
      </w:r>
      <w:r w:rsidRPr="00DF3F9B">
        <w:t xml:space="preserve">180 French verbs acquired before the age of 8 years were selected from the </w:t>
      </w:r>
      <w:proofErr w:type="spellStart"/>
      <w:r w:rsidRPr="00DF3F9B">
        <w:t>Manulex</w:t>
      </w:r>
      <w:proofErr w:type="spellEnd"/>
      <w:r w:rsidRPr="00DF3F9B">
        <w:t xml:space="preserve"> database (</w:t>
      </w:r>
      <w:proofErr w:type="spellStart"/>
      <w:r w:rsidRPr="00DF3F9B">
        <w:t>Lété</w:t>
      </w:r>
      <w:proofErr w:type="spellEnd"/>
      <w:r w:rsidRPr="00DF3F9B">
        <w:t>, Sprenger-</w:t>
      </w:r>
      <w:proofErr w:type="spellStart"/>
      <w:r w:rsidRPr="00DF3F9B">
        <w:t>Charolles</w:t>
      </w:r>
      <w:proofErr w:type="spellEnd"/>
      <w:r w:rsidRPr="00DF3F9B">
        <w:t xml:space="preserve">, &amp; </w:t>
      </w:r>
      <w:proofErr w:type="spellStart"/>
      <w:r w:rsidRPr="00DF3F9B">
        <w:t>Colé</w:t>
      </w:r>
      <w:proofErr w:type="spellEnd"/>
      <w:r w:rsidRPr="00DF3F9B">
        <w:t xml:space="preserve">, 2004). Both </w:t>
      </w:r>
      <w:proofErr w:type="spellStart"/>
      <w:r w:rsidRPr="00DF3F9B">
        <w:t>Manulex</w:t>
      </w:r>
      <w:proofErr w:type="spellEnd"/>
      <w:r w:rsidRPr="00DF3F9B">
        <w:t xml:space="preserve"> and </w:t>
      </w:r>
      <w:proofErr w:type="spellStart"/>
      <w:r w:rsidRPr="00DF3F9B">
        <w:t>Lexique</w:t>
      </w:r>
      <w:proofErr w:type="spellEnd"/>
      <w:r w:rsidRPr="00DF3F9B">
        <w:t xml:space="preserve"> (New, Pallier, Ferrand, &amp; Matos, 2001) were consulted to provide oral language frequency norms for selected items, since the experiment will ultimately be used with children. </w:t>
      </w:r>
      <w:r w:rsidR="002B23DC" w:rsidRPr="009E42FD">
        <w:rPr>
          <w:rFonts w:cs="Times New Roman"/>
        </w:rPr>
        <w:t>Of the 180 verbs selected, one third were intransitive and were followed by a prepositional phrase (PP) (e.g., </w:t>
      </w:r>
      <w:r w:rsidR="002B23DC" w:rsidRPr="009E42FD">
        <w:rPr>
          <w:rFonts w:cs="Times New Roman"/>
          <w:i/>
        </w:rPr>
        <w:t xml:space="preserve">Le </w:t>
      </w:r>
      <w:r w:rsidR="006167A9">
        <w:rPr>
          <w:rFonts w:cs="Times New Roman"/>
          <w:i/>
        </w:rPr>
        <w:t>lion</w:t>
      </w:r>
      <w:r w:rsidR="002B23DC" w:rsidRPr="009E42FD">
        <w:rPr>
          <w:rFonts w:cs="Times New Roman"/>
          <w:i/>
        </w:rPr>
        <w:t xml:space="preserve">, </w:t>
      </w:r>
      <w:proofErr w:type="spellStart"/>
      <w:r w:rsidR="002B23DC" w:rsidRPr="009E42FD">
        <w:rPr>
          <w:rFonts w:cs="Times New Roman"/>
          <w:i/>
        </w:rPr>
        <w:t>il</w:t>
      </w:r>
      <w:proofErr w:type="spellEnd"/>
      <w:r w:rsidR="002B23DC" w:rsidRPr="009E42FD">
        <w:rPr>
          <w:rFonts w:cs="Times New Roman"/>
          <w:i/>
        </w:rPr>
        <w:t xml:space="preserve"> </w:t>
      </w:r>
      <w:proofErr w:type="spellStart"/>
      <w:r w:rsidR="006167A9">
        <w:rPr>
          <w:rFonts w:cs="Times New Roman"/>
          <w:i/>
        </w:rPr>
        <w:t>rugit</w:t>
      </w:r>
      <w:proofErr w:type="spellEnd"/>
      <w:r w:rsidR="002B23DC" w:rsidRPr="009E42FD">
        <w:rPr>
          <w:rFonts w:cs="Times New Roman"/>
          <w:i/>
        </w:rPr>
        <w:t xml:space="preserve"> </w:t>
      </w:r>
      <w:proofErr w:type="spellStart"/>
      <w:r w:rsidR="002B23DC" w:rsidRPr="009E42FD">
        <w:rPr>
          <w:rFonts w:cs="Times New Roman"/>
          <w:i/>
        </w:rPr>
        <w:t>dans</w:t>
      </w:r>
      <w:proofErr w:type="spellEnd"/>
      <w:r w:rsidR="002B23DC" w:rsidRPr="009E42FD">
        <w:rPr>
          <w:rFonts w:cs="Times New Roman"/>
          <w:i/>
        </w:rPr>
        <w:t xml:space="preserve"> </w:t>
      </w:r>
      <w:r w:rsidR="006167A9">
        <w:rPr>
          <w:rFonts w:cs="Times New Roman"/>
          <w:i/>
        </w:rPr>
        <w:t xml:space="preserve">la </w:t>
      </w:r>
      <w:proofErr w:type="spellStart"/>
      <w:r w:rsidR="006167A9">
        <w:rPr>
          <w:rFonts w:cs="Times New Roman"/>
          <w:i/>
        </w:rPr>
        <w:t>savanne</w:t>
      </w:r>
      <w:proofErr w:type="spellEnd"/>
      <w:r w:rsidR="002B23DC" w:rsidRPr="009E42FD">
        <w:rPr>
          <w:rFonts w:cs="Times New Roman"/>
        </w:rPr>
        <w:t xml:space="preserve">, ‘The </w:t>
      </w:r>
      <w:r w:rsidR="006167A9">
        <w:rPr>
          <w:rFonts w:cs="Times New Roman"/>
        </w:rPr>
        <w:t>lion</w:t>
      </w:r>
      <w:r w:rsidR="002B23DC" w:rsidRPr="009E42FD">
        <w:rPr>
          <w:rFonts w:cs="Times New Roman"/>
        </w:rPr>
        <w:t xml:space="preserve">, he </w:t>
      </w:r>
      <w:r w:rsidR="006167A9">
        <w:rPr>
          <w:rFonts w:cs="Times New Roman"/>
        </w:rPr>
        <w:t>roars in the savannah’</w:t>
      </w:r>
      <w:r w:rsidR="002B23DC" w:rsidRPr="009E42FD">
        <w:rPr>
          <w:rFonts w:cs="Times New Roman"/>
        </w:rPr>
        <w:t>), one third were transitive (e.g., </w:t>
      </w:r>
      <w:r w:rsidR="002B23DC" w:rsidRPr="009E42FD">
        <w:rPr>
          <w:rFonts w:cs="Times New Roman"/>
          <w:i/>
        </w:rPr>
        <w:t xml:space="preserve">La </w:t>
      </w:r>
      <w:proofErr w:type="spellStart"/>
      <w:r w:rsidR="002B23DC" w:rsidRPr="009E42FD">
        <w:rPr>
          <w:rFonts w:cs="Times New Roman"/>
          <w:i/>
        </w:rPr>
        <w:t>fille</w:t>
      </w:r>
      <w:proofErr w:type="spellEnd"/>
      <w:r w:rsidR="002B23DC" w:rsidRPr="009E42FD">
        <w:rPr>
          <w:rFonts w:cs="Times New Roman"/>
          <w:i/>
        </w:rPr>
        <w:t xml:space="preserve">, </w:t>
      </w:r>
      <w:proofErr w:type="spellStart"/>
      <w:r w:rsidR="002B23DC" w:rsidRPr="009E42FD">
        <w:rPr>
          <w:rFonts w:cs="Times New Roman"/>
          <w:i/>
        </w:rPr>
        <w:t>elle</w:t>
      </w:r>
      <w:proofErr w:type="spellEnd"/>
      <w:r w:rsidR="002B23DC" w:rsidRPr="009E42FD">
        <w:rPr>
          <w:rFonts w:cs="Times New Roman"/>
          <w:i/>
        </w:rPr>
        <w:t xml:space="preserve"> </w:t>
      </w:r>
      <w:proofErr w:type="spellStart"/>
      <w:r w:rsidR="002B23DC" w:rsidRPr="009E42FD">
        <w:rPr>
          <w:rFonts w:cs="Times New Roman"/>
          <w:i/>
        </w:rPr>
        <w:t>aime</w:t>
      </w:r>
      <w:proofErr w:type="spellEnd"/>
      <w:r w:rsidR="002B23DC" w:rsidRPr="009E42FD">
        <w:rPr>
          <w:rFonts w:cs="Times New Roman"/>
          <w:i/>
        </w:rPr>
        <w:t xml:space="preserve"> la mousse au </w:t>
      </w:r>
      <w:proofErr w:type="spellStart"/>
      <w:r w:rsidR="002B23DC" w:rsidRPr="009E42FD">
        <w:rPr>
          <w:rFonts w:cs="Times New Roman"/>
          <w:i/>
        </w:rPr>
        <w:t>chocolat</w:t>
      </w:r>
      <w:proofErr w:type="spellEnd"/>
      <w:r w:rsidR="002B23DC" w:rsidRPr="009E42FD">
        <w:rPr>
          <w:rFonts w:cs="Times New Roman"/>
        </w:rPr>
        <w:t>, ‘The girl, she likes chocolate mousse’) and one third were ditransitive (e.g., </w:t>
      </w:r>
      <w:r w:rsidR="002B23DC" w:rsidRPr="009E42FD">
        <w:rPr>
          <w:rFonts w:cs="Times New Roman"/>
          <w:i/>
        </w:rPr>
        <w:t xml:space="preserve">Le </w:t>
      </w:r>
      <w:proofErr w:type="spellStart"/>
      <w:r w:rsidR="002B23DC" w:rsidRPr="009E42FD">
        <w:rPr>
          <w:rFonts w:cs="Times New Roman"/>
          <w:i/>
        </w:rPr>
        <w:t>dompteur</w:t>
      </w:r>
      <w:proofErr w:type="spellEnd"/>
      <w:r w:rsidR="002B23DC" w:rsidRPr="009E42FD">
        <w:rPr>
          <w:rFonts w:cs="Times New Roman"/>
          <w:i/>
        </w:rPr>
        <w:t xml:space="preserve">, </w:t>
      </w:r>
      <w:proofErr w:type="spellStart"/>
      <w:r w:rsidR="002B23DC" w:rsidRPr="009E42FD">
        <w:rPr>
          <w:rFonts w:cs="Times New Roman"/>
          <w:i/>
        </w:rPr>
        <w:t>il</w:t>
      </w:r>
      <w:proofErr w:type="spellEnd"/>
      <w:r w:rsidR="002B23DC" w:rsidRPr="009E42FD">
        <w:rPr>
          <w:rFonts w:cs="Times New Roman"/>
          <w:i/>
        </w:rPr>
        <w:t xml:space="preserve"> lance </w:t>
      </w:r>
      <w:proofErr w:type="spellStart"/>
      <w:r w:rsidR="002B23DC" w:rsidRPr="009E42FD">
        <w:rPr>
          <w:rFonts w:cs="Times New Roman"/>
          <w:i/>
        </w:rPr>
        <w:t>une</w:t>
      </w:r>
      <w:proofErr w:type="spellEnd"/>
      <w:r w:rsidR="002B23DC" w:rsidRPr="009E42FD">
        <w:rPr>
          <w:rFonts w:cs="Times New Roman"/>
          <w:i/>
        </w:rPr>
        <w:t xml:space="preserve"> </w:t>
      </w:r>
      <w:proofErr w:type="spellStart"/>
      <w:r w:rsidR="002B23DC" w:rsidRPr="009E42FD">
        <w:rPr>
          <w:rFonts w:cs="Times New Roman"/>
          <w:i/>
        </w:rPr>
        <w:t>balle</w:t>
      </w:r>
      <w:proofErr w:type="spellEnd"/>
      <w:r w:rsidR="002B23DC" w:rsidRPr="009E42FD">
        <w:rPr>
          <w:rFonts w:cs="Times New Roman"/>
          <w:i/>
        </w:rPr>
        <w:t xml:space="preserve"> à </w:t>
      </w:r>
      <w:proofErr w:type="spellStart"/>
      <w:r w:rsidR="002B23DC" w:rsidRPr="009E42FD">
        <w:rPr>
          <w:rFonts w:cs="Times New Roman"/>
          <w:i/>
        </w:rPr>
        <w:t>l'otarie</w:t>
      </w:r>
      <w:proofErr w:type="spellEnd"/>
      <w:r w:rsidR="002B23DC" w:rsidRPr="009E42FD">
        <w:rPr>
          <w:rFonts w:cs="Times New Roman"/>
        </w:rPr>
        <w:t>, ‘The tamer, he throws a ball to the se</w:t>
      </w:r>
      <w:r w:rsidR="00DB138D">
        <w:rPr>
          <w:rFonts w:cs="Times New Roman"/>
        </w:rPr>
        <w:t>a</w:t>
      </w:r>
      <w:r w:rsidR="002B23DC" w:rsidRPr="009E42FD">
        <w:rPr>
          <w:rFonts w:cs="Times New Roman"/>
        </w:rPr>
        <w:t xml:space="preserve"> lion’). Transitive and intransitive verbs were followed by an NP or a PP (or both). Note that to maintain equal sentence length across verb argument-structure types, certain transitive verbs were followed only by an NP. These account for 19% (15/77) of transitive verbs or 8% (15/180) of the verbs used.</w:t>
      </w:r>
      <w:r w:rsidR="002B23DC">
        <w:rPr>
          <w:rFonts w:cs="Times New Roman"/>
        </w:rPr>
        <w:t xml:space="preserve"> </w:t>
      </w:r>
      <w:r w:rsidRPr="00FF5867">
        <w:t xml:space="preserve">Verbs were inserted into sentences containing singular or plural third person </w:t>
      </w:r>
      <w:r w:rsidRPr="00DF3F9B">
        <w:t>subject pronouns (</w:t>
      </w:r>
      <w:r w:rsidRPr="00DF3F9B">
        <w:rPr>
          <w:i/>
        </w:rPr>
        <w:t>he/she/they</w:t>
      </w:r>
      <w:r w:rsidRPr="00DF3F9B">
        <w:t xml:space="preserve">), and a sentence continuation phrase consisting of a direct object NP, or a prepositional phrase (e.g., … </w:t>
      </w:r>
      <w:r w:rsidRPr="00DF3F9B">
        <w:rPr>
          <w:i/>
          <w:sz w:val="22"/>
        </w:rPr>
        <w:t>in the public pool</w:t>
      </w:r>
      <w:r w:rsidRPr="00DF3F9B">
        <w:rPr>
          <w:sz w:val="22"/>
        </w:rPr>
        <w:t>)</w:t>
      </w:r>
      <w:r w:rsidRPr="00DF3F9B">
        <w:t xml:space="preserve">, to </w:t>
      </w:r>
      <w:r w:rsidR="004465D5">
        <w:t>postpone</w:t>
      </w:r>
      <w:r w:rsidRPr="00DF3F9B">
        <w:t xml:space="preserve"> wrap-up effects in the ERPs (</w:t>
      </w:r>
      <w:proofErr w:type="spellStart"/>
      <w:r w:rsidRPr="00DF3F9B">
        <w:t>Hagoort</w:t>
      </w:r>
      <w:proofErr w:type="spellEnd"/>
      <w:r w:rsidRPr="00DF3F9B">
        <w:t xml:space="preserve">, 2003). Context phrases (neutral – e.g., </w:t>
      </w:r>
      <w:r w:rsidRPr="00DF3F9B">
        <w:rPr>
          <w:i/>
        </w:rPr>
        <w:t>Each week</w:t>
      </w:r>
      <w:r w:rsidRPr="00DF3F9B">
        <w:t xml:space="preserve"> – and subject NP – e.g., </w:t>
      </w:r>
      <w:r w:rsidRPr="00DF3F9B">
        <w:rPr>
          <w:i/>
        </w:rPr>
        <w:t xml:space="preserve">The </w:t>
      </w:r>
      <w:r w:rsidR="00DB138D">
        <w:rPr>
          <w:i/>
        </w:rPr>
        <w:t>lion</w:t>
      </w:r>
      <w:r w:rsidRPr="00DF3F9B">
        <w:t>) were also created. We ensured that there were no additional instances of liaison in sentences or carrying phrases, such that only sentences in the liaison verb</w:t>
      </w:r>
      <w:r w:rsidRPr="00DF3F9B">
        <w:rPr>
          <w:i/>
        </w:rPr>
        <w:t xml:space="preserve"> </w:t>
      </w:r>
      <w:r w:rsidRPr="00DF3F9B">
        <w:t xml:space="preserve">sub-condition contained them. We also ensured that all nouns, adverbs, prepositions and adjectives included in sentences and carrying phrases were age appropriate for children, as per </w:t>
      </w:r>
      <w:proofErr w:type="spellStart"/>
      <w:r w:rsidRPr="00DF3F9B">
        <w:t>Manulex</w:t>
      </w:r>
      <w:proofErr w:type="spellEnd"/>
      <w:r w:rsidRPr="00DF3F9B">
        <w:t xml:space="preserve"> (</w:t>
      </w:r>
      <w:proofErr w:type="spellStart"/>
      <w:r w:rsidRPr="00DF3F9B">
        <w:t>Lété</w:t>
      </w:r>
      <w:proofErr w:type="spellEnd"/>
      <w:r w:rsidRPr="00DF3F9B">
        <w:t xml:space="preserve"> et al., 2004). Further, subject grammatical gender (feminine or masculine), as well as syllable length of context phrases and of full sentences were balanced across the three verb categories.</w:t>
      </w:r>
      <w:r w:rsidRPr="00FF5867">
        <w:t xml:space="preserve"> </w:t>
      </w:r>
    </w:p>
    <w:p w14:paraId="3D3F1CAA" w14:textId="0F107143" w:rsidR="00302A58" w:rsidRPr="005E3B3B" w:rsidRDefault="00302A58" w:rsidP="00302A58">
      <w:pPr>
        <w:rPr>
          <w:lang w:val="en-CA"/>
        </w:rPr>
      </w:pPr>
      <w:r w:rsidRPr="00DF3F9B">
        <w:rPr>
          <w:rStyle w:val="Titre2Car"/>
        </w:rPr>
        <w:t>Stimulus recording</w:t>
      </w:r>
      <w:r>
        <w:rPr>
          <w:rFonts w:cs="Times New Roman"/>
          <w:lang w:val="en-CA"/>
        </w:rPr>
        <w:t xml:space="preserve">: </w:t>
      </w:r>
      <w:r>
        <w:t>Auditory recording, normalizing, and splicing was performed by trained research assistants with a background in speech editing.</w:t>
      </w:r>
      <w:r w:rsidRPr="00FF5867">
        <w:rPr>
          <w:rFonts w:cs="Times New Roman"/>
          <w:lang w:val="en-CA"/>
        </w:rPr>
        <w:t xml:space="preserve"> Auditory stimu</w:t>
      </w:r>
      <w:r>
        <w:rPr>
          <w:rFonts w:cs="Times New Roman"/>
          <w:lang w:val="en-CA"/>
        </w:rPr>
        <w:t>li were recorded in a sound-shielded audiology booth</w:t>
      </w:r>
      <w:r w:rsidRPr="00FF5867">
        <w:rPr>
          <w:rFonts w:cs="Times New Roman"/>
          <w:lang w:val="en-CA"/>
        </w:rPr>
        <w:t xml:space="preserve"> using a Sony DAT recorder (PCM-M1 recorder, 1997). All sentences were spoken by a native </w:t>
      </w:r>
      <w:proofErr w:type="gramStart"/>
      <w:r w:rsidRPr="00FF5867">
        <w:rPr>
          <w:rFonts w:cs="Times New Roman"/>
          <w:lang w:val="en-CA"/>
        </w:rPr>
        <w:t>French Canadian</w:t>
      </w:r>
      <w:proofErr w:type="gramEnd"/>
      <w:r w:rsidRPr="00FF5867">
        <w:rPr>
          <w:rFonts w:cs="Times New Roman"/>
          <w:lang w:val="en-CA"/>
        </w:rPr>
        <w:t xml:space="preserve"> actor who was trained to pronounce words with clear but natural articulation, while maintaining constant and natural prosody and intonation. Sentences were spoken with natural within- and between-word co</w:t>
      </w:r>
      <w:r>
        <w:rPr>
          <w:rFonts w:cs="Times New Roman"/>
          <w:lang w:val="en-CA"/>
        </w:rPr>
        <w:t>-</w:t>
      </w:r>
      <w:r w:rsidRPr="00FF5867">
        <w:rPr>
          <w:rFonts w:cs="Times New Roman"/>
          <w:lang w:val="en-CA"/>
        </w:rPr>
        <w:t>articulation, however this was avoided at splicing points (e.</w:t>
      </w:r>
      <w:r w:rsidR="00DB138D">
        <w:rPr>
          <w:rFonts w:cs="Times New Roman"/>
          <w:lang w:val="en-CA"/>
        </w:rPr>
        <w:t>g.</w:t>
      </w:r>
      <w:r w:rsidRPr="00FF5867">
        <w:rPr>
          <w:rFonts w:cs="Times New Roman"/>
          <w:lang w:val="en-CA"/>
        </w:rPr>
        <w:t xml:space="preserve">, between the last word in context phrases and the first word in </w:t>
      </w:r>
      <w:r>
        <w:rPr>
          <w:rFonts w:cs="Times New Roman"/>
          <w:lang w:val="en-CA"/>
        </w:rPr>
        <w:t xml:space="preserve">the following </w:t>
      </w:r>
      <w:r w:rsidRPr="00FF5867">
        <w:rPr>
          <w:rFonts w:cs="Times New Roman"/>
          <w:lang w:val="en-CA"/>
        </w:rPr>
        <w:t xml:space="preserve">sentences). The actor was also instructed to maintain a constant vocal intensity, intonation, and speech rate, throughout </w:t>
      </w:r>
      <w:r>
        <w:rPr>
          <w:rFonts w:cs="Times New Roman"/>
          <w:lang w:val="en-CA"/>
        </w:rPr>
        <w:t>the recording. Voice-volume monitoring (+ or – 5 dB) was performed during recording</w:t>
      </w:r>
      <w:r w:rsidRPr="00FF5867">
        <w:rPr>
          <w:rFonts w:cs="Times New Roman"/>
          <w:lang w:val="en-CA"/>
        </w:rPr>
        <w:t xml:space="preserve">. </w:t>
      </w:r>
      <w:r>
        <w:rPr>
          <w:rFonts w:cs="Times New Roman"/>
          <w:lang w:val="en-CA"/>
        </w:rPr>
        <w:t>A</w:t>
      </w:r>
      <w:r w:rsidRPr="00FF5867">
        <w:rPr>
          <w:rFonts w:cs="Times New Roman"/>
          <w:lang w:val="en-CA"/>
        </w:rPr>
        <w:t xml:space="preserve">ll conditions within a given block of stimuli were recorded together. All of this allowed us to create very natural-sounding auditory stimuli, while reducing post-recording manipulations. </w:t>
      </w:r>
    </w:p>
    <w:p w14:paraId="2E9291AA" w14:textId="1BD37CDE" w:rsidR="00302A58" w:rsidRPr="00DF3F9B" w:rsidRDefault="00302A58" w:rsidP="00C77EB9">
      <w:pPr>
        <w:spacing w:before="60" w:after="120"/>
      </w:pPr>
      <w:r w:rsidRPr="00DF3F9B">
        <w:rPr>
          <w:rStyle w:val="Titre2Car"/>
        </w:rPr>
        <w:lastRenderedPageBreak/>
        <w:t>Sound processing</w:t>
      </w:r>
      <w:r>
        <w:rPr>
          <w:rFonts w:cs="Times New Roman"/>
          <w:lang w:val="en-CA"/>
        </w:rPr>
        <w:t xml:space="preserve">: </w:t>
      </w:r>
      <w:r w:rsidRPr="00FF5867">
        <w:rPr>
          <w:rFonts w:cs="Times New Roman"/>
          <w:lang w:val="en-CA"/>
        </w:rPr>
        <w:t xml:space="preserve">Before cross-splicing took place, context phrase and sentence files were processed and normalised in five steps using </w:t>
      </w:r>
      <w:r w:rsidRPr="00DF3F9B">
        <w:rPr>
          <w:rFonts w:cs="Times New Roman"/>
          <w:lang w:val="en-CA"/>
        </w:rPr>
        <w:t xml:space="preserve">Audacity® (Audacity Team, 2018) and </w:t>
      </w:r>
      <w:proofErr w:type="spellStart"/>
      <w:r w:rsidRPr="00DF3F9B">
        <w:rPr>
          <w:rFonts w:cs="Times New Roman"/>
          <w:lang w:val="en-CA"/>
        </w:rPr>
        <w:t>Praat</w:t>
      </w:r>
      <w:proofErr w:type="spellEnd"/>
      <w:r w:rsidRPr="00DF3F9B">
        <w:rPr>
          <w:rFonts w:cs="Times New Roman"/>
          <w:lang w:val="en-CA"/>
        </w:rPr>
        <w:t xml:space="preserve"> (Boersma &amp; </w:t>
      </w:r>
      <w:proofErr w:type="spellStart"/>
      <w:r w:rsidRPr="00DF3F9B">
        <w:rPr>
          <w:rFonts w:cs="Times New Roman"/>
          <w:lang w:val="en-CA"/>
        </w:rPr>
        <w:t>Weenik</w:t>
      </w:r>
      <w:proofErr w:type="spellEnd"/>
      <w:r w:rsidRPr="00DF3F9B">
        <w:rPr>
          <w:rFonts w:cs="Times New Roman"/>
          <w:lang w:val="en-CA"/>
        </w:rPr>
        <w:t>, 2018) software: (1) we reduced noise, such as microphone feedback and other extraneous sounds that were present in the recordings, by applying A</w:t>
      </w:r>
      <w:r w:rsidRPr="00FF5867">
        <w:rPr>
          <w:rFonts w:cs="Times New Roman"/>
          <w:lang w:val="en-CA"/>
        </w:rPr>
        <w:t xml:space="preserve">udacity’s built-in Noise Reduction function to all files. During this process, care was taken to use the lowest level of manipulation possible in an effort </w:t>
      </w:r>
      <w:r>
        <w:rPr>
          <w:rFonts w:cs="Times New Roman"/>
          <w:lang w:val="en-CA"/>
        </w:rPr>
        <w:t xml:space="preserve">to </w:t>
      </w:r>
      <w:r w:rsidR="00AC6442">
        <w:rPr>
          <w:rFonts w:cs="Times New Roman"/>
          <w:lang w:val="en-CA"/>
        </w:rPr>
        <w:t>restrict</w:t>
      </w:r>
      <w:r>
        <w:rPr>
          <w:rFonts w:cs="Times New Roman"/>
          <w:lang w:val="en-CA"/>
        </w:rPr>
        <w:t xml:space="preserve"> distortion</w:t>
      </w:r>
      <w:r w:rsidRPr="00FF5867">
        <w:rPr>
          <w:rFonts w:cs="Times New Roman"/>
          <w:lang w:val="en-CA"/>
        </w:rPr>
        <w:t xml:space="preserve"> to the resulting audio</w:t>
      </w:r>
      <w:r>
        <w:rPr>
          <w:rFonts w:cs="Times New Roman"/>
          <w:lang w:val="en-CA"/>
        </w:rPr>
        <w:t xml:space="preserve"> files</w:t>
      </w:r>
      <w:r w:rsidRPr="00FF5867">
        <w:rPr>
          <w:rFonts w:cs="Times New Roman"/>
          <w:lang w:val="en-CA"/>
        </w:rPr>
        <w:t>. For example, the sensitivity (</w:t>
      </w:r>
      <w:r>
        <w:rPr>
          <w:rFonts w:cs="Times New Roman"/>
          <w:lang w:val="en-CA"/>
        </w:rPr>
        <w:t xml:space="preserve">which </w:t>
      </w:r>
      <w:r w:rsidRPr="00FF5867">
        <w:rPr>
          <w:rFonts w:cs="Times New Roman"/>
          <w:lang w:val="en-CA"/>
        </w:rPr>
        <w:t>controls how much of the audio is considered noise) and frequency smoothing (</w:t>
      </w:r>
      <w:r>
        <w:rPr>
          <w:rFonts w:cs="Times New Roman"/>
          <w:lang w:val="en-CA"/>
        </w:rPr>
        <w:t xml:space="preserve">which </w:t>
      </w:r>
      <w:r w:rsidRPr="00FF5867">
        <w:rPr>
          <w:rFonts w:cs="Times New Roman"/>
          <w:lang w:val="en-CA"/>
        </w:rPr>
        <w:t xml:space="preserve">spreads the noise reduction process to the specified number of neighbouring frequency bands) options were always maintained at lowest possible levels; (2) as noise reduction created new instances of ‘silence’ at the start and end of audio files, such silences were trimmed using the Audacity </w:t>
      </w:r>
      <w:r w:rsidRPr="00FB6454">
        <w:rPr>
          <w:rFonts w:cs="Times New Roman"/>
          <w:i/>
          <w:lang w:val="en-CA"/>
        </w:rPr>
        <w:t>Trim Silence</w:t>
      </w:r>
      <w:r w:rsidRPr="00FF5867">
        <w:rPr>
          <w:rFonts w:cs="Times New Roman"/>
          <w:lang w:val="en-CA"/>
        </w:rPr>
        <w:t xml:space="preserve"> plug-in</w:t>
      </w:r>
      <w:r w:rsidRPr="00DF3F9B">
        <w:rPr>
          <w:rFonts w:cs="Times New Roman"/>
          <w:lang w:val="en-CA"/>
        </w:rPr>
        <w:t>.</w:t>
      </w:r>
      <w:r w:rsidRPr="00FF5867">
        <w:rPr>
          <w:rFonts w:cs="Times New Roman"/>
          <w:lang w:val="en-CA"/>
        </w:rPr>
        <w:t xml:space="preserve"> A threshold of -35 dB was selected, as this level was deemed most appropriate in removing silent portions, while sparing phonemes with lower amplitudes such as voiceless stops, during tests performed on a subset of files; (3) using a </w:t>
      </w:r>
      <w:proofErr w:type="spellStart"/>
      <w:r w:rsidRPr="00FF5867">
        <w:rPr>
          <w:rFonts w:cs="Times New Roman"/>
          <w:lang w:val="en-CA"/>
        </w:rPr>
        <w:t>Praat</w:t>
      </w:r>
      <w:proofErr w:type="spellEnd"/>
      <w:r w:rsidRPr="00FF5867">
        <w:rPr>
          <w:rFonts w:cs="Times New Roman"/>
          <w:lang w:val="en-CA"/>
        </w:rPr>
        <w:t xml:space="preserve"> script (created in-house by the </w:t>
      </w:r>
      <w:r>
        <w:rPr>
          <w:rFonts w:cs="Times New Roman"/>
          <w:lang w:val="en-CA"/>
        </w:rPr>
        <w:t>second</w:t>
      </w:r>
      <w:r w:rsidRPr="00FF5867">
        <w:rPr>
          <w:rFonts w:cs="Times New Roman"/>
          <w:lang w:val="en-CA"/>
        </w:rPr>
        <w:t xml:space="preserve"> author), sentence onsets and offsets were then trimmed at zero-crossings –the point where the waveform crosses the zero-level axis– in order to avoid discontinuities in the sound wave </w:t>
      </w:r>
      <w:r>
        <w:rPr>
          <w:rFonts w:cs="Times New Roman"/>
          <w:lang w:val="en-CA"/>
        </w:rPr>
        <w:t>which</w:t>
      </w:r>
      <w:r w:rsidRPr="00FF5867">
        <w:rPr>
          <w:rFonts w:cs="Times New Roman"/>
          <w:lang w:val="en-CA"/>
        </w:rPr>
        <w:t xml:space="preserve"> can be perceived as clicks or pops; (4) </w:t>
      </w:r>
      <w:r>
        <w:rPr>
          <w:rFonts w:cs="Times New Roman"/>
          <w:lang w:val="en-CA"/>
        </w:rPr>
        <w:t xml:space="preserve">finally, </w:t>
      </w:r>
      <w:r w:rsidRPr="00FF5867">
        <w:rPr>
          <w:rFonts w:cs="Times New Roman"/>
          <w:lang w:val="en-CA"/>
        </w:rPr>
        <w:t>we listened to each file to assess the naturalness of speech rate. In cases where speech rate was perceived to be too fast</w:t>
      </w:r>
      <w:r>
        <w:rPr>
          <w:rFonts w:cs="Times New Roman"/>
          <w:lang w:val="en-CA"/>
        </w:rPr>
        <w:t xml:space="preserve"> or </w:t>
      </w:r>
      <w:r w:rsidRPr="00FF5867">
        <w:rPr>
          <w:rFonts w:cs="Times New Roman"/>
          <w:lang w:val="en-CA"/>
        </w:rPr>
        <w:t xml:space="preserve">slow in comparison to the majority of audio files, or where there was a discontinuity between context phrases and associated sentences, speech rate was adjusted by using Audacity’s built-in </w:t>
      </w:r>
      <w:r w:rsidRPr="00FF5867">
        <w:rPr>
          <w:rFonts w:cs="Times New Roman"/>
          <w:i/>
          <w:lang w:val="en-CA"/>
        </w:rPr>
        <w:t>Change Tempo</w:t>
      </w:r>
      <w:r w:rsidRPr="00FF5867">
        <w:rPr>
          <w:rFonts w:cs="Times New Roman"/>
          <w:lang w:val="en-CA"/>
        </w:rPr>
        <w:t xml:space="preserve"> function. The lowest level of manipulation necessary to create natural sounding and consistent speech was used (maximum 15% slower</w:t>
      </w:r>
      <w:r>
        <w:rPr>
          <w:rFonts w:cs="Times New Roman"/>
          <w:lang w:val="en-CA"/>
        </w:rPr>
        <w:t xml:space="preserve"> or </w:t>
      </w:r>
      <w:r w:rsidRPr="00FF5867">
        <w:rPr>
          <w:rFonts w:cs="Times New Roman"/>
          <w:lang w:val="en-CA"/>
        </w:rPr>
        <w:t>faster); (5) lastly, we added silent portions to the onsets and offsets of all audio files</w:t>
      </w:r>
      <w:r w:rsidR="00AC6442" w:rsidRPr="00AC6442">
        <w:rPr>
          <w:rFonts w:cs="Times New Roman"/>
          <w:lang w:val="en-CA"/>
        </w:rPr>
        <w:t xml:space="preserve"> </w:t>
      </w:r>
      <w:r w:rsidR="00AC6442">
        <w:rPr>
          <w:rFonts w:cs="Times New Roman"/>
          <w:lang w:val="en-CA"/>
        </w:rPr>
        <w:t xml:space="preserve">using </w:t>
      </w:r>
      <w:r w:rsidR="00AC6442" w:rsidRPr="00FF5867">
        <w:rPr>
          <w:rFonts w:cs="Times New Roman"/>
          <w:lang w:val="en-CA"/>
        </w:rPr>
        <w:t xml:space="preserve">Audacity’s </w:t>
      </w:r>
      <w:r w:rsidR="00AC6442" w:rsidRPr="00FF5867">
        <w:rPr>
          <w:rFonts w:cs="Times New Roman"/>
          <w:i/>
          <w:lang w:val="en-CA"/>
        </w:rPr>
        <w:t xml:space="preserve">Trim/Extend </w:t>
      </w:r>
      <w:r w:rsidR="00AC6442" w:rsidRPr="00FF5867">
        <w:rPr>
          <w:rFonts w:cs="Times New Roman"/>
          <w:lang w:val="en-CA"/>
        </w:rPr>
        <w:t>plugin</w:t>
      </w:r>
      <w:r w:rsidRPr="00FF5867">
        <w:rPr>
          <w:rFonts w:cs="Times New Roman"/>
          <w:lang w:val="en-CA"/>
        </w:rPr>
        <w:t>, such that all final audio files (once c</w:t>
      </w:r>
      <w:r>
        <w:rPr>
          <w:rFonts w:cs="Times New Roman"/>
          <w:lang w:val="en-CA"/>
        </w:rPr>
        <w:t>ontext phrases and sentences were</w:t>
      </w:r>
      <w:r w:rsidRPr="00FF5867">
        <w:rPr>
          <w:rFonts w:cs="Times New Roman"/>
          <w:lang w:val="en-CA"/>
        </w:rPr>
        <w:t xml:space="preserve"> cross-spliced) contained 0.035 seconds of onset silence, 0.05 seconds of offset silence, and 0.1 seconds of silence between the context phrase and the rest of the sentence (these values were perceived to be most natural-sounding when tests were performed on a subset of audio files). </w:t>
      </w:r>
      <w:r w:rsidR="0084006B" w:rsidRPr="00FF5867">
        <w:rPr>
          <w:rFonts w:cs="Times New Roman"/>
          <w:lang w:val="en-CA"/>
        </w:rPr>
        <w:t xml:space="preserve">Once context phrase and sentence processing was complete, they were cross-spliced to create audio files for different experimental conditions, as outlined </w:t>
      </w:r>
      <w:r w:rsidR="0084006B">
        <w:rPr>
          <w:rFonts w:cs="Times New Roman"/>
          <w:lang w:val="en-CA"/>
        </w:rPr>
        <w:t>in the next sections</w:t>
      </w:r>
      <w:r w:rsidR="0084006B" w:rsidRPr="00FF5867">
        <w:rPr>
          <w:rFonts w:cs="Times New Roman"/>
          <w:lang w:val="en-CA"/>
        </w:rPr>
        <w:t xml:space="preserve">. Cross-splicing was carried out in </w:t>
      </w:r>
      <w:proofErr w:type="spellStart"/>
      <w:r w:rsidR="0084006B" w:rsidRPr="00FF5867">
        <w:rPr>
          <w:rFonts w:cs="Times New Roman"/>
          <w:lang w:val="en-CA"/>
        </w:rPr>
        <w:t>Praat</w:t>
      </w:r>
      <w:proofErr w:type="spellEnd"/>
      <w:r w:rsidR="0084006B" w:rsidRPr="00FF5867">
        <w:rPr>
          <w:rFonts w:cs="Times New Roman"/>
          <w:lang w:val="en-CA"/>
        </w:rPr>
        <w:t xml:space="preserve"> by means of a script (created in-house by the </w:t>
      </w:r>
      <w:r w:rsidR="00AC6442">
        <w:rPr>
          <w:rFonts w:cs="Times New Roman"/>
          <w:lang w:val="en-CA"/>
        </w:rPr>
        <w:t>first</w:t>
      </w:r>
      <w:r w:rsidR="0084006B" w:rsidRPr="00FF5867">
        <w:rPr>
          <w:rFonts w:cs="Times New Roman"/>
          <w:lang w:val="en-CA"/>
        </w:rPr>
        <w:t xml:space="preserve"> author)</w:t>
      </w:r>
      <w:r w:rsidR="0084006B">
        <w:rPr>
          <w:rFonts w:cs="Times New Roman"/>
          <w:lang w:val="en-CA"/>
        </w:rPr>
        <w:t xml:space="preserve"> which concatenated all context-</w:t>
      </w:r>
      <w:r w:rsidR="0084006B" w:rsidRPr="00FF5867">
        <w:rPr>
          <w:rFonts w:cs="Times New Roman"/>
          <w:lang w:val="en-CA"/>
        </w:rPr>
        <w:t xml:space="preserve">phrase and sentence files based on </w:t>
      </w:r>
      <w:r w:rsidR="0084006B">
        <w:rPr>
          <w:rFonts w:cs="Times New Roman"/>
          <w:lang w:val="en-CA"/>
        </w:rPr>
        <w:t>conditions outlined above</w:t>
      </w:r>
      <w:r w:rsidR="0084006B" w:rsidRPr="00FF5867">
        <w:rPr>
          <w:rFonts w:cs="Times New Roman"/>
          <w:lang w:val="en-CA"/>
        </w:rPr>
        <w:t xml:space="preserve">. Lastly, the amplitude of the resulting audio files was normalised to a level of 70 dB SPL using </w:t>
      </w:r>
      <w:proofErr w:type="spellStart"/>
      <w:r w:rsidR="0084006B" w:rsidRPr="00FF5867">
        <w:rPr>
          <w:rFonts w:cs="Times New Roman"/>
          <w:lang w:val="en-CA"/>
        </w:rPr>
        <w:t>Praat</w:t>
      </w:r>
      <w:proofErr w:type="spellEnd"/>
      <w:r w:rsidR="0084006B" w:rsidRPr="00FF5867">
        <w:rPr>
          <w:rFonts w:cs="Times New Roman"/>
          <w:lang w:val="en-CA"/>
        </w:rPr>
        <w:t>.</w:t>
      </w:r>
    </w:p>
    <w:p w14:paraId="7E4908B0" w14:textId="0A74E547" w:rsidR="00630A34" w:rsidRDefault="007C6BD8" w:rsidP="005366FE">
      <w:pPr>
        <w:spacing w:before="0" w:after="0"/>
      </w:pPr>
      <w:r w:rsidRPr="00DF3F9B">
        <w:rPr>
          <w:rStyle w:val="Titre1Car"/>
        </w:rPr>
        <w:t>Developing</w:t>
      </w:r>
      <w:r w:rsidR="004428DE" w:rsidRPr="00DF3F9B">
        <w:rPr>
          <w:rStyle w:val="Titre1Car"/>
        </w:rPr>
        <w:t xml:space="preserve"> </w:t>
      </w:r>
      <w:r w:rsidRPr="00DF3F9B">
        <w:rPr>
          <w:rStyle w:val="Titre1Car"/>
        </w:rPr>
        <w:t xml:space="preserve">stimuli for </w:t>
      </w:r>
      <w:r w:rsidR="004428DE" w:rsidRPr="00DF3F9B">
        <w:rPr>
          <w:rStyle w:val="Titre1Car"/>
        </w:rPr>
        <w:t>the semantic condition</w:t>
      </w:r>
      <w:r w:rsidR="005720D7">
        <w:rPr>
          <w:lang w:val="en-CA"/>
        </w:rPr>
        <w:t xml:space="preserve">: </w:t>
      </w:r>
      <w:r w:rsidR="005720D7" w:rsidRPr="00FF5867">
        <w:rPr>
          <w:lang w:val="en-CA"/>
        </w:rPr>
        <w:t xml:space="preserve">Items for the </w:t>
      </w:r>
      <w:r w:rsidR="00F47D57">
        <w:rPr>
          <w:lang w:val="en-CA"/>
        </w:rPr>
        <w:t>matched</w:t>
      </w:r>
      <w:r w:rsidR="00F47D57" w:rsidRPr="00FF5867">
        <w:rPr>
          <w:lang w:val="en-CA"/>
        </w:rPr>
        <w:t xml:space="preserve"> </w:t>
      </w:r>
      <w:r w:rsidR="005720D7" w:rsidRPr="00FF5867">
        <w:rPr>
          <w:lang w:val="en-CA"/>
        </w:rPr>
        <w:t xml:space="preserve">condition </w:t>
      </w:r>
      <w:r w:rsidR="00165D09">
        <w:rPr>
          <w:lang w:val="en-CA"/>
        </w:rPr>
        <w:t xml:space="preserve">included 60 different verbs and </w:t>
      </w:r>
      <w:r w:rsidR="005720D7" w:rsidRPr="00FF5867">
        <w:rPr>
          <w:lang w:val="en-CA"/>
        </w:rPr>
        <w:t xml:space="preserve">were created in three steps. First, a native French Canadian actor spoke each congruent item, consisting of a context plus sentence combination. </w:t>
      </w:r>
      <w:r w:rsidR="004428DE">
        <w:rPr>
          <w:lang w:val="en-CA"/>
        </w:rPr>
        <w:t>W</w:t>
      </w:r>
      <w:r w:rsidR="005720D7" w:rsidRPr="00FF5867">
        <w:rPr>
          <w:lang w:val="en-CA"/>
        </w:rPr>
        <w:t xml:space="preserve">e </w:t>
      </w:r>
      <w:r w:rsidR="004428DE">
        <w:rPr>
          <w:lang w:val="en-CA"/>
        </w:rPr>
        <w:t>then</w:t>
      </w:r>
      <w:r w:rsidR="005720D7" w:rsidRPr="00FF5867">
        <w:rPr>
          <w:lang w:val="en-CA"/>
        </w:rPr>
        <w:t xml:space="preserve"> cross-spliced </w:t>
      </w:r>
      <w:r w:rsidR="004428DE">
        <w:rPr>
          <w:lang w:val="en-CA"/>
        </w:rPr>
        <w:t>the</w:t>
      </w:r>
      <w:r w:rsidR="005720D7" w:rsidRPr="00FF5867">
        <w:rPr>
          <w:lang w:val="en-CA"/>
        </w:rPr>
        <w:t xml:space="preserve"> neutral and subject NP context</w:t>
      </w:r>
      <w:r>
        <w:rPr>
          <w:lang w:val="en-CA"/>
        </w:rPr>
        <w:t>s</w:t>
      </w:r>
      <w:r w:rsidR="005720D7" w:rsidRPr="00FF5867">
        <w:rPr>
          <w:lang w:val="en-CA"/>
        </w:rPr>
        <w:t>, as depicted in</w:t>
      </w:r>
      <w:r w:rsidR="004D63E8">
        <w:rPr>
          <w:lang w:val="en-CA"/>
        </w:rPr>
        <w:t xml:space="preserve"> Table 1</w:t>
      </w:r>
      <w:r w:rsidR="005366FE">
        <w:rPr>
          <w:lang w:val="en-CA"/>
        </w:rPr>
        <w:t xml:space="preserve"> of our article</w:t>
      </w:r>
      <w:r w:rsidR="004D63E8">
        <w:rPr>
          <w:lang w:val="en-CA"/>
        </w:rPr>
        <w:t>,</w:t>
      </w:r>
      <w:r w:rsidR="005720D7" w:rsidRPr="00FF5867">
        <w:rPr>
          <w:lang w:val="en-CA"/>
        </w:rPr>
        <w:t xml:space="preserve"> examples (1a) - (1b), and (</w:t>
      </w:r>
      <w:r w:rsidR="00AC6442">
        <w:rPr>
          <w:lang w:val="en-CA"/>
        </w:rPr>
        <w:t>2a</w:t>
      </w:r>
      <w:r w:rsidR="005720D7" w:rsidRPr="00FF5867">
        <w:rPr>
          <w:lang w:val="en-CA"/>
        </w:rPr>
        <w:t>) - (</w:t>
      </w:r>
      <w:r w:rsidR="00AC6442">
        <w:rPr>
          <w:lang w:val="en-CA"/>
        </w:rPr>
        <w:t>2b</w:t>
      </w:r>
      <w:r w:rsidR="005720D7" w:rsidRPr="00FF5867">
        <w:rPr>
          <w:lang w:val="en-CA"/>
        </w:rPr>
        <w:t>). Each item pair was associated with one image depicting the action described in the audio files.</w:t>
      </w:r>
      <w:r w:rsidR="005720D7" w:rsidRPr="00FF5867">
        <w:t xml:space="preserve"> Items for the </w:t>
      </w:r>
      <w:r w:rsidR="00F47D57">
        <w:t>mismatched</w:t>
      </w:r>
      <w:r w:rsidR="00F47D57" w:rsidRPr="00FF5867">
        <w:t xml:space="preserve"> </w:t>
      </w:r>
      <w:r w:rsidR="005720D7" w:rsidRPr="00FF5867">
        <w:t>condition</w:t>
      </w:r>
      <w:r w:rsidR="00AC6442">
        <w:t>s</w:t>
      </w:r>
      <w:r w:rsidR="005720D7" w:rsidRPr="00FF5867">
        <w:t xml:space="preserve"> were created by cross-splicing the contexts from one item pair with the sentences from another, as depicted in examples (</w:t>
      </w:r>
      <w:r w:rsidR="00AC6442">
        <w:t>2a</w:t>
      </w:r>
      <w:r w:rsidR="005720D7" w:rsidRPr="00FF5867">
        <w:t>) - (</w:t>
      </w:r>
      <w:r w:rsidR="00AC6442">
        <w:t>2b</w:t>
      </w:r>
      <w:r w:rsidR="005720D7" w:rsidRPr="00FF5867">
        <w:t xml:space="preserve">), resulting in </w:t>
      </w:r>
      <w:r>
        <w:t>12</w:t>
      </w:r>
      <w:r w:rsidRPr="00FF5867">
        <w:t xml:space="preserve">0 </w:t>
      </w:r>
      <w:r w:rsidR="00630A34">
        <w:t>mismatched</w:t>
      </w:r>
      <w:r w:rsidR="00630A34" w:rsidRPr="00FF5867">
        <w:t xml:space="preserve"> </w:t>
      </w:r>
      <w:r w:rsidR="005720D7" w:rsidRPr="00FF5867">
        <w:t xml:space="preserve">item pairs. In the end, 60 item quadruplets were created for a total of 240 items (120 </w:t>
      </w:r>
      <w:r w:rsidR="00F47D57">
        <w:t>matched</w:t>
      </w:r>
      <w:r w:rsidR="00F47D57" w:rsidRPr="00FF5867">
        <w:t xml:space="preserve"> </w:t>
      </w:r>
      <w:r w:rsidR="005720D7" w:rsidRPr="00FF5867">
        <w:t xml:space="preserve">and 120 </w:t>
      </w:r>
      <w:r w:rsidR="00F47D57">
        <w:t>mismatched</w:t>
      </w:r>
      <w:r w:rsidR="005720D7" w:rsidRPr="00FF5867">
        <w:t xml:space="preserve">). In order to create semantic mismatches, each item quadruplet was associated to the same image, such that both </w:t>
      </w:r>
      <w:r w:rsidR="00F47D57">
        <w:t>matched</w:t>
      </w:r>
      <w:r w:rsidR="00F47D57" w:rsidRPr="00FF5867">
        <w:t xml:space="preserve"> </w:t>
      </w:r>
      <w:r w:rsidR="005720D7" w:rsidRPr="00FF5867">
        <w:t xml:space="preserve">and </w:t>
      </w:r>
      <w:r w:rsidR="00F47D57">
        <w:t>mismatched</w:t>
      </w:r>
      <w:r w:rsidR="00F47D57" w:rsidRPr="00FF5867">
        <w:t xml:space="preserve"> </w:t>
      </w:r>
      <w:r w:rsidR="005720D7" w:rsidRPr="00FF5867">
        <w:t xml:space="preserve">item versions were displayed with the same image. </w:t>
      </w:r>
    </w:p>
    <w:p w14:paraId="0E5A2C69" w14:textId="04FF78F1" w:rsidR="00630A34" w:rsidRPr="00630A34" w:rsidRDefault="007C6BD8" w:rsidP="00AC6442">
      <w:pPr>
        <w:rPr>
          <w:lang w:val="en-CA"/>
        </w:rPr>
      </w:pPr>
      <w:r w:rsidRPr="00DF3F9B">
        <w:rPr>
          <w:rStyle w:val="Titre1Car"/>
        </w:rPr>
        <w:t xml:space="preserve">Developing stimuli for the </w:t>
      </w:r>
      <w:r w:rsidR="00630A34">
        <w:rPr>
          <w:rStyle w:val="Titre1Car"/>
        </w:rPr>
        <w:t>number mismatch</w:t>
      </w:r>
      <w:r w:rsidR="00630A34" w:rsidRPr="00DF3F9B">
        <w:rPr>
          <w:rStyle w:val="Titre1Car"/>
        </w:rPr>
        <w:t xml:space="preserve"> </w:t>
      </w:r>
      <w:r w:rsidRPr="00DF3F9B">
        <w:rPr>
          <w:rStyle w:val="Titre1Car"/>
        </w:rPr>
        <w:t>condition</w:t>
      </w:r>
      <w:r w:rsidR="005720D7">
        <w:t xml:space="preserve">: </w:t>
      </w:r>
      <w:r w:rsidR="005720D7" w:rsidRPr="00FF5867">
        <w:rPr>
          <w:lang w:val="en-CA"/>
        </w:rPr>
        <w:t>First, we recorded a subset of congruent items</w:t>
      </w:r>
      <w:r w:rsidR="002B0FF4">
        <w:rPr>
          <w:lang w:val="en-CA"/>
        </w:rPr>
        <w:t xml:space="preserve"> including </w:t>
      </w:r>
      <w:r w:rsidR="004D3164">
        <w:rPr>
          <w:lang w:val="en-CA"/>
        </w:rPr>
        <w:t xml:space="preserve">120 different </w:t>
      </w:r>
      <w:r w:rsidR="002B0FF4">
        <w:rPr>
          <w:lang w:val="en-CA"/>
        </w:rPr>
        <w:t>verbs</w:t>
      </w:r>
      <w:r w:rsidR="005720D7" w:rsidRPr="00FF5867">
        <w:rPr>
          <w:lang w:val="en-CA"/>
        </w:rPr>
        <w:t xml:space="preserve">, namely a singular subject NP context and singular sentence combination (as in </w:t>
      </w:r>
      <w:r w:rsidR="00B95645">
        <w:rPr>
          <w:lang w:val="en-CA"/>
        </w:rPr>
        <w:t>Table 2</w:t>
      </w:r>
      <w:r w:rsidR="00BF7FB1">
        <w:rPr>
          <w:lang w:val="en-CA"/>
        </w:rPr>
        <w:t xml:space="preserve"> of our article,</w:t>
      </w:r>
      <w:r w:rsidR="00B95645">
        <w:rPr>
          <w:lang w:val="en-CA"/>
        </w:rPr>
        <w:t xml:space="preserve"> </w:t>
      </w:r>
      <w:r w:rsidR="00BF7FB1">
        <w:rPr>
          <w:lang w:val="en-CA"/>
        </w:rPr>
        <w:t>I</w:t>
      </w:r>
      <w:r w:rsidR="005720D7" w:rsidRPr="00FF5867">
        <w:rPr>
          <w:lang w:val="en-CA"/>
        </w:rPr>
        <w:t>tem 1</w:t>
      </w:r>
      <w:r w:rsidR="00AC6442">
        <w:rPr>
          <w:lang w:val="en-CA"/>
        </w:rPr>
        <w:t>b</w:t>
      </w:r>
      <w:r w:rsidR="002B0FF4">
        <w:rPr>
          <w:lang w:val="en-CA"/>
        </w:rPr>
        <w:t>)</w:t>
      </w:r>
      <w:r w:rsidR="005720D7" w:rsidRPr="00FF5867">
        <w:rPr>
          <w:lang w:val="en-CA"/>
        </w:rPr>
        <w:t>, a neutral context and singular sentence combination (</w:t>
      </w:r>
      <w:r w:rsidR="00B95645">
        <w:rPr>
          <w:lang w:val="en-CA"/>
        </w:rPr>
        <w:t>Table 2</w:t>
      </w:r>
      <w:r w:rsidR="00BF7FB1">
        <w:rPr>
          <w:lang w:val="en-CA"/>
        </w:rPr>
        <w:t>,</w:t>
      </w:r>
      <w:r w:rsidR="005720D7" w:rsidRPr="00FF5867">
        <w:rPr>
          <w:lang w:val="en-CA"/>
        </w:rPr>
        <w:t xml:space="preserve"> </w:t>
      </w:r>
      <w:r w:rsidR="00BF7FB1">
        <w:rPr>
          <w:lang w:val="en-CA"/>
        </w:rPr>
        <w:t>I</w:t>
      </w:r>
      <w:r w:rsidR="005720D7" w:rsidRPr="00FF5867">
        <w:rPr>
          <w:lang w:val="en-CA"/>
        </w:rPr>
        <w:t xml:space="preserve">tem </w:t>
      </w:r>
      <w:r w:rsidR="00B95645">
        <w:rPr>
          <w:lang w:val="en-CA"/>
        </w:rPr>
        <w:t>1a</w:t>
      </w:r>
      <w:r w:rsidR="005720D7" w:rsidRPr="00FF5867">
        <w:rPr>
          <w:lang w:val="en-CA"/>
        </w:rPr>
        <w:t>), and a plural subject NP context and plural sentence combination (as</w:t>
      </w:r>
      <w:r w:rsidR="00B95645">
        <w:rPr>
          <w:lang w:val="en-CA"/>
        </w:rPr>
        <w:t xml:space="preserve"> in Table 2</w:t>
      </w:r>
      <w:r w:rsidR="00BF7FB1">
        <w:rPr>
          <w:lang w:val="en-CA"/>
        </w:rPr>
        <w:t>,</w:t>
      </w:r>
      <w:r w:rsidR="005720D7" w:rsidRPr="00FF5867">
        <w:rPr>
          <w:lang w:val="en-CA"/>
        </w:rPr>
        <w:t xml:space="preserve"> </w:t>
      </w:r>
      <w:r w:rsidR="00BF7FB1">
        <w:rPr>
          <w:lang w:val="en-CA"/>
        </w:rPr>
        <w:t>I</w:t>
      </w:r>
      <w:r w:rsidR="005720D7" w:rsidRPr="00FF5867">
        <w:rPr>
          <w:lang w:val="en-CA"/>
        </w:rPr>
        <w:t xml:space="preserve">tem </w:t>
      </w:r>
      <w:r w:rsidR="00B95645">
        <w:rPr>
          <w:lang w:val="en-CA"/>
        </w:rPr>
        <w:t>2b</w:t>
      </w:r>
      <w:r w:rsidR="005720D7" w:rsidRPr="00FF5867">
        <w:rPr>
          <w:lang w:val="en-CA"/>
        </w:rPr>
        <w:t>). This resulted in 120 sentence triplets (120 with singular subject NP context</w:t>
      </w:r>
      <w:r>
        <w:rPr>
          <w:lang w:val="en-CA"/>
        </w:rPr>
        <w:t>s</w:t>
      </w:r>
      <w:r w:rsidR="005720D7" w:rsidRPr="00FF5867">
        <w:rPr>
          <w:lang w:val="en-CA"/>
        </w:rPr>
        <w:t xml:space="preserve"> and </w:t>
      </w:r>
      <w:r w:rsidR="005720D7" w:rsidRPr="00FF5867">
        <w:rPr>
          <w:lang w:val="en-CA"/>
        </w:rPr>
        <w:lastRenderedPageBreak/>
        <w:t>singular sentence</w:t>
      </w:r>
      <w:r>
        <w:rPr>
          <w:lang w:val="en-CA"/>
        </w:rPr>
        <w:t>s</w:t>
      </w:r>
      <w:r w:rsidR="005720D7" w:rsidRPr="00FF5867">
        <w:rPr>
          <w:lang w:val="en-CA"/>
        </w:rPr>
        <w:t>, 120 with plural subject NP context</w:t>
      </w:r>
      <w:r>
        <w:rPr>
          <w:lang w:val="en-CA"/>
        </w:rPr>
        <w:t>s</w:t>
      </w:r>
      <w:r w:rsidR="005720D7" w:rsidRPr="00FF5867">
        <w:rPr>
          <w:lang w:val="en-CA"/>
        </w:rPr>
        <w:t xml:space="preserve"> and plural sentence</w:t>
      </w:r>
      <w:r>
        <w:rPr>
          <w:lang w:val="en-CA"/>
        </w:rPr>
        <w:t>s</w:t>
      </w:r>
      <w:r w:rsidR="005720D7" w:rsidRPr="00FF5867">
        <w:rPr>
          <w:lang w:val="en-CA"/>
        </w:rPr>
        <w:t>, and 120 with neutral context</w:t>
      </w:r>
      <w:r>
        <w:rPr>
          <w:lang w:val="en-CA"/>
        </w:rPr>
        <w:t>s</w:t>
      </w:r>
      <w:r w:rsidR="005720D7" w:rsidRPr="00FF5867">
        <w:rPr>
          <w:lang w:val="en-CA"/>
        </w:rPr>
        <w:t xml:space="preserve"> and singular sentence</w:t>
      </w:r>
      <w:r>
        <w:rPr>
          <w:lang w:val="en-CA"/>
        </w:rPr>
        <w:t>s</w:t>
      </w:r>
      <w:r w:rsidR="005720D7" w:rsidRPr="00FF5867">
        <w:rPr>
          <w:lang w:val="en-CA"/>
        </w:rPr>
        <w:t xml:space="preserve">), for a total of 360 spoken items. We then cross-spliced as in the example provided in Table 2: each singular sentence was spliced with both a singular </w:t>
      </w:r>
      <w:r w:rsidR="005720D7" w:rsidRPr="00DF3F9B">
        <w:rPr>
          <w:lang w:val="en-CA"/>
        </w:rPr>
        <w:t xml:space="preserve">subject NP and neutral context (as in 1a and 1b), and each plural sentence was spliced with a plural subject NP context and the same neutral context that was used for the singular (as in </w:t>
      </w:r>
      <w:r w:rsidR="008C067F" w:rsidRPr="00DF3F9B">
        <w:rPr>
          <w:lang w:val="en-CA"/>
        </w:rPr>
        <w:t>2a</w:t>
      </w:r>
      <w:r w:rsidR="005720D7" w:rsidRPr="00DF3F9B">
        <w:rPr>
          <w:lang w:val="en-CA"/>
        </w:rPr>
        <w:t xml:space="preserve"> and </w:t>
      </w:r>
      <w:r w:rsidR="008C067F" w:rsidRPr="00DF3F9B">
        <w:rPr>
          <w:lang w:val="en-CA"/>
        </w:rPr>
        <w:t>2b</w:t>
      </w:r>
      <w:r w:rsidR="005720D7" w:rsidRPr="00DF3F9B">
        <w:rPr>
          <w:lang w:val="en-CA"/>
        </w:rPr>
        <w:t>). This created</w:t>
      </w:r>
      <w:r w:rsidR="005720D7" w:rsidRPr="00FF5867">
        <w:rPr>
          <w:lang w:val="en-CA"/>
        </w:rPr>
        <w:t xml:space="preserve"> item quadruplets, whereby the two singular versions differed in context </w:t>
      </w:r>
      <w:r>
        <w:rPr>
          <w:lang w:val="en-CA"/>
        </w:rPr>
        <w:t>only</w:t>
      </w:r>
      <w:r w:rsidR="005720D7" w:rsidRPr="00FF5867">
        <w:rPr>
          <w:lang w:val="en-CA"/>
        </w:rPr>
        <w:t xml:space="preserve">, the two plural versions also differed in context </w:t>
      </w:r>
      <w:r>
        <w:rPr>
          <w:lang w:val="en-CA"/>
        </w:rPr>
        <w:t>only</w:t>
      </w:r>
      <w:r w:rsidR="005720D7" w:rsidRPr="00FF5867">
        <w:rPr>
          <w:lang w:val="en-CA"/>
        </w:rPr>
        <w:t xml:space="preserve">, and the same neutral context was paired with both singular and plural sentences. This resulted in 120 item quadruplets, or 480 items. Each singular and plural item pair was associated with a corresponding image (i.e., singular items were </w:t>
      </w:r>
      <w:r w:rsidR="005720D7">
        <w:rPr>
          <w:lang w:val="en-CA"/>
        </w:rPr>
        <w:t>paired with an image depicting one</w:t>
      </w:r>
      <w:r w:rsidR="005720D7" w:rsidRPr="00FF5867">
        <w:rPr>
          <w:lang w:val="en-CA"/>
        </w:rPr>
        <w:t xml:space="preserve"> agent</w:t>
      </w:r>
      <w:r w:rsidR="005720D7">
        <w:rPr>
          <w:lang w:val="en-CA"/>
        </w:rPr>
        <w:t>,</w:t>
      </w:r>
      <w:r w:rsidR="005720D7" w:rsidRPr="00FF5867">
        <w:rPr>
          <w:lang w:val="en-CA"/>
        </w:rPr>
        <w:t xml:space="preserve"> and plural items were paired with an image depicting two agents). </w:t>
      </w:r>
      <w:r w:rsidR="00630A34">
        <w:rPr>
          <w:lang w:val="en-CA"/>
        </w:rPr>
        <w:t>N</w:t>
      </w:r>
      <w:r w:rsidR="005720D7" w:rsidRPr="00FF5867">
        <w:rPr>
          <w:lang w:val="en-CA"/>
        </w:rPr>
        <w:t xml:space="preserve">umber mismatches were created by presenting the same </w:t>
      </w:r>
      <w:r>
        <w:rPr>
          <w:lang w:val="en-CA"/>
        </w:rPr>
        <w:t xml:space="preserve">grammatical </w:t>
      </w:r>
      <w:r w:rsidR="005720D7" w:rsidRPr="00FF5867">
        <w:rPr>
          <w:lang w:val="en-CA"/>
        </w:rPr>
        <w:t>audio files, but swapping the images, such that audio files describing singular subjects were presented with images depicting plural subjects</w:t>
      </w:r>
      <w:r w:rsidR="00AC6442">
        <w:rPr>
          <w:lang w:val="en-CA"/>
        </w:rPr>
        <w:t xml:space="preserve"> (Table 2</w:t>
      </w:r>
      <w:r w:rsidR="00AC6442">
        <w:rPr>
          <w:lang w:val="en-CA"/>
        </w:rPr>
        <w:t>, items 1c-d and 2c-d</w:t>
      </w:r>
      <w:r w:rsidR="00AC6442">
        <w:rPr>
          <w:lang w:val="en-CA"/>
        </w:rPr>
        <w:t>)</w:t>
      </w:r>
      <w:r w:rsidR="005720D7" w:rsidRPr="00FF5867">
        <w:rPr>
          <w:lang w:val="en-CA"/>
        </w:rPr>
        <w:t xml:space="preserve">, and vice versa. In total, 960 audio file and image combinations were created (480 congruent and 480 incongruent). </w:t>
      </w:r>
    </w:p>
    <w:p w14:paraId="3AD8D120" w14:textId="3687D707" w:rsidR="000B7BF8" w:rsidRPr="000B7BF8" w:rsidRDefault="007C6BD8" w:rsidP="000B7BF8">
      <w:pPr>
        <w:rPr>
          <w:lang w:val="en-CA"/>
        </w:rPr>
      </w:pPr>
      <w:r w:rsidRPr="00DF3F9B">
        <w:rPr>
          <w:rStyle w:val="Titre1Car"/>
        </w:rPr>
        <w:t>List creation</w:t>
      </w:r>
      <w:r>
        <w:t>:</w:t>
      </w:r>
      <w:r>
        <w:rPr>
          <w:lang w:val="en-CA"/>
        </w:rPr>
        <w:t xml:space="preserve"> </w:t>
      </w:r>
      <w:r w:rsidR="004D1FD8">
        <w:rPr>
          <w:lang w:val="en-CA"/>
        </w:rPr>
        <w:t xml:space="preserve">Four different presentation orders (lists) were created. </w:t>
      </w:r>
      <w:r w:rsidR="00883D51" w:rsidRPr="00FF5867">
        <w:rPr>
          <w:lang w:val="en-CA"/>
        </w:rPr>
        <w:t>In each list, stimuli were evenly distributed across 15 blocks of 20 items each. The following constraints were met: (1) each block contained two items in each of the eight morphosyntactic sub</w:t>
      </w:r>
      <w:r>
        <w:rPr>
          <w:lang w:val="en-CA"/>
        </w:rPr>
        <w:t>-</w:t>
      </w:r>
      <w:r w:rsidR="00883D51" w:rsidRPr="00FF5867">
        <w:rPr>
          <w:lang w:val="en-CA"/>
        </w:rPr>
        <w:t>conditions as well as one sentence in each of the four semantic sub</w:t>
      </w:r>
      <w:r>
        <w:rPr>
          <w:lang w:val="en-CA"/>
        </w:rPr>
        <w:t>-</w:t>
      </w:r>
      <w:r w:rsidR="00883D51" w:rsidRPr="00FF5867">
        <w:rPr>
          <w:lang w:val="en-CA"/>
        </w:rPr>
        <w:t>conditions; (2) there was no consecutive repetition of the same sub</w:t>
      </w:r>
      <w:r>
        <w:rPr>
          <w:lang w:val="en-CA"/>
        </w:rPr>
        <w:t>-</w:t>
      </w:r>
      <w:r w:rsidR="00883D51" w:rsidRPr="00FF5867">
        <w:rPr>
          <w:lang w:val="en-CA"/>
        </w:rPr>
        <w:t>condition; (</w:t>
      </w:r>
      <w:r w:rsidR="00302A58">
        <w:rPr>
          <w:lang w:val="en-CA"/>
        </w:rPr>
        <w:t>3</w:t>
      </w:r>
      <w:r w:rsidR="00883D51" w:rsidRPr="00FF5867">
        <w:rPr>
          <w:lang w:val="en-CA"/>
        </w:rPr>
        <w:t>) match and mismatch conditions were evenly distributed across each block; (</w:t>
      </w:r>
      <w:r w:rsidR="00302A58">
        <w:rPr>
          <w:lang w:val="en-CA"/>
        </w:rPr>
        <w:t>4</w:t>
      </w:r>
      <w:r w:rsidR="00883D51" w:rsidRPr="00FF5867">
        <w:rPr>
          <w:lang w:val="en-CA"/>
        </w:rPr>
        <w:t xml:space="preserve">) in order to minimize strategic processing effects, </w:t>
      </w:r>
      <w:proofErr w:type="spellStart"/>
      <w:r w:rsidR="00883D51" w:rsidRPr="00FF5867">
        <w:rPr>
          <w:lang w:val="en-CA"/>
        </w:rPr>
        <w:t>pseudorandomization</w:t>
      </w:r>
      <w:proofErr w:type="spellEnd"/>
      <w:r w:rsidR="00883D51" w:rsidRPr="00FF5867">
        <w:rPr>
          <w:lang w:val="en-CA"/>
        </w:rPr>
        <w:t xml:space="preserve"> within blocks also prevented (a) consecutive presentation of items with the same agent, (b) consecutive presentation of more than three items from congruent or incongruent conditions, (c) consecutive presentation of more than three singular or plural items, (d) clusters of particularly long or short sentences. In order to further rule out any sequence effects, four additional mirror versions of each list were created by reversing both the block order and the sentence order within each block. Thus, a total of eight experimental lists were created and evenly assigned across male and female participants.</w:t>
      </w:r>
    </w:p>
    <w:p w14:paraId="6610CE0A" w14:textId="77777777" w:rsidR="000B7BF8" w:rsidRPr="000B7BF8" w:rsidRDefault="000B7BF8" w:rsidP="000B7BF8">
      <w:pPr>
        <w:pStyle w:val="Titre4"/>
        <w:numPr>
          <w:ilvl w:val="0"/>
          <w:numId w:val="0"/>
        </w:numPr>
      </w:pPr>
      <w:r w:rsidRPr="000B7BF8">
        <w:t>Sentence wrap-up effects for number mismatch conditions</w:t>
      </w:r>
    </w:p>
    <w:p w14:paraId="5DCDBADC" w14:textId="0CA06E36" w:rsidR="00557E3E" w:rsidRPr="007A0000" w:rsidRDefault="000B7BF8" w:rsidP="007A0000">
      <w:r w:rsidRPr="000B7BF8">
        <w:t xml:space="preserve">As in the semantic mismatch condition, number mismatches also elicited posterior negativities at sentence-final positions that are compatible with a wrap-up N400 effect (see </w:t>
      </w:r>
      <w:r w:rsidR="004162D0">
        <w:t>Supplementary</w:t>
      </w:r>
      <w:r>
        <w:t xml:space="preserve"> </w:t>
      </w:r>
      <w:r w:rsidRPr="000B7BF8">
        <w:t>Figure</w:t>
      </w:r>
      <w:r w:rsidR="002775FF">
        <w:t>s</w:t>
      </w:r>
      <w:r w:rsidRPr="000B7BF8">
        <w:t xml:space="preserve"> </w:t>
      </w:r>
      <w:r w:rsidR="00A1794A">
        <w:t>1</w:t>
      </w:r>
      <w:r w:rsidR="002775FF">
        <w:t xml:space="preserve"> and </w:t>
      </w:r>
      <w:r w:rsidR="00A1794A">
        <w:t>2</w:t>
      </w:r>
      <w:r w:rsidRPr="000B7BF8">
        <w:t>). A global ANOVA on the 1700–2000 ms time-window comparing match and mismatch verbs (both CONS and L</w:t>
      </w:r>
      <w:r w:rsidR="001023F9">
        <w:t>I</w:t>
      </w:r>
      <w:r w:rsidRPr="000B7BF8">
        <w:t xml:space="preserve">AIS) yielded significant </w:t>
      </w:r>
      <w:proofErr w:type="spellStart"/>
      <w:r w:rsidRPr="000B7BF8">
        <w:rPr>
          <w:smallCaps/>
        </w:rPr>
        <w:t>Condition×Anteriority</w:t>
      </w:r>
      <w:proofErr w:type="spellEnd"/>
      <w:r w:rsidRPr="000B7BF8">
        <w:t xml:space="preserve"> </w:t>
      </w:r>
      <w:r>
        <w:t>(</w:t>
      </w:r>
      <w:r>
        <w:rPr>
          <w:i/>
        </w:rPr>
        <w:t>F</w:t>
      </w:r>
      <w:r w:rsidR="001023F9">
        <w:t>(2, 42) = 4.</w:t>
      </w:r>
      <w:r>
        <w:t xml:space="preserve">19, </w:t>
      </w:r>
      <w:r>
        <w:rPr>
          <w:i/>
        </w:rPr>
        <w:t xml:space="preserve">p </w:t>
      </w:r>
      <w:r>
        <w:t>= 0.04)</w:t>
      </w:r>
      <w:r w:rsidRPr="000B7BF8">
        <w:t xml:space="preserve">, and </w:t>
      </w:r>
      <w:proofErr w:type="spellStart"/>
      <w:r w:rsidRPr="000B7BF8">
        <w:rPr>
          <w:smallCaps/>
        </w:rPr>
        <w:t>Condition×Laterality</w:t>
      </w:r>
      <w:proofErr w:type="spellEnd"/>
      <w:r w:rsidRPr="000B7BF8">
        <w:rPr>
          <w:smallCaps/>
        </w:rPr>
        <w:t xml:space="preserve"> </w:t>
      </w:r>
      <w:r w:rsidR="001023F9">
        <w:t>(</w:t>
      </w:r>
      <w:r w:rsidR="001023F9">
        <w:rPr>
          <w:i/>
        </w:rPr>
        <w:t>F</w:t>
      </w:r>
      <w:r w:rsidR="001023F9">
        <w:t xml:space="preserve">(1, 21) = 6.36, </w:t>
      </w:r>
      <w:r w:rsidR="001023F9">
        <w:rPr>
          <w:i/>
        </w:rPr>
        <w:t xml:space="preserve">p </w:t>
      </w:r>
      <w:r w:rsidR="001023F9">
        <w:t xml:space="preserve">= 0.02) </w:t>
      </w:r>
      <w:r w:rsidRPr="000B7BF8">
        <w:t xml:space="preserve">interactions in the lateral electrodes. These interactions reflect the negativity’s posterior and </w:t>
      </w:r>
      <w:r w:rsidR="009460F4">
        <w:t>medial</w:t>
      </w:r>
      <w:r w:rsidR="009460F4" w:rsidRPr="000B7BF8">
        <w:t xml:space="preserve"> </w:t>
      </w:r>
      <w:r w:rsidRPr="000B7BF8">
        <w:t xml:space="preserve">distribution. </w:t>
      </w:r>
      <w:r w:rsidR="009460F4">
        <w:t xml:space="preserve">While no significant interaction with </w:t>
      </w:r>
      <w:r w:rsidR="00CE45D7">
        <w:rPr>
          <w:smallCaps/>
        </w:rPr>
        <w:t>Context</w:t>
      </w:r>
      <w:r w:rsidR="009460F4">
        <w:t xml:space="preserve"> was found, separate plots for the two contexts suggested that the wrap-up effect was more prominent for NP contexts. In fact, separate analyses revealed no clear wrap-up N400 effect for neutral contexts. In contrast, </w:t>
      </w:r>
      <w:r w:rsidRPr="000B7BF8">
        <w:t xml:space="preserve">a comparison of match and mismatch verbs within NP contexts again reveals significant interactions of </w:t>
      </w:r>
      <w:proofErr w:type="spellStart"/>
      <w:r w:rsidRPr="000B7BF8">
        <w:rPr>
          <w:smallCaps/>
        </w:rPr>
        <w:t>Condition×Anteriority</w:t>
      </w:r>
      <w:proofErr w:type="spellEnd"/>
      <w:r w:rsidR="001023F9">
        <w:rPr>
          <w:smallCaps/>
        </w:rPr>
        <w:t xml:space="preserve"> </w:t>
      </w:r>
      <w:r w:rsidR="001023F9">
        <w:t>(</w:t>
      </w:r>
      <w:proofErr w:type="gramStart"/>
      <w:r w:rsidR="001023F9">
        <w:rPr>
          <w:i/>
        </w:rPr>
        <w:t>F</w:t>
      </w:r>
      <w:r w:rsidR="001023F9">
        <w:t>(</w:t>
      </w:r>
      <w:proofErr w:type="gramEnd"/>
      <w:r w:rsidR="001023F9">
        <w:t xml:space="preserve">2, 42) = 5.56, </w:t>
      </w:r>
      <w:r w:rsidR="001023F9">
        <w:rPr>
          <w:i/>
        </w:rPr>
        <w:t xml:space="preserve">p </w:t>
      </w:r>
      <w:r w:rsidR="001023F9">
        <w:t>= 0.02)</w:t>
      </w:r>
      <w:r w:rsidRPr="000B7BF8">
        <w:t xml:space="preserve">, </w:t>
      </w:r>
      <w:r w:rsidR="001023F9" w:rsidRPr="000B7BF8">
        <w:t>and</w:t>
      </w:r>
      <w:r w:rsidR="001023F9" w:rsidRPr="000B7BF8">
        <w:rPr>
          <w:smallCaps/>
        </w:rPr>
        <w:t xml:space="preserve"> </w:t>
      </w:r>
      <w:proofErr w:type="spellStart"/>
      <w:r w:rsidRPr="000B7BF8">
        <w:rPr>
          <w:smallCaps/>
        </w:rPr>
        <w:t>Condition×Laterality</w:t>
      </w:r>
      <w:proofErr w:type="spellEnd"/>
      <w:r w:rsidRPr="000B7BF8">
        <w:rPr>
          <w:smallCaps/>
        </w:rPr>
        <w:t xml:space="preserve"> </w:t>
      </w:r>
      <w:r w:rsidR="001023F9">
        <w:t>(</w:t>
      </w:r>
      <w:r w:rsidR="001023F9">
        <w:rPr>
          <w:i/>
        </w:rPr>
        <w:t>F</w:t>
      </w:r>
      <w:r w:rsidR="001023F9">
        <w:t xml:space="preserve">(1, 21) = 4.70, </w:t>
      </w:r>
      <w:r w:rsidR="001023F9">
        <w:rPr>
          <w:i/>
        </w:rPr>
        <w:t xml:space="preserve">p </w:t>
      </w:r>
      <w:r w:rsidR="001023F9">
        <w:t>= 0.04)</w:t>
      </w:r>
      <w:r w:rsidR="001023F9" w:rsidRPr="000B7BF8">
        <w:t>,</w:t>
      </w:r>
      <w:r w:rsidR="001023F9">
        <w:t xml:space="preserve"> </w:t>
      </w:r>
      <w:r w:rsidRPr="000B7BF8">
        <w:t xml:space="preserve">in lateral electrodes. These reflect the fact that </w:t>
      </w:r>
      <w:r w:rsidR="00CE45D7">
        <w:t>a</w:t>
      </w:r>
      <w:r w:rsidR="00CE45D7" w:rsidRPr="000B7BF8">
        <w:t xml:space="preserve"> </w:t>
      </w:r>
      <w:r w:rsidRPr="000B7BF8">
        <w:t xml:space="preserve">main effect of </w:t>
      </w:r>
      <w:r w:rsidRPr="000B7BF8">
        <w:rPr>
          <w:smallCaps/>
        </w:rPr>
        <w:t>Condition</w:t>
      </w:r>
      <w:r w:rsidRPr="000B7BF8">
        <w:t xml:space="preserve"> is observed in posterior electrodes </w:t>
      </w:r>
      <w:r w:rsidR="001023F9">
        <w:t>(</w:t>
      </w:r>
      <w:proofErr w:type="gramStart"/>
      <w:r w:rsidR="001023F9">
        <w:rPr>
          <w:i/>
        </w:rPr>
        <w:t>F</w:t>
      </w:r>
      <w:r w:rsidR="001023F9">
        <w:t>(</w:t>
      </w:r>
      <w:proofErr w:type="gramEnd"/>
      <w:r w:rsidR="001023F9">
        <w:t xml:space="preserve">1, 21) = 4.60, </w:t>
      </w:r>
      <w:r w:rsidR="001023F9">
        <w:rPr>
          <w:i/>
        </w:rPr>
        <w:t xml:space="preserve">p </w:t>
      </w:r>
      <w:r w:rsidR="001023F9">
        <w:t>= 0.04)</w:t>
      </w:r>
      <w:r w:rsidRPr="000B7BF8">
        <w:t>.</w:t>
      </w:r>
      <w:r w:rsidR="002775FF">
        <w:t xml:space="preserve"> </w:t>
      </w:r>
    </w:p>
    <w:p w14:paraId="48C388F4" w14:textId="77777777" w:rsidR="00557E3E" w:rsidRDefault="00557E3E" w:rsidP="00622BFC">
      <w:pPr>
        <w:rPr>
          <w:rFonts w:cs="Times New Roman"/>
          <w:lang w:val="en-CA"/>
        </w:rPr>
      </w:pPr>
    </w:p>
    <w:p w14:paraId="4CE29DBF" w14:textId="3FE4BCB2" w:rsidR="00622BFC" w:rsidRDefault="00622BFC" w:rsidP="00622BFC">
      <w:pPr>
        <w:rPr>
          <w:rFonts w:cs="Times New Roman"/>
          <w:lang w:val="en-CA"/>
        </w:rPr>
      </w:pPr>
    </w:p>
    <w:p w14:paraId="722B2159" w14:textId="04C30D1D" w:rsidR="006F633A" w:rsidRPr="004162D0" w:rsidRDefault="002775FF" w:rsidP="006F633A">
      <w:r>
        <w:rPr>
          <w:rFonts w:cs="Times New Roman"/>
          <w:b/>
          <w:noProof/>
          <w:szCs w:val="24"/>
        </w:rPr>
        <w:lastRenderedPageBreak/>
        <w:drawing>
          <wp:inline distT="0" distB="0" distL="0" distR="0" wp14:anchorId="7D992389" wp14:editId="14F92537">
            <wp:extent cx="5587595" cy="6962775"/>
            <wp:effectExtent l="0" t="0" r="635"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7708" cy="6962916"/>
                    </a:xfrm>
                    <a:prstGeom prst="rect">
                      <a:avLst/>
                    </a:prstGeom>
                    <a:noFill/>
                    <a:ln>
                      <a:noFill/>
                    </a:ln>
                  </pic:spPr>
                </pic:pic>
              </a:graphicData>
            </a:graphic>
          </wp:inline>
        </w:drawing>
      </w:r>
      <w:r w:rsidR="006F633A" w:rsidRPr="0001436A">
        <w:rPr>
          <w:rFonts w:cs="Times New Roman"/>
          <w:b/>
          <w:szCs w:val="24"/>
        </w:rPr>
        <w:t xml:space="preserve">Supplementary </w:t>
      </w:r>
      <w:r w:rsidR="006F633A" w:rsidRPr="000B7BF8">
        <w:rPr>
          <w:b/>
        </w:rPr>
        <w:t xml:space="preserve">Figure </w:t>
      </w:r>
      <w:r w:rsidR="00630A34">
        <w:rPr>
          <w:b/>
        </w:rPr>
        <w:t>1</w:t>
      </w:r>
      <w:r w:rsidR="006F633A" w:rsidRPr="000B7BF8">
        <w:rPr>
          <w:b/>
        </w:rPr>
        <w:t>: Sentence wrap up effects in number mismatch conditions</w:t>
      </w:r>
      <w:r>
        <w:rPr>
          <w:b/>
        </w:rPr>
        <w:t xml:space="preserve"> for NP contexts</w:t>
      </w:r>
      <w:r w:rsidR="006F633A" w:rsidRPr="000B7BF8">
        <w:rPr>
          <w:b/>
        </w:rPr>
        <w:t xml:space="preserve">. </w:t>
      </w:r>
      <w:r w:rsidR="006F633A" w:rsidRPr="000B7BF8">
        <w:t xml:space="preserve">Late effects for cross-modal </w:t>
      </w:r>
      <w:r>
        <w:t xml:space="preserve">number mismatches in </w:t>
      </w:r>
      <w:r w:rsidR="006F633A" w:rsidRPr="000B7BF8">
        <w:t>NP contexts measured from the</w:t>
      </w:r>
      <w:r>
        <w:t xml:space="preserve"> onset of the</w:t>
      </w:r>
      <w:r w:rsidR="006F633A" w:rsidRPr="000B7BF8">
        <w:t xml:space="preserve"> verb. Displayed are grand-average ERPs at midline and medial electrodes for all participants, time-locked to the onset of the verb (vertical bar) with a baseline of -600 to 0 ms. Mismatching NP context conditions (</w:t>
      </w:r>
      <w:r w:rsidR="006F633A">
        <w:t>red</w:t>
      </w:r>
      <w:r w:rsidR="006F633A" w:rsidRPr="000B7BF8">
        <w:t>) elicited a late right-lateralized posterior negativity in the 1700–2000 time-window relative to matching NP contexts (</w:t>
      </w:r>
      <w:r w:rsidR="006F633A">
        <w:t>green</w:t>
      </w:r>
      <w:r w:rsidR="006F633A" w:rsidRPr="000B7BF8">
        <w:t xml:space="preserve">). </w:t>
      </w:r>
    </w:p>
    <w:p w14:paraId="15F1A3F1" w14:textId="77777777" w:rsidR="006F633A" w:rsidRDefault="006F633A" w:rsidP="00622BFC">
      <w:pPr>
        <w:spacing w:before="0" w:after="0"/>
        <w:rPr>
          <w:rFonts w:cs="Times New Roman"/>
        </w:rPr>
      </w:pPr>
    </w:p>
    <w:p w14:paraId="3C80A399" w14:textId="4D134565" w:rsidR="004162D0" w:rsidRPr="000B7BF8" w:rsidRDefault="00917004" w:rsidP="004162D0">
      <w:r>
        <w:rPr>
          <w:noProof/>
        </w:rPr>
        <w:drawing>
          <wp:inline distT="0" distB="0" distL="0" distR="0" wp14:anchorId="584C808F" wp14:editId="42F0FE38">
            <wp:extent cx="5325916" cy="6945630"/>
            <wp:effectExtent l="0" t="0" r="8255"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6545" cy="6946450"/>
                    </a:xfrm>
                    <a:prstGeom prst="rect">
                      <a:avLst/>
                    </a:prstGeom>
                    <a:noFill/>
                    <a:ln>
                      <a:noFill/>
                    </a:ln>
                  </pic:spPr>
                </pic:pic>
              </a:graphicData>
            </a:graphic>
          </wp:inline>
        </w:drawing>
      </w:r>
    </w:p>
    <w:p w14:paraId="420B09B8" w14:textId="49DAB26E" w:rsidR="004162D0" w:rsidRPr="004162D0" w:rsidRDefault="004162D0" w:rsidP="004162D0">
      <w:r w:rsidRPr="0001436A">
        <w:rPr>
          <w:rFonts w:cs="Times New Roman"/>
          <w:b/>
          <w:szCs w:val="24"/>
        </w:rPr>
        <w:t xml:space="preserve">Supplementary </w:t>
      </w:r>
      <w:r w:rsidRPr="000B7BF8">
        <w:rPr>
          <w:b/>
        </w:rPr>
        <w:t xml:space="preserve">Figure </w:t>
      </w:r>
      <w:r w:rsidR="00630A34">
        <w:rPr>
          <w:b/>
        </w:rPr>
        <w:t>2</w:t>
      </w:r>
      <w:r w:rsidRPr="000B7BF8">
        <w:rPr>
          <w:b/>
        </w:rPr>
        <w:t>: Sentence wrap up effects in number mismatch conditions</w:t>
      </w:r>
      <w:r w:rsidR="006F633A">
        <w:rPr>
          <w:b/>
        </w:rPr>
        <w:t xml:space="preserve"> for </w:t>
      </w:r>
      <w:r w:rsidR="002775FF">
        <w:rPr>
          <w:b/>
        </w:rPr>
        <w:t>neutral</w:t>
      </w:r>
      <w:r w:rsidR="006F633A">
        <w:rPr>
          <w:b/>
        </w:rPr>
        <w:t xml:space="preserve"> contexts</w:t>
      </w:r>
      <w:r w:rsidRPr="000B7BF8">
        <w:rPr>
          <w:b/>
        </w:rPr>
        <w:t xml:space="preserve">. </w:t>
      </w:r>
      <w:r w:rsidRPr="000B7BF8">
        <w:t>Late effects for cross-moda</w:t>
      </w:r>
      <w:r w:rsidR="006F633A">
        <w:t xml:space="preserve">l number mismatches in </w:t>
      </w:r>
      <w:r w:rsidR="00625A90">
        <w:t>neutral</w:t>
      </w:r>
      <w:r w:rsidRPr="000B7BF8">
        <w:t xml:space="preserve"> contexts measured from the</w:t>
      </w:r>
      <w:r w:rsidR="00625A90">
        <w:t xml:space="preserve"> onset of the</w:t>
      </w:r>
      <w:r w:rsidRPr="000B7BF8">
        <w:t xml:space="preserve"> verb. Displayed are grand-average ERPs at midline and medial electrodes for all participants, time-locked to the onset of the verb (vertical bar) with a baseline of -600 to 0 ms. </w:t>
      </w:r>
      <w:r w:rsidRPr="000B7BF8">
        <w:lastRenderedPageBreak/>
        <w:t xml:space="preserve">Mismatching </w:t>
      </w:r>
      <w:r w:rsidR="00625A90">
        <w:t>neutral</w:t>
      </w:r>
      <w:r w:rsidRPr="000B7BF8">
        <w:t xml:space="preserve"> context conditions (</w:t>
      </w:r>
      <w:r w:rsidR="006F633A">
        <w:t>magenta</w:t>
      </w:r>
      <w:r w:rsidRPr="000B7BF8">
        <w:t xml:space="preserve">) elicited </w:t>
      </w:r>
      <w:r w:rsidR="00625A90">
        <w:t>no</w:t>
      </w:r>
      <w:r w:rsidRPr="000B7BF8">
        <w:t xml:space="preserve"> negativity in the 1700–2000 time-window relative to matching </w:t>
      </w:r>
      <w:r w:rsidR="00557E3E">
        <w:t>neutral</w:t>
      </w:r>
      <w:r w:rsidRPr="000B7BF8">
        <w:t xml:space="preserve"> contexts (</w:t>
      </w:r>
      <w:r w:rsidR="006F633A">
        <w:t>blue</w:t>
      </w:r>
      <w:r w:rsidRPr="000B7BF8">
        <w:t xml:space="preserve">). </w:t>
      </w:r>
    </w:p>
    <w:p w14:paraId="39E47C63" w14:textId="77777777" w:rsidR="00630A34" w:rsidRDefault="00630A34" w:rsidP="00630A34">
      <w:pPr>
        <w:rPr>
          <w:rFonts w:cs="Times New Roman"/>
          <w:lang w:val="en-CA"/>
        </w:rPr>
      </w:pPr>
      <w:proofErr w:type="gramStart"/>
      <w:r w:rsidRPr="00DF3F9B">
        <w:rPr>
          <w:rStyle w:val="Titre1Car"/>
        </w:rPr>
        <w:t>References</w:t>
      </w:r>
      <w:r>
        <w:rPr>
          <w:rFonts w:cs="Times New Roman"/>
          <w:lang w:val="en-CA"/>
        </w:rPr>
        <w:t xml:space="preserve"> :</w:t>
      </w:r>
      <w:proofErr w:type="gramEnd"/>
    </w:p>
    <w:p w14:paraId="0D84BAE8" w14:textId="77777777" w:rsidR="00630A34" w:rsidRDefault="00630A34" w:rsidP="00630A34">
      <w:pPr>
        <w:rPr>
          <w:rFonts w:cs="Times New Roman"/>
        </w:rPr>
      </w:pPr>
      <w:r w:rsidRPr="00D53120">
        <w:rPr>
          <w:rFonts w:cs="Times New Roman"/>
        </w:rPr>
        <w:t>Audacity Team (2017). Audacity(R): Free Audio Editor and Recorder [Computer application]. Version 2.2.1 retrieved December 20th 2017 fr</w:t>
      </w:r>
      <w:r>
        <w:rPr>
          <w:rFonts w:cs="Times New Roman"/>
        </w:rPr>
        <w:t>om https://audacityteam.org/</w:t>
      </w:r>
    </w:p>
    <w:p w14:paraId="7A396617" w14:textId="1B6A2312" w:rsidR="00FB6454" w:rsidRPr="00FB6454" w:rsidRDefault="00630A34" w:rsidP="00FB6454">
      <w:pPr>
        <w:rPr>
          <w:rFonts w:cs="Times New Roman"/>
        </w:rPr>
      </w:pPr>
      <w:r>
        <w:rPr>
          <w:rFonts w:cs="Times New Roman"/>
        </w:rPr>
        <w:t>Boersma, P.,</w:t>
      </w:r>
      <w:r w:rsidRPr="001A42F0">
        <w:rPr>
          <w:rFonts w:cs="Times New Roman"/>
        </w:rPr>
        <w:t xml:space="preserve"> </w:t>
      </w:r>
      <w:r w:rsidR="00FB6454">
        <w:rPr>
          <w:rFonts w:cs="Times New Roman"/>
        </w:rPr>
        <w:t>&amp;</w:t>
      </w:r>
      <w:r>
        <w:rPr>
          <w:rFonts w:cs="Times New Roman"/>
        </w:rPr>
        <w:t xml:space="preserve"> W.</w:t>
      </w:r>
      <w:r w:rsidRPr="001A42F0">
        <w:rPr>
          <w:rFonts w:cs="Times New Roman"/>
        </w:rPr>
        <w:t xml:space="preserve">, David (2018). </w:t>
      </w:r>
      <w:proofErr w:type="spellStart"/>
      <w:r w:rsidRPr="001A42F0">
        <w:rPr>
          <w:rFonts w:cs="Times New Roman"/>
        </w:rPr>
        <w:t>Praat</w:t>
      </w:r>
      <w:proofErr w:type="spellEnd"/>
      <w:r w:rsidRPr="001A42F0">
        <w:rPr>
          <w:rFonts w:cs="Times New Roman"/>
        </w:rPr>
        <w:t xml:space="preserve">: doing phonetics by computer [Computer program]. </w:t>
      </w:r>
      <w:proofErr w:type="gramStart"/>
      <w:r w:rsidRPr="001A42F0">
        <w:rPr>
          <w:rFonts w:cs="Times New Roman"/>
        </w:rPr>
        <w:t>Version 6.0.40,</w:t>
      </w:r>
      <w:proofErr w:type="gramEnd"/>
      <w:r w:rsidRPr="001A42F0">
        <w:rPr>
          <w:rFonts w:cs="Times New Roman"/>
        </w:rPr>
        <w:t xml:space="preserve"> retrieved </w:t>
      </w:r>
      <w:r>
        <w:rPr>
          <w:rFonts w:cs="Times New Roman"/>
        </w:rPr>
        <w:t>September</w:t>
      </w:r>
      <w:r w:rsidRPr="001A42F0">
        <w:rPr>
          <w:rFonts w:cs="Times New Roman"/>
        </w:rPr>
        <w:t xml:space="preserve"> 2018 from http://www.praat.org/</w:t>
      </w:r>
      <w:r>
        <w:rPr>
          <w:rFonts w:cs="Times New Roman"/>
        </w:rPr>
        <w:t>.</w:t>
      </w:r>
      <w:bookmarkStart w:id="1" w:name="_GoBack"/>
      <w:bookmarkEnd w:id="1"/>
    </w:p>
    <w:p w14:paraId="618F5BE8" w14:textId="0744ECB4" w:rsidR="00FB6454" w:rsidRPr="00FB6454" w:rsidRDefault="00255D7A" w:rsidP="00C77EB9">
      <w:pPr>
        <w:spacing w:before="0" w:after="0"/>
        <w:rPr>
          <w:rFonts w:cs="Times New Roman"/>
          <w:szCs w:val="24"/>
        </w:rPr>
      </w:pPr>
      <w:proofErr w:type="spellStart"/>
      <w:r>
        <w:t>Hagoort</w:t>
      </w:r>
      <w:proofErr w:type="spellEnd"/>
      <w:r>
        <w:t xml:space="preserve">, P. (2003). Interplay between syntax and semantics during sentence comprehension: ERP effects of </w:t>
      </w:r>
      <w:r w:rsidRPr="004162D0">
        <w:rPr>
          <w:rFonts w:cs="Times New Roman"/>
          <w:szCs w:val="24"/>
        </w:rPr>
        <w:t xml:space="preserve">combining syntactic and semantic violations. </w:t>
      </w:r>
      <w:r w:rsidRPr="004162D0">
        <w:rPr>
          <w:rFonts w:cs="Times New Roman"/>
          <w:i/>
          <w:iCs/>
          <w:szCs w:val="24"/>
        </w:rPr>
        <w:t>Journal of Cognitive Neuroscience</w:t>
      </w:r>
      <w:r w:rsidRPr="004162D0">
        <w:rPr>
          <w:rFonts w:cs="Times New Roman"/>
          <w:szCs w:val="24"/>
        </w:rPr>
        <w:t xml:space="preserve">, </w:t>
      </w:r>
      <w:r w:rsidRPr="004162D0">
        <w:rPr>
          <w:rFonts w:cs="Times New Roman"/>
          <w:i/>
          <w:szCs w:val="24"/>
        </w:rPr>
        <w:t>15</w:t>
      </w:r>
      <w:r w:rsidRPr="004162D0">
        <w:rPr>
          <w:rFonts w:cs="Times New Roman"/>
          <w:szCs w:val="24"/>
        </w:rPr>
        <w:t xml:space="preserve">(6), 883-899. </w:t>
      </w:r>
      <w:r w:rsidRPr="00C77EB9">
        <w:rPr>
          <w:rFonts w:cs="Times New Roman"/>
          <w:szCs w:val="24"/>
        </w:rPr>
        <w:t>doi:10.1162/089892903322370807</w:t>
      </w:r>
    </w:p>
    <w:p w14:paraId="1952B3E3" w14:textId="77777777" w:rsidR="00FB6454" w:rsidRDefault="00FB6454" w:rsidP="00FB6454">
      <w:pPr>
        <w:rPr>
          <w:rFonts w:cs="Times New Roman"/>
        </w:rPr>
      </w:pPr>
      <w:proofErr w:type="spellStart"/>
      <w:r w:rsidRPr="00FB6454">
        <w:rPr>
          <w:rFonts w:cs="Times New Roman"/>
          <w:szCs w:val="24"/>
          <w:lang w:val="fr-FR"/>
        </w:rPr>
        <w:t>Lété</w:t>
      </w:r>
      <w:proofErr w:type="spellEnd"/>
      <w:r w:rsidRPr="00FB6454">
        <w:rPr>
          <w:rFonts w:cs="Times New Roman"/>
          <w:szCs w:val="24"/>
          <w:lang w:val="fr-FR"/>
        </w:rPr>
        <w:t xml:space="preserve">, B., </w:t>
      </w:r>
      <w:proofErr w:type="spellStart"/>
      <w:r w:rsidRPr="00FB6454">
        <w:rPr>
          <w:rFonts w:cs="Times New Roman"/>
          <w:szCs w:val="24"/>
          <w:lang w:val="fr-FR"/>
        </w:rPr>
        <w:t>Sprenger</w:t>
      </w:r>
      <w:proofErr w:type="spellEnd"/>
      <w:r w:rsidRPr="00FB6454">
        <w:rPr>
          <w:rFonts w:cs="Times New Roman"/>
          <w:szCs w:val="24"/>
          <w:lang w:val="fr-FR"/>
        </w:rPr>
        <w:t xml:space="preserve">-Charolles, L., &amp; </w:t>
      </w:r>
      <w:proofErr w:type="spellStart"/>
      <w:r w:rsidRPr="00FB6454">
        <w:rPr>
          <w:rFonts w:cs="Times New Roman"/>
          <w:szCs w:val="24"/>
          <w:lang w:val="fr-FR"/>
        </w:rPr>
        <w:t>Colé</w:t>
      </w:r>
      <w:proofErr w:type="spellEnd"/>
      <w:r w:rsidRPr="00FB6454">
        <w:rPr>
          <w:rFonts w:cs="Times New Roman"/>
          <w:szCs w:val="24"/>
          <w:lang w:val="fr-FR"/>
        </w:rPr>
        <w:t xml:space="preserve">, P. (2004). </w:t>
      </w:r>
      <w:r w:rsidRPr="00FB6454">
        <w:rPr>
          <w:rFonts w:cs="Times New Roman"/>
          <w:szCs w:val="24"/>
        </w:rPr>
        <w:t xml:space="preserve">MANULEX: A grade-level lexical database from French elementary school readers. </w:t>
      </w:r>
      <w:proofErr w:type="spellStart"/>
      <w:r w:rsidRPr="00FB6454">
        <w:rPr>
          <w:rFonts w:cs="Times New Roman"/>
          <w:i/>
          <w:iCs/>
          <w:szCs w:val="24"/>
          <w:lang w:val="fr-FR"/>
        </w:rPr>
        <w:t>Behavior</w:t>
      </w:r>
      <w:proofErr w:type="spellEnd"/>
      <w:r w:rsidRPr="00FB6454">
        <w:rPr>
          <w:rFonts w:cs="Times New Roman"/>
          <w:i/>
          <w:iCs/>
          <w:szCs w:val="24"/>
          <w:lang w:val="fr-FR"/>
        </w:rPr>
        <w:t xml:space="preserve"> </w:t>
      </w:r>
      <w:proofErr w:type="spellStart"/>
      <w:r w:rsidRPr="00FB6454">
        <w:rPr>
          <w:rFonts w:cs="Times New Roman"/>
          <w:i/>
          <w:iCs/>
          <w:szCs w:val="24"/>
          <w:lang w:val="fr-FR"/>
        </w:rPr>
        <w:t>Research</w:t>
      </w:r>
      <w:proofErr w:type="spellEnd"/>
      <w:r w:rsidRPr="00FB6454">
        <w:rPr>
          <w:rFonts w:cs="Times New Roman"/>
          <w:i/>
          <w:iCs/>
          <w:szCs w:val="24"/>
          <w:lang w:val="fr-FR"/>
        </w:rPr>
        <w:t xml:space="preserve"> </w:t>
      </w:r>
      <w:proofErr w:type="spellStart"/>
      <w:r w:rsidRPr="00FB6454">
        <w:rPr>
          <w:rFonts w:cs="Times New Roman"/>
          <w:i/>
          <w:iCs/>
          <w:szCs w:val="24"/>
          <w:lang w:val="fr-FR"/>
        </w:rPr>
        <w:t>Methods</w:t>
      </w:r>
      <w:proofErr w:type="spellEnd"/>
      <w:r w:rsidRPr="00FB6454">
        <w:rPr>
          <w:rFonts w:cs="Times New Roman"/>
          <w:i/>
          <w:iCs/>
          <w:szCs w:val="24"/>
          <w:lang w:val="fr-FR"/>
        </w:rPr>
        <w:t>, Instruments, &amp; Computers, 36</w:t>
      </w:r>
      <w:r w:rsidRPr="00FB6454">
        <w:rPr>
          <w:rFonts w:cs="Times New Roman"/>
          <w:szCs w:val="24"/>
          <w:lang w:val="fr-FR"/>
        </w:rPr>
        <w:t xml:space="preserve">(1), 156–166. </w:t>
      </w:r>
      <w:proofErr w:type="gramStart"/>
      <w:r w:rsidRPr="00FB6454">
        <w:rPr>
          <w:rFonts w:cs="Times New Roman"/>
          <w:szCs w:val="24"/>
          <w:lang w:val="fr-FR"/>
        </w:rPr>
        <w:t>doi:</w:t>
      </w:r>
      <w:proofErr w:type="gramEnd"/>
      <w:r w:rsidRPr="00FB6454">
        <w:rPr>
          <w:rFonts w:cs="Times New Roman"/>
          <w:szCs w:val="24"/>
          <w:lang w:val="fr-FR"/>
        </w:rPr>
        <w:t>10.3758/bf03195560</w:t>
      </w:r>
    </w:p>
    <w:p w14:paraId="54A48534" w14:textId="67C3E75A" w:rsidR="00255D7A" w:rsidRPr="00C77EB9" w:rsidRDefault="00255D7A" w:rsidP="00C77EB9">
      <w:pPr>
        <w:spacing w:before="0" w:after="0"/>
        <w:rPr>
          <w:rFonts w:cs="Times New Roman"/>
          <w:szCs w:val="24"/>
          <w:lang w:val="fr-FR"/>
        </w:rPr>
      </w:pPr>
      <w:r w:rsidRPr="00C77EB9">
        <w:rPr>
          <w:rFonts w:cs="Times New Roman"/>
          <w:szCs w:val="24"/>
          <w:lang w:val="fr-CA"/>
        </w:rPr>
        <w:t xml:space="preserve">New, B., Pallier, C., Ferrand, L., &amp; Matos, R. (2001). </w:t>
      </w:r>
      <w:r w:rsidRPr="00C77EB9">
        <w:rPr>
          <w:rFonts w:cs="Times New Roman"/>
          <w:szCs w:val="24"/>
          <w:lang w:val="fr-FR"/>
        </w:rPr>
        <w:t xml:space="preserve">Une base de données lexicales du français contemporain sur internet : LEXIQUE. </w:t>
      </w:r>
      <w:r w:rsidRPr="00C77EB9">
        <w:rPr>
          <w:rFonts w:cs="Times New Roman"/>
          <w:i/>
          <w:iCs/>
          <w:szCs w:val="24"/>
          <w:lang w:val="fr-FR"/>
        </w:rPr>
        <w:t>L'Année Psychologique, 101</w:t>
      </w:r>
      <w:r w:rsidRPr="00C77EB9">
        <w:rPr>
          <w:rFonts w:cs="Times New Roman"/>
          <w:szCs w:val="24"/>
          <w:lang w:val="fr-FR"/>
        </w:rPr>
        <w:t xml:space="preserve">, 447-462. </w:t>
      </w:r>
      <w:proofErr w:type="spellStart"/>
      <w:proofErr w:type="gramStart"/>
      <w:r w:rsidRPr="00C77EB9">
        <w:rPr>
          <w:rFonts w:cs="Times New Roman"/>
          <w:szCs w:val="24"/>
          <w:lang w:val="fr-FR"/>
        </w:rPr>
        <w:t>doi</w:t>
      </w:r>
      <w:proofErr w:type="spellEnd"/>
      <w:r w:rsidRPr="00C77EB9">
        <w:rPr>
          <w:rFonts w:cs="Times New Roman"/>
          <w:szCs w:val="24"/>
          <w:lang w:val="fr-FR"/>
        </w:rPr>
        <w:t>:</w:t>
      </w:r>
      <w:proofErr w:type="gramEnd"/>
      <w:r>
        <w:rPr>
          <w:rFonts w:cs="Times New Roman"/>
          <w:szCs w:val="24"/>
          <w:lang w:val="fr-FR"/>
        </w:rPr>
        <w:t xml:space="preserve"> </w:t>
      </w:r>
      <w:r w:rsidRPr="00C77EB9">
        <w:rPr>
          <w:rFonts w:cs="Times New Roman"/>
          <w:szCs w:val="24"/>
          <w:lang w:val="fr-FR"/>
        </w:rPr>
        <w:t>10.3406/psy.2001.1341</w:t>
      </w:r>
    </w:p>
    <w:p w14:paraId="2F7AD6A0" w14:textId="77777777" w:rsidR="00255D7A" w:rsidRPr="00255D7A" w:rsidRDefault="00255D7A" w:rsidP="005C61DA">
      <w:pPr>
        <w:spacing w:before="0" w:after="0"/>
        <w:rPr>
          <w:rFonts w:cs="Times New Roman"/>
          <w:lang w:val="en-CA"/>
        </w:rPr>
      </w:pPr>
    </w:p>
    <w:sectPr w:rsidR="00255D7A" w:rsidRPr="00255D7A" w:rsidSect="0093429D">
      <w:headerReference w:type="even" r:id="rId10"/>
      <w:headerReference w:type="default"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CFF34" w14:textId="77777777" w:rsidR="00E73723" w:rsidRDefault="00E73723" w:rsidP="00117666">
      <w:pPr>
        <w:spacing w:after="0"/>
      </w:pPr>
      <w:r>
        <w:separator/>
      </w:r>
    </w:p>
  </w:endnote>
  <w:endnote w:type="continuationSeparator" w:id="0">
    <w:p w14:paraId="12C83C24" w14:textId="77777777" w:rsidR="00E73723" w:rsidRDefault="00E7372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630A34" w:rsidRPr="00577C4C" w:rsidRDefault="00630A34">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22157A5E" w:rsidR="00630A34" w:rsidRPr="00577C4C" w:rsidRDefault="00630A3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C620C">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50BC4D33" w14:textId="22157A5E" w:rsidR="00630A34" w:rsidRPr="00577C4C" w:rsidRDefault="00630A3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C620C">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630A34" w:rsidRPr="00577C4C" w:rsidRDefault="00630A34">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DC59170" w:rsidR="00630A34" w:rsidRPr="00577C4C" w:rsidRDefault="00630A3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F7FB1">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570F0D09" w14:textId="7DC59170" w:rsidR="00630A34" w:rsidRPr="00577C4C" w:rsidRDefault="00630A3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F7FB1">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220C0" w14:textId="77777777" w:rsidR="00E73723" w:rsidRDefault="00E73723" w:rsidP="00117666">
      <w:pPr>
        <w:spacing w:after="0"/>
      </w:pPr>
      <w:r>
        <w:separator/>
      </w:r>
    </w:p>
  </w:footnote>
  <w:footnote w:type="continuationSeparator" w:id="0">
    <w:p w14:paraId="4A5D95F9" w14:textId="77777777" w:rsidR="00E73723" w:rsidRDefault="00E7372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6E7A8EDA" w:rsidR="00630A34" w:rsidRPr="009151AA" w:rsidRDefault="00630A3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E4902" w14:textId="74FDA3AD" w:rsidR="00C77EB9" w:rsidRPr="00C77EB9" w:rsidRDefault="00C77EB9" w:rsidP="00C77EB9">
    <w:pPr>
      <w:pStyle w:val="En-tte"/>
      <w:jc w:val="right"/>
      <w:rPr>
        <w:b w:val="0"/>
      </w:rPr>
    </w:pPr>
    <w:r w:rsidRPr="00C77EB9">
      <w:rPr>
        <w:rFonts w:cs="Times New Roman"/>
        <w:b w:val="0"/>
      </w:rPr>
      <w:t>Courteau et al.,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630A34" w:rsidRDefault="00630A34" w:rsidP="0093429D">
    <w:r w:rsidRPr="005A1D84">
      <w:rPr>
        <w:b/>
        <w:noProof/>
        <w:color w:val="A6A6A6" w:themeColor="background1" w:themeShade="A6"/>
      </w:rPr>
      <w:drawing>
        <wp:inline distT="0" distB="0" distL="0" distR="0" wp14:anchorId="07D26A56" wp14:editId="2E460F0E">
          <wp:extent cx="1382534" cy="497091"/>
          <wp:effectExtent l="0" t="0" r="0" b="0"/>
          <wp:docPr id="20" name="Picture 20"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Titre1"/>
        <w:lvlText w:val="%1"/>
        <w:lvlJc w:val="left"/>
        <w:pPr>
          <w:tabs>
            <w:tab w:val="num" w:pos="567"/>
          </w:tabs>
          <w:ind w:left="567" w:hanging="567"/>
        </w:pPr>
        <w:rPr>
          <w:rFonts w:hint="default"/>
        </w:rPr>
      </w:lvl>
    </w:lvlOverride>
    <w:lvlOverride w:ilvl="1">
      <w:lvl w:ilvl="1">
        <w:start w:val="1"/>
        <w:numFmt w:val="decimal"/>
        <w:pStyle w:val="Titre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
    <w:abstractNumId w:val="4"/>
  </w:num>
  <w:num w:numId="22">
    <w:abstractNumId w:val="2"/>
    <w:lvlOverride w:ilvl="0">
      <w:lvl w:ilvl="0">
        <w:start w:val="1"/>
        <w:numFmt w:val="decimal"/>
        <w:pStyle w:val="Titre1"/>
        <w:lvlText w:val="%1"/>
        <w:lvlJc w:val="left"/>
        <w:pPr>
          <w:tabs>
            <w:tab w:val="num" w:pos="567"/>
          </w:tabs>
          <w:ind w:left="567" w:hanging="567"/>
        </w:pPr>
        <w:rPr>
          <w:rFonts w:hint="default"/>
        </w:rPr>
      </w:lvl>
    </w:lvlOverride>
    <w:lvlOverride w:ilvl="1">
      <w:lvl w:ilvl="1">
        <w:start w:val="1"/>
        <w:numFmt w:val="decimal"/>
        <w:pStyle w:val="Titre2"/>
        <w:lvlText w:val="%1.%2"/>
        <w:lvlJc w:val="left"/>
        <w:pPr>
          <w:tabs>
            <w:tab w:val="num" w:pos="567"/>
          </w:tabs>
          <w:ind w:left="567" w:hanging="567"/>
        </w:pPr>
        <w:rPr>
          <w:rFonts w:hint="default"/>
        </w:rPr>
      </w:lvl>
    </w:lvlOverride>
    <w:lvlOverride w:ilvl="2">
      <w:lvl w:ilvl="2">
        <w:start w:val="1"/>
        <w:numFmt w:val="decimal"/>
        <w:pStyle w:val="Titre3"/>
        <w:lvlText w:val="%1.%2.%3"/>
        <w:lvlJc w:val="left"/>
        <w:pPr>
          <w:tabs>
            <w:tab w:val="num" w:pos="567"/>
          </w:tabs>
          <w:ind w:left="567" w:hanging="567"/>
        </w:pPr>
        <w:rPr>
          <w:rFonts w:hint="default"/>
        </w:rPr>
      </w:lvl>
    </w:lvlOverride>
    <w:lvlOverride w:ilvl="3">
      <w:lvl w:ilvl="3">
        <w:start w:val="1"/>
        <w:numFmt w:val="decimal"/>
        <w:pStyle w:val="Titre4"/>
        <w:lvlText w:val="%1.%2.%3.%4"/>
        <w:lvlJc w:val="left"/>
        <w:pPr>
          <w:tabs>
            <w:tab w:val="num" w:pos="567"/>
          </w:tabs>
          <w:ind w:left="567" w:hanging="567"/>
        </w:pPr>
        <w:rPr>
          <w:rFonts w:hint="default"/>
        </w:rPr>
      </w:lvl>
    </w:lvlOverride>
    <w:lvlOverride w:ilvl="4">
      <w:lvl w:ilvl="4">
        <w:start w:val="1"/>
        <w:numFmt w:val="decimal"/>
        <w:pStyle w:val="Titre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20666"/>
    <w:rsid w:val="00023921"/>
    <w:rsid w:val="00034304"/>
    <w:rsid w:val="00034F59"/>
    <w:rsid w:val="00035434"/>
    <w:rsid w:val="00052A14"/>
    <w:rsid w:val="00077D53"/>
    <w:rsid w:val="0009334A"/>
    <w:rsid w:val="000B7BF8"/>
    <w:rsid w:val="000C5034"/>
    <w:rsid w:val="000E3669"/>
    <w:rsid w:val="001023F9"/>
    <w:rsid w:val="00105FD9"/>
    <w:rsid w:val="00117666"/>
    <w:rsid w:val="001316A5"/>
    <w:rsid w:val="001549D3"/>
    <w:rsid w:val="00160065"/>
    <w:rsid w:val="00165D09"/>
    <w:rsid w:val="00177D84"/>
    <w:rsid w:val="001D4CCB"/>
    <w:rsid w:val="001E78F3"/>
    <w:rsid w:val="0020099B"/>
    <w:rsid w:val="00211B44"/>
    <w:rsid w:val="00255D09"/>
    <w:rsid w:val="00255D7A"/>
    <w:rsid w:val="00267D18"/>
    <w:rsid w:val="002775FF"/>
    <w:rsid w:val="002868E2"/>
    <w:rsid w:val="002869C3"/>
    <w:rsid w:val="002936E4"/>
    <w:rsid w:val="002B0FF4"/>
    <w:rsid w:val="002B23DC"/>
    <w:rsid w:val="002B4A57"/>
    <w:rsid w:val="002C74CA"/>
    <w:rsid w:val="002E0856"/>
    <w:rsid w:val="002F4BD2"/>
    <w:rsid w:val="00302A58"/>
    <w:rsid w:val="00334FE4"/>
    <w:rsid w:val="00350AFB"/>
    <w:rsid w:val="003544FB"/>
    <w:rsid w:val="003B0227"/>
    <w:rsid w:val="003B45B6"/>
    <w:rsid w:val="003D2F2D"/>
    <w:rsid w:val="003D5860"/>
    <w:rsid w:val="003E6E5A"/>
    <w:rsid w:val="00401590"/>
    <w:rsid w:val="004162D0"/>
    <w:rsid w:val="00431F90"/>
    <w:rsid w:val="004428DE"/>
    <w:rsid w:val="004449E7"/>
    <w:rsid w:val="004465D5"/>
    <w:rsid w:val="00446CBC"/>
    <w:rsid w:val="00447801"/>
    <w:rsid w:val="00452E9C"/>
    <w:rsid w:val="004735C8"/>
    <w:rsid w:val="004947A6"/>
    <w:rsid w:val="004961FF"/>
    <w:rsid w:val="004D1FD8"/>
    <w:rsid w:val="004D3164"/>
    <w:rsid w:val="004D63E8"/>
    <w:rsid w:val="004E3967"/>
    <w:rsid w:val="00517A89"/>
    <w:rsid w:val="005250F2"/>
    <w:rsid w:val="005366FE"/>
    <w:rsid w:val="00540390"/>
    <w:rsid w:val="00557E3E"/>
    <w:rsid w:val="005720D7"/>
    <w:rsid w:val="00593EEA"/>
    <w:rsid w:val="005A5EEE"/>
    <w:rsid w:val="005C61DA"/>
    <w:rsid w:val="005F6088"/>
    <w:rsid w:val="006167A9"/>
    <w:rsid w:val="0062196D"/>
    <w:rsid w:val="00622BFC"/>
    <w:rsid w:val="00625A90"/>
    <w:rsid w:val="00630A34"/>
    <w:rsid w:val="006375C7"/>
    <w:rsid w:val="00654E8F"/>
    <w:rsid w:val="00660D05"/>
    <w:rsid w:val="006820B1"/>
    <w:rsid w:val="006B7D14"/>
    <w:rsid w:val="006E15D9"/>
    <w:rsid w:val="006E163D"/>
    <w:rsid w:val="006F633A"/>
    <w:rsid w:val="0070072E"/>
    <w:rsid w:val="00701727"/>
    <w:rsid w:val="0070566C"/>
    <w:rsid w:val="00714C50"/>
    <w:rsid w:val="00725A7D"/>
    <w:rsid w:val="00740CC9"/>
    <w:rsid w:val="007501BE"/>
    <w:rsid w:val="0076220F"/>
    <w:rsid w:val="00763050"/>
    <w:rsid w:val="00790BB3"/>
    <w:rsid w:val="00791669"/>
    <w:rsid w:val="007A0000"/>
    <w:rsid w:val="007A139D"/>
    <w:rsid w:val="007C206C"/>
    <w:rsid w:val="007C6BD8"/>
    <w:rsid w:val="00817DD6"/>
    <w:rsid w:val="0083759F"/>
    <w:rsid w:val="0084006B"/>
    <w:rsid w:val="0084689B"/>
    <w:rsid w:val="00883D51"/>
    <w:rsid w:val="00885156"/>
    <w:rsid w:val="008C067F"/>
    <w:rsid w:val="009151AA"/>
    <w:rsid w:val="00917004"/>
    <w:rsid w:val="0092650F"/>
    <w:rsid w:val="0093429D"/>
    <w:rsid w:val="00943573"/>
    <w:rsid w:val="009460F4"/>
    <w:rsid w:val="00953A52"/>
    <w:rsid w:val="00970F7D"/>
    <w:rsid w:val="00994A3D"/>
    <w:rsid w:val="009C2B12"/>
    <w:rsid w:val="00A05D4C"/>
    <w:rsid w:val="00A174D9"/>
    <w:rsid w:val="00A1794A"/>
    <w:rsid w:val="00A26E45"/>
    <w:rsid w:val="00A9487E"/>
    <w:rsid w:val="00AA4D24"/>
    <w:rsid w:val="00AB6715"/>
    <w:rsid w:val="00AC6442"/>
    <w:rsid w:val="00AD70AC"/>
    <w:rsid w:val="00B1671E"/>
    <w:rsid w:val="00B25EB8"/>
    <w:rsid w:val="00B37F4D"/>
    <w:rsid w:val="00B61DBE"/>
    <w:rsid w:val="00B95645"/>
    <w:rsid w:val="00BA3041"/>
    <w:rsid w:val="00BC620C"/>
    <w:rsid w:val="00BF7FB1"/>
    <w:rsid w:val="00C117D7"/>
    <w:rsid w:val="00C24C71"/>
    <w:rsid w:val="00C52A7B"/>
    <w:rsid w:val="00C56BAF"/>
    <w:rsid w:val="00C679AA"/>
    <w:rsid w:val="00C75972"/>
    <w:rsid w:val="00C77997"/>
    <w:rsid w:val="00C77EB9"/>
    <w:rsid w:val="00CD066B"/>
    <w:rsid w:val="00CD29FD"/>
    <w:rsid w:val="00CE45D7"/>
    <w:rsid w:val="00CE4FEE"/>
    <w:rsid w:val="00CF4DA9"/>
    <w:rsid w:val="00D43722"/>
    <w:rsid w:val="00D74F1D"/>
    <w:rsid w:val="00D80DAD"/>
    <w:rsid w:val="00DB138D"/>
    <w:rsid w:val="00DB59C3"/>
    <w:rsid w:val="00DC259A"/>
    <w:rsid w:val="00DE23E8"/>
    <w:rsid w:val="00DF3F9B"/>
    <w:rsid w:val="00E32636"/>
    <w:rsid w:val="00E52377"/>
    <w:rsid w:val="00E64E17"/>
    <w:rsid w:val="00E73723"/>
    <w:rsid w:val="00E866C9"/>
    <w:rsid w:val="00EA3D3C"/>
    <w:rsid w:val="00EA6614"/>
    <w:rsid w:val="00EB760F"/>
    <w:rsid w:val="00EC090A"/>
    <w:rsid w:val="00ED20B5"/>
    <w:rsid w:val="00F46900"/>
    <w:rsid w:val="00F47D57"/>
    <w:rsid w:val="00F505C1"/>
    <w:rsid w:val="00F61D89"/>
    <w:rsid w:val="00F73960"/>
    <w:rsid w:val="00FB6454"/>
    <w:rsid w:val="00FD7B35"/>
    <w:rsid w:val="00FF30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6DB94A"/>
  <w15:docId w15:val="{B5087476-7AA5-43F8-92B7-07DC1FD98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unhideWhenUsed/>
    <w:rsid w:val="00AB6715"/>
    <w:rPr>
      <w:sz w:val="20"/>
      <w:szCs w:val="20"/>
    </w:rPr>
  </w:style>
  <w:style w:type="character" w:customStyle="1" w:styleId="CommentaireCar">
    <w:name w:val="Commentaire Car"/>
    <w:basedOn w:val="Policepardfaut"/>
    <w:link w:val="Commentaire"/>
    <w:uiPriority w:val="99"/>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nhideWhenUsed/>
    <w:rsid w:val="00AB6715"/>
    <w:pPr>
      <w:tabs>
        <w:tab w:val="center" w:pos="4844"/>
        <w:tab w:val="right" w:pos="9689"/>
      </w:tabs>
    </w:pPr>
    <w:rPr>
      <w:b/>
    </w:rPr>
  </w:style>
  <w:style w:type="character" w:customStyle="1" w:styleId="En-tteCar">
    <w:name w:val="En-tête Car"/>
    <w:basedOn w:val="Policepardfaut"/>
    <w:link w:val="En-tte"/>
    <w:rsid w:val="00AB6715"/>
    <w:rPr>
      <w:rFonts w:ascii="Times New Roman" w:hAnsi="Times New Roman"/>
      <w:b/>
      <w:sz w:val="24"/>
    </w:rPr>
  </w:style>
  <w:style w:type="paragraph" w:styleId="Paragraphedeliste">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table" w:customStyle="1" w:styleId="PlainTable21">
    <w:name w:val="Plain Table 21"/>
    <w:basedOn w:val="TableauNormal"/>
    <w:uiPriority w:val="42"/>
    <w:rsid w:val="004D63E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vision">
    <w:name w:val="Revision"/>
    <w:hidden/>
    <w:uiPriority w:val="99"/>
    <w:semiHidden/>
    <w:rsid w:val="007A139D"/>
    <w:pPr>
      <w:spacing w:after="0" w:line="240" w:lineRule="auto"/>
    </w:pPr>
    <w:rPr>
      <w:rFonts w:ascii="Times New Roman" w:hAnsi="Times New Roman"/>
      <w:sz w:val="24"/>
    </w:rPr>
  </w:style>
  <w:style w:type="character" w:styleId="Mentionnonrsolue">
    <w:name w:val="Unresolved Mention"/>
    <w:basedOn w:val="Policepardfaut"/>
    <w:uiPriority w:val="99"/>
    <w:semiHidden/>
    <w:unhideWhenUsed/>
    <w:rsid w:val="00FB6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2C64023-FCE0-2F41-AD1C-9D0079903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56</TotalTime>
  <Pages>6</Pages>
  <Words>2081</Words>
  <Characters>11449</Characters>
  <Application>Microsoft Office Word</Application>
  <DocSecurity>0</DocSecurity>
  <Lines>95</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Courteau</dc:creator>
  <cp:lastModifiedBy>Royle Phaedra</cp:lastModifiedBy>
  <cp:revision>10</cp:revision>
  <cp:lastPrinted>2013-10-03T12:51:00Z</cp:lastPrinted>
  <dcterms:created xsi:type="dcterms:W3CDTF">2019-05-10T21:30:00Z</dcterms:created>
  <dcterms:modified xsi:type="dcterms:W3CDTF">2019-05-10T22:43:00Z</dcterms:modified>
</cp:coreProperties>
</file>