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B8F4A" w14:textId="2B45B409" w:rsidR="00180DEC" w:rsidRPr="00180DEC" w:rsidRDefault="00180DEC" w:rsidP="00180DEC">
      <w:pPr>
        <w:spacing w:before="240" w:after="360"/>
        <w:jc w:val="center"/>
        <w:rPr>
          <w:rFonts w:eastAsia="Arial" w:cs="Times New Roman"/>
          <w:color w:val="000000"/>
          <w:sz w:val="32"/>
          <w:szCs w:val="32"/>
        </w:rPr>
      </w:pPr>
      <w:r w:rsidRPr="008B7781">
        <w:rPr>
          <w:rFonts w:eastAsia="Arial" w:cs="Times New Roman"/>
          <w:b/>
          <w:bCs/>
          <w:color w:val="000000"/>
          <w:sz w:val="32"/>
          <w:szCs w:val="32"/>
        </w:rPr>
        <w:t>Metabolic Reprogramming of Bone Marrow Derived Macrophages Following</w:t>
      </w:r>
      <w:r>
        <w:rPr>
          <w:rFonts w:eastAsia="Arial" w:cs="Times New Roman"/>
          <w:b/>
          <w:bCs/>
          <w:color w:val="000000"/>
          <w:sz w:val="32"/>
          <w:szCs w:val="32"/>
        </w:rPr>
        <w:t xml:space="preserve"> </w:t>
      </w:r>
      <w:r w:rsidRPr="008B7781">
        <w:rPr>
          <w:rFonts w:eastAsia="Arial" w:cs="Times New Roman"/>
          <w:b/>
          <w:bCs/>
          <w:color w:val="000000"/>
          <w:sz w:val="32"/>
          <w:szCs w:val="32"/>
        </w:rPr>
        <w:t>Erythrophagocytosis</w:t>
      </w:r>
    </w:p>
    <w:p w14:paraId="3C419443" w14:textId="1738AFA0" w:rsidR="00994A3D" w:rsidRDefault="00654E8F" w:rsidP="006A652C">
      <w:pPr>
        <w:pStyle w:val="SupplementaryMaterial"/>
      </w:pPr>
      <w:r w:rsidRPr="001549D3">
        <w:t>Supplementary Material</w:t>
      </w:r>
    </w:p>
    <w:p w14:paraId="74B65A60" w14:textId="77777777" w:rsidR="006A652C" w:rsidRPr="006A652C" w:rsidRDefault="006A652C" w:rsidP="006A652C">
      <w:pPr>
        <w:pStyle w:val="Title"/>
        <w:jc w:val="left"/>
      </w:pPr>
    </w:p>
    <w:p w14:paraId="0F900CA9" w14:textId="3C58D21B" w:rsidR="00180DEC" w:rsidRPr="001549D3" w:rsidRDefault="00870D4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6812C80" wp14:editId="59FFFF9D">
            <wp:extent cx="5943600" cy="3341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Fig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9CC3" w14:textId="1254ABB9" w:rsidR="00870D46" w:rsidRDefault="00180DEC" w:rsidP="004D1CC3">
      <w:pPr>
        <w:spacing w:before="240"/>
        <w:rPr>
          <w:rFonts w:cs="Times New Roman"/>
          <w:bCs/>
          <w:szCs w:val="24"/>
        </w:rPr>
      </w:pPr>
      <w:r w:rsidRPr="00180DEC">
        <w:rPr>
          <w:rFonts w:cs="Times New Roman"/>
          <w:b/>
          <w:szCs w:val="24"/>
        </w:rPr>
        <w:t xml:space="preserve">Supplementary Figure 1: Assessment of BMDM phagocytosis. </w:t>
      </w:r>
      <w:r w:rsidRPr="00180DEC">
        <w:rPr>
          <w:rFonts w:cs="Times New Roman"/>
          <w:bCs/>
          <w:szCs w:val="24"/>
        </w:rPr>
        <w:t xml:space="preserve">Mouse RBCs were opsonized with IgG and incubated with BMDMs in vitro. Metabolites extracted from the extracellular media (supernatant) and cell pellets were then analyzed by UHPLC-MS. </w:t>
      </w:r>
      <w:r w:rsidRPr="00180DEC">
        <w:rPr>
          <w:rFonts w:cs="Times New Roman"/>
          <w:b/>
          <w:szCs w:val="24"/>
        </w:rPr>
        <w:t>(A)</w:t>
      </w:r>
      <w:r w:rsidRPr="00180DEC">
        <w:rPr>
          <w:rFonts w:cs="Times New Roman"/>
          <w:bCs/>
          <w:szCs w:val="24"/>
        </w:rPr>
        <w:t xml:space="preserve"> Univariate analysis of the BMDM metabolome using untargeted metabolomics to identify metabolites that change significantly due to EP in cell extracts </w:t>
      </w:r>
      <w:r w:rsidRPr="00180DEC">
        <w:rPr>
          <w:rFonts w:cs="Times New Roman"/>
          <w:b/>
          <w:szCs w:val="24"/>
        </w:rPr>
        <w:t>(B)</w:t>
      </w:r>
      <w:r w:rsidRPr="00180DEC">
        <w:rPr>
          <w:rFonts w:cs="Times New Roman"/>
          <w:bCs/>
          <w:szCs w:val="24"/>
        </w:rPr>
        <w:t xml:space="preserve">. The region highlighted in red (FC ≥ 2.0; </w:t>
      </w:r>
      <w:r w:rsidRPr="00180DEC">
        <w:rPr>
          <w:rFonts w:cs="Times New Roman"/>
          <w:bCs/>
          <w:i/>
          <w:iCs/>
          <w:szCs w:val="24"/>
        </w:rPr>
        <w:t>p</w:t>
      </w:r>
      <w:r w:rsidRPr="00180DEC">
        <w:rPr>
          <w:rFonts w:cs="Times New Roman"/>
          <w:bCs/>
          <w:szCs w:val="24"/>
        </w:rPr>
        <w:t xml:space="preserve">-value &lt; 0.05) indicates metabolites present in significantly higher amounts in BMDMs after EP (Post); whereas, the region highlighted in blue (FC ≤ 0.5; </w:t>
      </w:r>
      <w:r w:rsidRPr="00180DEC">
        <w:rPr>
          <w:rFonts w:cs="Times New Roman"/>
          <w:bCs/>
          <w:i/>
          <w:iCs/>
          <w:szCs w:val="24"/>
        </w:rPr>
        <w:t>p</w:t>
      </w:r>
      <w:r w:rsidRPr="00180DEC">
        <w:rPr>
          <w:rFonts w:cs="Times New Roman"/>
          <w:bCs/>
          <w:szCs w:val="24"/>
        </w:rPr>
        <w:t xml:space="preserve">-value &lt; 0.05) indicates metabolites found to be accumulated in BMDMs before EP (Pre). Amino acid metabolism in BMDM cells </w:t>
      </w:r>
      <w:r w:rsidRPr="00180DEC">
        <w:rPr>
          <w:rFonts w:cs="Times New Roman"/>
          <w:b/>
          <w:szCs w:val="24"/>
        </w:rPr>
        <w:t>(C)</w:t>
      </w:r>
      <w:r w:rsidRPr="00180DEC">
        <w:rPr>
          <w:rFonts w:cs="Times New Roman"/>
          <w:bCs/>
          <w:szCs w:val="24"/>
        </w:rPr>
        <w:t xml:space="preserve"> and supernatants </w:t>
      </w:r>
      <w:r w:rsidRPr="00180DEC">
        <w:rPr>
          <w:rFonts w:cs="Times New Roman"/>
          <w:b/>
          <w:szCs w:val="24"/>
        </w:rPr>
        <w:t>(D)</w:t>
      </w:r>
      <w:r w:rsidRPr="00180DEC">
        <w:rPr>
          <w:rFonts w:cs="Times New Roman"/>
          <w:bCs/>
          <w:szCs w:val="24"/>
        </w:rPr>
        <w:t xml:space="preserve">. General metabolic survey of key pathways from BMDM extracts, comparing similar metabolites but found in the cell </w:t>
      </w:r>
      <w:r w:rsidRPr="00180DEC">
        <w:rPr>
          <w:rFonts w:cs="Times New Roman"/>
          <w:b/>
          <w:szCs w:val="24"/>
        </w:rPr>
        <w:t>(E)</w:t>
      </w:r>
      <w:r w:rsidRPr="00180DEC">
        <w:rPr>
          <w:rFonts w:cs="Times New Roman"/>
          <w:bCs/>
          <w:szCs w:val="24"/>
        </w:rPr>
        <w:t xml:space="preserve"> or extracellular medium </w:t>
      </w:r>
      <w:r w:rsidRPr="00180DEC">
        <w:rPr>
          <w:rFonts w:cs="Times New Roman"/>
          <w:b/>
          <w:szCs w:val="24"/>
        </w:rPr>
        <w:t>(F)</w:t>
      </w:r>
      <w:r w:rsidRPr="00180DEC">
        <w:rPr>
          <w:rFonts w:cs="Times New Roman"/>
          <w:bCs/>
          <w:szCs w:val="24"/>
        </w:rPr>
        <w:t>. In these plots (C-F), the y-axis represents the concentration of metabolite measured (</w:t>
      </w:r>
      <w:proofErr w:type="spellStart"/>
      <w:r w:rsidRPr="00180DEC">
        <w:rPr>
          <w:rFonts w:cs="Times New Roman"/>
          <w:bCs/>
          <w:szCs w:val="24"/>
        </w:rPr>
        <w:t>μM</w:t>
      </w:r>
      <w:proofErr w:type="spellEnd"/>
      <w:r w:rsidRPr="00180DEC">
        <w:rPr>
          <w:rFonts w:cs="Times New Roman"/>
          <w:bCs/>
          <w:szCs w:val="24"/>
        </w:rPr>
        <w:t>) by absolute quantitation based on known concentrations of internal standards.</w:t>
      </w:r>
      <w:r w:rsidR="00870D46">
        <w:rPr>
          <w:rFonts w:cs="Times New Roman"/>
          <w:bCs/>
          <w:szCs w:val="24"/>
        </w:rPr>
        <w:br w:type="page"/>
      </w:r>
    </w:p>
    <w:p w14:paraId="0A056050" w14:textId="117A6504" w:rsidR="0095474F" w:rsidRDefault="0095474F" w:rsidP="00654E8F">
      <w:pPr>
        <w:spacing w:before="24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F821529" wp14:editId="0BE3F495">
            <wp:extent cx="5943600" cy="3612848"/>
            <wp:effectExtent l="0" t="0" r="0" b="698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Fig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43C6" w14:textId="4AC1DC1A" w:rsidR="0095474F" w:rsidRDefault="0095474F" w:rsidP="004D1CC3">
      <w:pPr>
        <w:spacing w:before="240"/>
        <w:rPr>
          <w:bCs/>
        </w:rPr>
      </w:pPr>
      <w:r w:rsidRPr="006A652C">
        <w:rPr>
          <w:b/>
        </w:rPr>
        <w:t>Supplementary Figure 2: The BMDM metabolome is differentially reprogrammed by EP, as compared to incubation with IgG alone.</w:t>
      </w:r>
      <w:r w:rsidRPr="0095474F">
        <w:rPr>
          <w:bCs/>
        </w:rPr>
        <w:t xml:space="preserve"> Metabolic profiles were sufficient to discriminate between BMDMs that had been incubated with PBS (Ctrl, </w:t>
      </w:r>
      <w:r w:rsidRPr="0095474F">
        <w:rPr>
          <w:bCs/>
          <w:i/>
          <w:iCs/>
        </w:rPr>
        <w:t>white</w:t>
      </w:r>
      <w:r w:rsidRPr="0095474F">
        <w:rPr>
          <w:bCs/>
        </w:rPr>
        <w:t xml:space="preserve">) or with antibody alone (IgG, </w:t>
      </w:r>
      <w:r w:rsidRPr="0095474F">
        <w:rPr>
          <w:bCs/>
          <w:i/>
          <w:iCs/>
        </w:rPr>
        <w:t>green</w:t>
      </w:r>
      <w:r w:rsidRPr="0095474F">
        <w:rPr>
          <w:bCs/>
        </w:rPr>
        <w:t xml:space="preserve">), as demonstrated by partial least squares-discriminant analysis (PLS-DA) </w:t>
      </w:r>
      <w:r w:rsidRPr="0095474F">
        <w:rPr>
          <w:b/>
        </w:rPr>
        <w:t>(A)</w:t>
      </w:r>
      <w:r w:rsidRPr="0095474F">
        <w:rPr>
          <w:bCs/>
        </w:rPr>
        <w:t xml:space="preserve">. The PLS-DA variable importance in projection (VIP) plot reveals the top 15 significant metabolites that were identified in BMDMs that had </w:t>
      </w:r>
      <w:r>
        <w:rPr>
          <w:bCs/>
        </w:rPr>
        <w:t xml:space="preserve">been incubated with </w:t>
      </w:r>
      <w:r w:rsidRPr="0095474F">
        <w:rPr>
          <w:bCs/>
        </w:rPr>
        <w:t xml:space="preserve">IgG </w:t>
      </w:r>
      <w:r w:rsidRPr="0095474F">
        <w:rPr>
          <w:b/>
        </w:rPr>
        <w:t>(B)</w:t>
      </w:r>
      <w:r w:rsidRPr="0095474F">
        <w:rPr>
          <w:bCs/>
        </w:rPr>
        <w:t>. VIP scores were calculated for each metabolite (</w:t>
      </w:r>
      <w:r w:rsidRPr="0095474F">
        <w:rPr>
          <w:bCs/>
          <w:i/>
          <w:iCs/>
        </w:rPr>
        <w:t>blue circles</w:t>
      </w:r>
      <w:r w:rsidRPr="0095474F">
        <w:rPr>
          <w:bCs/>
        </w:rPr>
        <w:t xml:space="preserve">) and ranked in the context phagocytosis (Ctrl/IgG) (high score, </w:t>
      </w:r>
      <w:r w:rsidRPr="0095474F">
        <w:rPr>
          <w:bCs/>
          <w:i/>
          <w:iCs/>
        </w:rPr>
        <w:t>red</w:t>
      </w:r>
      <w:r w:rsidRPr="0095474F">
        <w:rPr>
          <w:bCs/>
        </w:rPr>
        <w:t xml:space="preserve">; low score, </w:t>
      </w:r>
      <w:r w:rsidRPr="0095474F">
        <w:rPr>
          <w:bCs/>
          <w:i/>
          <w:iCs/>
        </w:rPr>
        <w:t>green</w:t>
      </w:r>
      <w:r w:rsidRPr="0095474F">
        <w:rPr>
          <w:bCs/>
        </w:rPr>
        <w:t xml:space="preserve">). Comparisons were performed to BMDMs before and after EP (Pre-EP, </w:t>
      </w:r>
      <w:r w:rsidRPr="0095474F">
        <w:rPr>
          <w:bCs/>
          <w:i/>
          <w:iCs/>
        </w:rPr>
        <w:t>blue</w:t>
      </w:r>
      <w:r w:rsidRPr="0095474F">
        <w:rPr>
          <w:bCs/>
        </w:rPr>
        <w:t xml:space="preserve">; Post-EP, </w:t>
      </w:r>
      <w:r w:rsidRPr="0095474F">
        <w:rPr>
          <w:bCs/>
          <w:i/>
          <w:iCs/>
        </w:rPr>
        <w:t>red</w:t>
      </w:r>
      <w:r w:rsidRPr="0095474F">
        <w:rPr>
          <w:bCs/>
        </w:rPr>
        <w:t xml:space="preserve">) for particular key pathways, including glycolysis and the pentose phosphate pathway </w:t>
      </w:r>
      <w:r w:rsidRPr="0095474F">
        <w:rPr>
          <w:b/>
        </w:rPr>
        <w:t>(C)</w:t>
      </w:r>
      <w:r w:rsidRPr="0095474F">
        <w:rPr>
          <w:bCs/>
        </w:rPr>
        <w:t xml:space="preserve">, oxidant stress and GSH homeostasis </w:t>
      </w:r>
      <w:r w:rsidRPr="0095474F">
        <w:rPr>
          <w:b/>
        </w:rPr>
        <w:t>(D)</w:t>
      </w:r>
      <w:r w:rsidRPr="0095474F">
        <w:rPr>
          <w:bCs/>
        </w:rPr>
        <w:t xml:space="preserve">, and  purine oxidation and mitochondrial metabolism </w:t>
      </w:r>
      <w:r w:rsidRPr="0095474F">
        <w:rPr>
          <w:b/>
        </w:rPr>
        <w:t>(E)</w:t>
      </w:r>
      <w:r w:rsidRPr="0095474F">
        <w:rPr>
          <w:bCs/>
        </w:rPr>
        <w:t>. For all plots</w:t>
      </w:r>
      <w:r>
        <w:rPr>
          <w:bCs/>
        </w:rPr>
        <w:t xml:space="preserve"> (C-E)</w:t>
      </w:r>
      <w:r w:rsidRPr="0095474F">
        <w:rPr>
          <w:bCs/>
        </w:rPr>
        <w:t>, the y-axis represents relative intensity (</w:t>
      </w:r>
      <w:proofErr w:type="spellStart"/>
      <w:r w:rsidRPr="0095474F">
        <w:rPr>
          <w:bCs/>
        </w:rPr>
        <w:t>a.u</w:t>
      </w:r>
      <w:proofErr w:type="spellEnd"/>
      <w:r w:rsidRPr="0095474F">
        <w:rPr>
          <w:bCs/>
        </w:rPr>
        <w:t xml:space="preserve">.), and data scaling was performed based on control groups to make metabolic features comparable between the </w:t>
      </w:r>
      <w:r w:rsidRPr="0095474F">
        <w:rPr>
          <w:bCs/>
          <w:i/>
          <w:iCs/>
        </w:rPr>
        <w:t>in vitro</w:t>
      </w:r>
      <w:r w:rsidRPr="0095474F">
        <w:rPr>
          <w:bCs/>
        </w:rPr>
        <w:t xml:space="preserve"> EP and IgG assays. *</w:t>
      </w:r>
      <w:r w:rsidRPr="0095474F">
        <w:rPr>
          <w:bCs/>
          <w:i/>
          <w:iCs/>
        </w:rPr>
        <w:t>p</w:t>
      </w:r>
      <w:r w:rsidRPr="0095474F">
        <w:rPr>
          <w:bCs/>
        </w:rPr>
        <w:t xml:space="preserve"> ≤ 0.05; **</w:t>
      </w:r>
      <w:r w:rsidRPr="0095474F">
        <w:rPr>
          <w:bCs/>
          <w:i/>
          <w:iCs/>
        </w:rPr>
        <w:t>p</w:t>
      </w:r>
      <w:r w:rsidRPr="0095474F">
        <w:rPr>
          <w:bCs/>
        </w:rPr>
        <w:t xml:space="preserve"> ≤ 0.01; ***</w:t>
      </w:r>
      <w:r w:rsidRPr="0095474F">
        <w:rPr>
          <w:bCs/>
          <w:i/>
          <w:iCs/>
        </w:rPr>
        <w:t>p</w:t>
      </w:r>
      <w:r w:rsidRPr="0095474F">
        <w:rPr>
          <w:bCs/>
        </w:rPr>
        <w:t xml:space="preserve"> ≤ 0.001 (unpaired t test, 2-tailed distribution)</w:t>
      </w:r>
    </w:p>
    <w:p w14:paraId="2BBC7526" w14:textId="5EF8123C" w:rsidR="00DE23E8" w:rsidRDefault="006A652C" w:rsidP="00654E8F">
      <w:pPr>
        <w:spacing w:before="240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DE080E1" wp14:editId="3FF8711E">
            <wp:extent cx="5943600" cy="2555681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Fig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BB9F" w14:textId="74886FFB" w:rsidR="006A652C" w:rsidRPr="00180DEC" w:rsidRDefault="006A652C" w:rsidP="00654E8F">
      <w:pPr>
        <w:spacing w:before="240"/>
        <w:rPr>
          <w:bCs/>
        </w:rPr>
      </w:pPr>
      <w:r w:rsidRPr="006A652C">
        <w:rPr>
          <w:b/>
        </w:rPr>
        <w:t>Supplementary Figure 3: Multivariate analysis reveals extensive changes to the BMDM proteome due to EP.</w:t>
      </w:r>
      <w:r w:rsidRPr="006A652C">
        <w:rPr>
          <w:bCs/>
        </w:rPr>
        <w:t xml:space="preserve"> Changes to the BMDM proteome were sufficient to discriminate between BMDMs before (Pre, </w:t>
      </w:r>
      <w:r w:rsidRPr="006A652C">
        <w:rPr>
          <w:bCs/>
          <w:i/>
          <w:iCs/>
        </w:rPr>
        <w:t>blue</w:t>
      </w:r>
      <w:r w:rsidRPr="006A652C">
        <w:rPr>
          <w:bCs/>
        </w:rPr>
        <w:t xml:space="preserve">) and after EP (Post, </w:t>
      </w:r>
      <w:r w:rsidRPr="006A652C">
        <w:rPr>
          <w:bCs/>
          <w:i/>
          <w:iCs/>
        </w:rPr>
        <w:t>red</w:t>
      </w:r>
      <w:r w:rsidRPr="006A652C">
        <w:rPr>
          <w:bCs/>
        </w:rPr>
        <w:t xml:space="preserve">), as demonstrated by PLS-DA </w:t>
      </w:r>
      <w:r w:rsidRPr="006A652C">
        <w:rPr>
          <w:b/>
        </w:rPr>
        <w:t>(A)</w:t>
      </w:r>
      <w:r w:rsidRPr="006A652C">
        <w:rPr>
          <w:bCs/>
        </w:rPr>
        <w:t xml:space="preserve">. PLS-DA VIP plot reveals the top 15 significant proteins in BMDMs that were affected by EP </w:t>
      </w:r>
      <w:r w:rsidRPr="006A652C">
        <w:rPr>
          <w:b/>
        </w:rPr>
        <w:t>(B)</w:t>
      </w:r>
      <w:r w:rsidRPr="006A652C">
        <w:rPr>
          <w:bCs/>
        </w:rPr>
        <w:t xml:space="preserve">. VIP scores were calculated for each protein (listed by gene name, </w:t>
      </w:r>
      <w:r w:rsidRPr="006A652C">
        <w:rPr>
          <w:bCs/>
          <w:i/>
          <w:iCs/>
        </w:rPr>
        <w:t>blue circles</w:t>
      </w:r>
      <w:r w:rsidRPr="006A652C">
        <w:rPr>
          <w:bCs/>
        </w:rPr>
        <w:t xml:space="preserve">) and ranked in the context of EP (Post/Pre) (high score, </w:t>
      </w:r>
      <w:r w:rsidRPr="006A652C">
        <w:rPr>
          <w:bCs/>
          <w:i/>
          <w:iCs/>
        </w:rPr>
        <w:t>red</w:t>
      </w:r>
      <w:r w:rsidRPr="006A652C">
        <w:rPr>
          <w:bCs/>
        </w:rPr>
        <w:t xml:space="preserve">; low score, </w:t>
      </w:r>
      <w:r w:rsidRPr="006A652C">
        <w:rPr>
          <w:bCs/>
          <w:i/>
          <w:iCs/>
        </w:rPr>
        <w:t>green</w:t>
      </w:r>
      <w:r w:rsidRPr="006A652C">
        <w:rPr>
          <w:bCs/>
        </w:rPr>
        <w:t xml:space="preserve">). The top 25 proteins found to be significantly altered by EP in BMDMs are plotted as a hierarchically-clustered heat map based on </w:t>
      </w:r>
      <w:r w:rsidRPr="006A652C">
        <w:rPr>
          <w:bCs/>
          <w:i/>
          <w:iCs/>
        </w:rPr>
        <w:t>p</w:t>
      </w:r>
      <w:r w:rsidRPr="006A652C">
        <w:rPr>
          <w:bCs/>
        </w:rPr>
        <w:t xml:space="preserve">-value </w:t>
      </w:r>
      <w:r w:rsidRPr="006A652C">
        <w:rPr>
          <w:b/>
        </w:rPr>
        <w:t>(C)</w:t>
      </w:r>
      <w:r w:rsidRPr="006A652C">
        <w:rPr>
          <w:bCs/>
        </w:rPr>
        <w:t>.</w:t>
      </w:r>
    </w:p>
    <w:sectPr w:rsidR="006A652C" w:rsidRPr="00180DEC" w:rsidSect="009739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386CB" w14:textId="77777777" w:rsidR="002065C2" w:rsidRDefault="002065C2" w:rsidP="00117666">
      <w:pPr>
        <w:spacing w:after="0"/>
      </w:pPr>
      <w:r>
        <w:separator/>
      </w:r>
    </w:p>
  </w:endnote>
  <w:endnote w:type="continuationSeparator" w:id="0">
    <w:p w14:paraId="6D0853C5" w14:textId="77777777" w:rsidR="002065C2" w:rsidRDefault="002065C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121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EAADB0" w14:textId="3C1EA712" w:rsidR="00180DEC" w:rsidRDefault="00180D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E1363D" w14:textId="77777777" w:rsidR="00180DEC" w:rsidRDefault="00180D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30221" w14:textId="77777777" w:rsidR="002065C2" w:rsidRDefault="002065C2" w:rsidP="00117666">
      <w:pPr>
        <w:spacing w:after="0"/>
      </w:pPr>
      <w:r>
        <w:separator/>
      </w:r>
    </w:p>
  </w:footnote>
  <w:footnote w:type="continuationSeparator" w:id="0">
    <w:p w14:paraId="7AB5B1B7" w14:textId="77777777" w:rsidR="002065C2" w:rsidRDefault="002065C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0799F60E" w:rsidR="00995F6A" w:rsidRPr="009151AA" w:rsidRDefault="00870D46" w:rsidP="006A652C">
    <w:pPr>
      <w:jc w:val="right"/>
      <w:rPr>
        <w:rFonts w:cs="Times New Roman"/>
      </w:rPr>
    </w:pPr>
    <w:r>
      <w:rPr>
        <w:rFonts w:cs="Times New Roman"/>
      </w:rPr>
      <w:t xml:space="preserve">Macrophage Metabolism Following Erythrophagocytosis: </w:t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3A009" w14:textId="3732299A" w:rsidR="006A652C" w:rsidRPr="006A652C" w:rsidRDefault="006A652C" w:rsidP="006A652C">
    <w:pPr>
      <w:jc w:val="right"/>
      <w:rPr>
        <w:rFonts w:cs="Times New Roman"/>
      </w:rPr>
    </w:pPr>
    <w:r>
      <w:rPr>
        <w:rFonts w:cs="Times New Roman"/>
      </w:rPr>
      <w:t xml:space="preserve">Macrophage Metabolism Following Erythrophagocytosis: </w:t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0DEC"/>
    <w:rsid w:val="002065C2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D1CC3"/>
    <w:rsid w:val="00517A89"/>
    <w:rsid w:val="005250F2"/>
    <w:rsid w:val="00593EEA"/>
    <w:rsid w:val="005A5EEE"/>
    <w:rsid w:val="006375C7"/>
    <w:rsid w:val="00654E8F"/>
    <w:rsid w:val="00660D05"/>
    <w:rsid w:val="006820B1"/>
    <w:rsid w:val="006A652C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70D46"/>
    <w:rsid w:val="00885156"/>
    <w:rsid w:val="009151AA"/>
    <w:rsid w:val="0093429D"/>
    <w:rsid w:val="00943573"/>
    <w:rsid w:val="0095474F"/>
    <w:rsid w:val="00964134"/>
    <w:rsid w:val="00970F7D"/>
    <w:rsid w:val="009739A6"/>
    <w:rsid w:val="00994A3D"/>
    <w:rsid w:val="009C2B12"/>
    <w:rsid w:val="00A174D9"/>
    <w:rsid w:val="00A532AA"/>
    <w:rsid w:val="00AA4D24"/>
    <w:rsid w:val="00AB6715"/>
    <w:rsid w:val="00B1671E"/>
    <w:rsid w:val="00B25EB8"/>
    <w:rsid w:val="00B37F4D"/>
    <w:rsid w:val="00BC035A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1A44"/>
    <w:rsid w:val="00E52377"/>
    <w:rsid w:val="00E537AD"/>
    <w:rsid w:val="00E64E17"/>
    <w:rsid w:val="00E866C9"/>
    <w:rsid w:val="00EA3D3C"/>
    <w:rsid w:val="00EC090A"/>
    <w:rsid w:val="00ED20B5"/>
    <w:rsid w:val="00F46900"/>
    <w:rsid w:val="00F6102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212F630-A640-40D1-8852-09C347336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Folakemi Adenugba</cp:lastModifiedBy>
  <cp:revision>2</cp:revision>
  <cp:lastPrinted>2013-10-03T12:51:00Z</cp:lastPrinted>
  <dcterms:created xsi:type="dcterms:W3CDTF">2020-04-28T14:45:00Z</dcterms:created>
  <dcterms:modified xsi:type="dcterms:W3CDTF">2020-04-28T14:45:00Z</dcterms:modified>
</cp:coreProperties>
</file>