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Supplementary Materials for</w:t>
      </w:r>
    </w:p>
    <w:p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Gut microbiome influence</w:t>
      </w:r>
      <w:r>
        <w:rPr>
          <w:rFonts w:hint="eastAsia" w:ascii="Times New Roman" w:hAnsi="Times New Roman"/>
          <w:b/>
          <w:bCs/>
          <w:sz w:val="28"/>
          <w:szCs w:val="28"/>
        </w:rPr>
        <w:t xml:space="preserve">s the </w:t>
      </w:r>
      <w:r>
        <w:rPr>
          <w:rFonts w:ascii="Times New Roman" w:hAnsi="Times New Roman"/>
          <w:b/>
          <w:bCs/>
          <w:sz w:val="28"/>
          <w:szCs w:val="28"/>
        </w:rPr>
        <w:t>efficacy</w:t>
      </w:r>
      <w:r>
        <w:rPr>
          <w:rFonts w:hint="eastAsia" w:ascii="Times New Roman" w:hAnsi="Times New Roman"/>
          <w:b/>
          <w:bCs/>
          <w:sz w:val="28"/>
          <w:szCs w:val="28"/>
        </w:rPr>
        <w:t xml:space="preserve"> of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hint="eastAsia" w:ascii="Times New Roman" w:hAnsi="Times New Roman"/>
          <w:b/>
          <w:bCs/>
          <w:sz w:val="28"/>
          <w:szCs w:val="28"/>
        </w:rPr>
        <w:t>PD-1 antibody</w:t>
      </w:r>
      <w:r>
        <w:rPr>
          <w:rFonts w:ascii="Times New Roman" w:hAnsi="Times New Roman"/>
          <w:b/>
          <w:bCs/>
          <w:sz w:val="28"/>
          <w:szCs w:val="28"/>
        </w:rPr>
        <w:t xml:space="preserve"> immunotherapy</w:t>
      </w:r>
      <w:r>
        <w:rPr>
          <w:rFonts w:hint="eastAsia" w:ascii="Times New Roman" w:hAnsi="Times New Roman"/>
          <w:b/>
          <w:bCs/>
          <w:sz w:val="28"/>
          <w:szCs w:val="28"/>
        </w:rPr>
        <w:t xml:space="preserve"> on M</w:t>
      </w:r>
      <w:r>
        <w:rPr>
          <w:rFonts w:hint="eastAsia" w:ascii="Times New Roman" w:hAnsi="Times New Roman"/>
          <w:b/>
          <w:bCs/>
          <w:sz w:val="28"/>
          <w:szCs w:val="28"/>
          <w:lang w:val="en-US" w:eastAsia="zh-CN"/>
        </w:rPr>
        <w:t>S</w:t>
      </w:r>
      <w:r>
        <w:rPr>
          <w:rFonts w:hint="eastAsia" w:ascii="Times New Roman" w:hAnsi="Times New Roman"/>
          <w:b/>
          <w:bCs/>
          <w:sz w:val="28"/>
          <w:szCs w:val="28"/>
        </w:rPr>
        <w:t>S-type colorectal cancer via metabolic pathway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Xinjian Xu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 Ji Lv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1,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Fang Guo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Jing Li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Yitao Jia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Da Jiang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7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,Na Wang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,Chao Zhang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8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Lingyu Kong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Yabin Liu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Yanni Zhang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>
        <w:rPr>
          <w:rFonts w:ascii="Times New Roman" w:hAnsi="Times New Roman" w:cs="Times New Roman"/>
          <w:sz w:val="24"/>
          <w:szCs w:val="24"/>
        </w:rPr>
        <w:t>, Jian Lv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>
        <w:rPr>
          <w:rFonts w:ascii="Times New Roman" w:hAnsi="Times New Roman" w:cs="Times New Roman"/>
          <w:sz w:val="24"/>
          <w:szCs w:val="24"/>
        </w:rPr>
        <w:t>, Zhongxin Li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1</w:t>
      </w:r>
      <w:r>
        <w:rPr>
          <w:rFonts w:ascii="Times New Roman" w:hAnsi="Times New Roman" w:cs="Times New Roman"/>
          <w:sz w:val="24"/>
          <w:szCs w:val="24"/>
        </w:rPr>
        <w:t>*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Department of thoracic surgery, </w:t>
      </w:r>
      <w:bookmarkStart w:id="0" w:name="OLE_LINK64"/>
      <w:r>
        <w:rPr>
          <w:rFonts w:ascii="Times New Roman" w:hAnsi="Times New Roman" w:cs="Times New Roman"/>
          <w:sz w:val="24"/>
          <w:szCs w:val="24"/>
        </w:rPr>
        <w:t>The Fourth Hospital of Hebei Medical University, 050035 Shijiazhuang, China.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Department of Surgery, The First Hospital of Qinhuangdao, 066000 Qinhuangdao,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hint="eastAsia" w:ascii="Times New Roman" w:hAnsi="Times New Roman" w:cs="Times New Roman"/>
          <w:sz w:val="24"/>
          <w:szCs w:val="24"/>
        </w:rPr>
        <w:t>Department of Pharmacology, Hebei Medical University, 050017 Shijiazhuang,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hint="eastAsia" w:ascii="Times New Roman" w:hAnsi="Times New Roman" w:cs="Times New Roman"/>
          <w:sz w:val="24"/>
          <w:szCs w:val="24"/>
        </w:rPr>
        <w:t>Department of Traditional Chinese Medicine, The Fourth Hospital of Hebei Medical University, 050017 Shijiazhuang,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hint="eastAsia" w:ascii="Times New Roman" w:hAnsi="Times New Roman" w:cs="Times New Roman"/>
          <w:sz w:val="24"/>
          <w:szCs w:val="24"/>
        </w:rPr>
        <w:t>College of Combine Traditional Chinese and Western Medicine, Hebei Medical University, 050017 Shijiazhuang,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 </w:t>
      </w:r>
      <w:r>
        <w:rPr>
          <w:rFonts w:hint="eastAsia" w:ascii="Times New Roman" w:hAnsi="Times New Roman" w:cs="Times New Roman"/>
          <w:sz w:val="24"/>
          <w:szCs w:val="24"/>
        </w:rPr>
        <w:t>Third Department of Oncology, Hebei General Hospital, 050051 Shijiazhuang, China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7</w:t>
      </w:r>
      <w:bookmarkStart w:id="1" w:name="OLE_LINK65"/>
      <w:r>
        <w:rPr>
          <w:rFonts w:hint="eastAsia" w:ascii="Times New Roman" w:hAnsi="Times New Roman" w:cs="Times New Roman"/>
          <w:sz w:val="24"/>
          <w:szCs w:val="24"/>
        </w:rPr>
        <w:t xml:space="preserve">Department of </w:t>
      </w:r>
      <w:bookmarkEnd w:id="1"/>
      <w:r>
        <w:rPr>
          <w:rFonts w:hint="eastAsia" w:ascii="Times New Roman" w:hAnsi="Times New Roman" w:cs="Times New Roman"/>
          <w:sz w:val="24"/>
          <w:szCs w:val="24"/>
        </w:rPr>
        <w:t>Oncology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The Fourth Hospital of Hebei Medical University, 050035 Shijiazhuang, China.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hint="eastAsia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8</w:t>
      </w:r>
      <w:r>
        <w:rPr>
          <w:rFonts w:hint="eastAsia" w:ascii="Times New Roman" w:hAnsi="Times New Roman" w:cs="Times New Roman"/>
          <w:sz w:val="24"/>
          <w:szCs w:val="24"/>
        </w:rPr>
        <w:t xml:space="preserve">Department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 xml:space="preserve">linical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L</w:t>
      </w:r>
      <w:r>
        <w:rPr>
          <w:rFonts w:hint="eastAsia" w:ascii="Times New Roman" w:hAnsi="Times New Roman" w:cs="Times New Roman"/>
          <w:sz w:val="24"/>
          <w:szCs w:val="24"/>
        </w:rPr>
        <w:t>aboratory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,</w:t>
      </w:r>
      <w:r>
        <w:rPr>
          <w:rFonts w:ascii="Times New Roman" w:hAnsi="Times New Roman" w:cs="Times New Roman"/>
          <w:sz w:val="24"/>
          <w:szCs w:val="24"/>
        </w:rPr>
        <w:t>The Fourth Hospital of Hebei Medical University, 050035 Shijiazhuang, China.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240" w:hanging="240" w:hangingChars="100"/>
        <w:textAlignment w:val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Corresponding author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Zhongxin Li</w:t>
      </w:r>
      <w:r>
        <w:rPr>
          <w:rFonts w:hint="eastAsia" w:ascii="Times New Roman" w:hAnsi="Times New Roman" w:cs="Times New Roman"/>
          <w:color w:val="000000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Second Department of surgery, The Fourth Hospital of Hebei Medical University, 169 Tianshan Road, Shijiazhuang, Hebei 050035, P.R. China.</w:t>
      </w:r>
      <w:r>
        <w:rPr>
          <w:rFonts w:hint="eastAsia" w:ascii="Times New Roman" w:hAnsi="Times New Roman" w:cs="Times New Roman"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Email: Lizhongxin96@163.com </w:t>
      </w:r>
      <w:r>
        <w:rPr>
          <w:rFonts w:hint="eastAsia"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Fax: +86-0311-66696390</w:t>
      </w:r>
    </w:p>
    <w:p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Cs w:val="21"/>
        </w:rPr>
        <w:t xml:space="preserve">Supplementary 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Table 1 </w:t>
      </w:r>
      <w:r>
        <w:rPr>
          <w:rFonts w:ascii="Times New Roman" w:hAnsi="Times New Roman" w:cs="Times New Roman"/>
          <w:b/>
          <w:sz w:val="24"/>
          <w:szCs w:val="24"/>
        </w:rPr>
        <w:t>Availability of gut microbiome samples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or </w:t>
      </w:r>
      <w:r>
        <w:rPr>
          <w:rFonts w:ascii="Times New Roman" w:hAnsi="Times New Roman" w:cs="Times New Roman"/>
          <w:b/>
          <w:sz w:val="24"/>
          <w:szCs w:val="24"/>
        </w:rPr>
        <w:t xml:space="preserve">blood 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samples </w:t>
      </w:r>
      <w:r>
        <w:rPr>
          <w:rFonts w:ascii="Times New Roman" w:hAnsi="Times New Roman" w:cs="Times New Roman"/>
          <w:b/>
          <w:sz w:val="24"/>
          <w:szCs w:val="24"/>
        </w:rPr>
        <w:t>by analyses</w:t>
      </w:r>
    </w:p>
    <w:tbl>
      <w:tblPr>
        <w:tblStyle w:val="7"/>
        <w:tblW w:w="14174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090"/>
        <w:gridCol w:w="696"/>
        <w:gridCol w:w="630"/>
        <w:gridCol w:w="1887"/>
        <w:gridCol w:w="236"/>
        <w:gridCol w:w="1025"/>
        <w:gridCol w:w="696"/>
        <w:gridCol w:w="630"/>
        <w:gridCol w:w="1898"/>
        <w:gridCol w:w="31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Merge w:val="restart"/>
            <w:tcBorders>
              <w:top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  <w:gridSpan w:val="4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nti-mouse PD-1 treatment</w:t>
            </w:r>
          </w:p>
        </w:tc>
        <w:tc>
          <w:tcPr>
            <w:tcW w:w="236" w:type="dxa"/>
            <w:tcBorders>
              <w:top w:val="single" w:color="auto" w:sz="4" w:space="0"/>
              <w:righ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9" w:type="dxa"/>
            <w:gridSpan w:val="4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Non-PD-1 treatment</w:t>
            </w:r>
          </w:p>
        </w:tc>
        <w:tc>
          <w:tcPr>
            <w:tcW w:w="3151" w:type="dxa"/>
            <w:vMerge w:val="restar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Merge w:val="continue"/>
            <w:tcBorders>
              <w:bottom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9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Vanc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OLE_LINK6"/>
            <w:bookmarkStart w:id="3" w:name="OLE_LINK5"/>
            <w:r>
              <w:rPr>
                <w:rFonts w:ascii="Times New Roman" w:hAnsi="Times New Roman" w:cs="Times New Roman"/>
                <w:sz w:val="24"/>
                <w:szCs w:val="24"/>
              </w:rPr>
              <w:t>Coli</w:t>
            </w:r>
            <w:bookmarkEnd w:id="2"/>
            <w:bookmarkEnd w:id="3"/>
          </w:p>
        </w:tc>
        <w:tc>
          <w:tcPr>
            <w:tcW w:w="188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Amp+Strep+Coli</w:t>
            </w:r>
          </w:p>
        </w:tc>
        <w:tc>
          <w:tcPr>
            <w:tcW w:w="236" w:type="dxa"/>
            <w:tcBorders>
              <w:bottom w:val="single" w:color="auto" w:sz="4" w:space="0"/>
              <w:righ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color="auto" w:sz="4" w:space="0"/>
              <w:left w:val="nil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69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Vanc</w:t>
            </w:r>
          </w:p>
        </w:tc>
        <w:tc>
          <w:tcPr>
            <w:tcW w:w="63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Coli</w:t>
            </w:r>
          </w:p>
        </w:tc>
        <w:tc>
          <w:tcPr>
            <w:tcW w:w="189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Amp+Strep+Coli</w:t>
            </w:r>
          </w:p>
        </w:tc>
        <w:tc>
          <w:tcPr>
            <w:tcW w:w="3151" w:type="dxa"/>
            <w:vMerge w:val="continue"/>
            <w:tcBorders>
              <w:bottom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2235" w:type="dxa"/>
            <w:vMerge w:val="restart"/>
            <w:tcBorders>
              <w:top w:val="single" w:color="auto" w:sz="4" w:space="0"/>
            </w:tcBorders>
          </w:tcPr>
          <w:p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Start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immunotherapy </w:t>
            </w:r>
          </w:p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7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color="auto" w:sz="4" w:space="0"/>
              <w:righ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color="auto" w:sz="4" w:space="0"/>
              <w:lef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8" w:type="dxa"/>
            <w:tcBorders>
              <w:top w:val="single" w:color="auto" w:sz="4" w:space="0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1" w:type="dxa"/>
            <w:tcBorders>
              <w:top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16S rRNA sequencing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235" w:type="dxa"/>
            <w:vMerge w:val="continue"/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6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7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righ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lef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8" w:type="dxa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1" w:type="dxa"/>
          </w:tcPr>
          <w:p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Metagenomic shotgun sequencing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2235" w:type="dxa"/>
            <w:vMerge w:val="restart"/>
          </w:tcPr>
          <w:p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End of immunotherapy </w:t>
            </w:r>
          </w:p>
          <w:p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0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7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righ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left w:val="nil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0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8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51" w:type="dxa"/>
          </w:tcPr>
          <w:p>
            <w:pPr>
              <w:spacing w:line="480" w:lineRule="auto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16S rRNA sequencing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235" w:type="dxa"/>
            <w:vMerge w:val="continue"/>
            <w:tcBorders>
              <w:bottom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hint="eastAsia" w:ascii="Times New Roman" w:hAnsi="Times New Roman" w:eastAsia="微软雅黑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7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6" w:type="dxa"/>
            <w:tcBorders>
              <w:bottom w:val="single" w:color="auto" w:sz="4" w:space="0"/>
              <w:right w:val="nil"/>
            </w:tcBorders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left w:val="nil"/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6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8" w:type="dxa"/>
            <w:tcBorders>
              <w:bottom w:val="single" w:color="auto" w:sz="4" w:space="0"/>
            </w:tcBorders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n=</w:t>
            </w:r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1" w:type="dxa"/>
            <w:tcBorders>
              <w:bottom w:val="single" w:color="auto" w:sz="4" w:space="0"/>
            </w:tcBorders>
          </w:tcPr>
          <w:p>
            <w:pPr>
              <w:spacing w:line="480" w:lineRule="auto"/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</w:pPr>
            <w:bookmarkStart w:id="4" w:name="OLE_LINK36"/>
            <w:bookmarkStart w:id="5" w:name="OLE_LINK35"/>
            <w:r>
              <w:rPr>
                <w:rFonts w:ascii="Times New Roman" w:hAnsi="Times New Roman" w:eastAsia="微软雅黑" w:cs="Times New Roman"/>
                <w:color w:val="000000"/>
                <w:sz w:val="24"/>
                <w:szCs w:val="24"/>
              </w:rPr>
              <w:t xml:space="preserve">Non-targeted metabolomics </w:t>
            </w:r>
            <w:bookmarkEnd w:id="4"/>
            <w:bookmarkEnd w:id="5"/>
          </w:p>
        </w:tc>
      </w:tr>
    </w:tbl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6" w:name="OLE_LINK67"/>
      <w:bookmarkStart w:id="7" w:name="OLE_LINK66"/>
      <w:r>
        <w:rPr>
          <w:rFonts w:hint="eastAsia"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ontrol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hint="eastAsia" w:ascii="Times New Roman" w:hAnsi="Times New Roman" w:cs="Times New Roman"/>
          <w:sz w:val="24"/>
          <w:szCs w:val="24"/>
        </w:rPr>
        <w:t>non-a</w:t>
      </w:r>
      <w:r>
        <w:rPr>
          <w:rFonts w:ascii="Times New Roman" w:hAnsi="Times New Roman" w:cs="Times New Roman"/>
          <w:sz w:val="24"/>
          <w:szCs w:val="24"/>
        </w:rPr>
        <w:t>ntibiotic treatments</w:t>
      </w:r>
      <w:r>
        <w:rPr>
          <w:rFonts w:hint="eastAsia" w:ascii="Times New Roman" w:hAnsi="Times New Roman" w:cs="Times New Roman"/>
          <w:sz w:val="24"/>
          <w:szCs w:val="24"/>
        </w:rPr>
        <w:t>; V</w:t>
      </w:r>
      <w:r>
        <w:rPr>
          <w:rFonts w:ascii="Times New Roman" w:hAnsi="Times New Roman" w:cs="Times New Roman"/>
          <w:sz w:val="24"/>
          <w:szCs w:val="24"/>
        </w:rPr>
        <w:t>anc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vancomycin</w:t>
      </w:r>
      <w:r>
        <w:rPr>
          <w:rFonts w:hint="eastAsia" w:ascii="Times New Roman" w:hAnsi="Times New Roman" w:cs="Times New Roman"/>
          <w:sz w:val="24"/>
          <w:szCs w:val="24"/>
        </w:rPr>
        <w:t>; C</w:t>
      </w:r>
      <w:r>
        <w:rPr>
          <w:rFonts w:ascii="Times New Roman" w:hAnsi="Times New Roman" w:cs="Times New Roman"/>
          <w:sz w:val="24"/>
          <w:szCs w:val="24"/>
        </w:rPr>
        <w:t>oli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colistin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OLE_LINK59"/>
      <w:bookmarkStart w:id="9" w:name="OLE_LINK58"/>
      <w:r>
        <w:rPr>
          <w:rFonts w:hint="eastAsia"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mp+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trep+</w:t>
      </w:r>
      <w:r>
        <w:rPr>
          <w:rFonts w:hint="eastAsia"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oli</w:t>
      </w:r>
      <w:bookmarkEnd w:id="8"/>
      <w:bookmarkEnd w:id="9"/>
      <w:r>
        <w:rPr>
          <w:rFonts w:hint="eastAsia" w:ascii="Times New Roman" w:hAnsi="Times New Roman" w:cs="Times New Roman"/>
          <w:sz w:val="24"/>
          <w:szCs w:val="24"/>
        </w:rPr>
        <w:t>: a</w:t>
      </w:r>
      <w:r>
        <w:rPr>
          <w:rFonts w:ascii="Times New Roman" w:hAnsi="Times New Roman" w:cs="Times New Roman"/>
          <w:sz w:val="24"/>
          <w:szCs w:val="24"/>
        </w:rPr>
        <w:t>mpicillin+streptomycin+colistin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bookmarkEnd w:id="6"/>
      <w:bookmarkEnd w:id="7"/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480" w:lineRule="auto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Cs w:val="21"/>
        </w:rPr>
        <w:t xml:space="preserve">Supplementary 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Table 2 Plasma lipids and metabolome differ significantly in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ontrol vs.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oli group and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V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anc vs.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sz w:val="24"/>
          <w:szCs w:val="24"/>
        </w:rPr>
        <w:t>oli group</w:t>
      </w:r>
    </w:p>
    <w:tbl>
      <w:tblPr>
        <w:tblStyle w:val="7"/>
        <w:tblW w:w="1400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1701"/>
        <w:gridCol w:w="9497"/>
        <w:gridCol w:w="170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Compound ID</w:t>
            </w:r>
          </w:p>
        </w:tc>
        <w:tc>
          <w:tcPr>
            <w:tcW w:w="949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Compound name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p-value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T3-pos</w:t>
            </w:r>
          </w:p>
        </w:tc>
        <w:tc>
          <w:tcPr>
            <w:tcW w:w="1701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CSID118802</w:t>
            </w:r>
          </w:p>
        </w:tc>
        <w:tc>
          <w:tcPr>
            <w:tcW w:w="9497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(3alpha,17alpha)-19-Norpregn-5(10)-en-20-yne-3,17-diol</w:t>
            </w:r>
          </w:p>
        </w:tc>
        <w:tc>
          <w:tcPr>
            <w:tcW w:w="1701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1.39E-06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19420-57-6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1-Stearoyl-2-hydroxy-sn-glycero-3-phosphocholine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4.03E-06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50930-23-9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1-Heptadecanoyl-sn-glycero-3-phosphocholine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0.000794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CSID391398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N-{[(1S)-1-[(4S)-2-Amino-1,4,5,6-tetrahydro-4-pyrimidinyl]-2-{[(2S)-4-methyl-1-oxo-1-{[(2S)-1-oxo-3-phenyl-2-propanyl]amino}-2-pentanyl]amino}-2-oxoethyl]carbamoyl}-L-phenylalanine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1.63E-06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CSID2357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Brotizolam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3.92E-08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74389-68-7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PAF C-16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0.000374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CSID10252447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(3beta,5beta,22R)-3,14,22,25-Tetrahydroxycholest-7-en-6-one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3.50E-06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CSID223205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17-Methyl-5alpha-androst-2-ene-1alpha,17beta-diol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2.35E-08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19420-57-6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1-Stearoyl-2-hydroxy-sn-glycero-3-phosphocholine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2.50E-06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150-30-1</w:t>
            </w:r>
          </w:p>
        </w:tc>
        <w:tc>
          <w:tcPr>
            <w:tcW w:w="9497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DL-Phenylalanine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2.72E-08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widowControl/>
              <w:spacing w:line="360" w:lineRule="auto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T3-neg</w:t>
            </w:r>
          </w:p>
        </w:tc>
        <w:tc>
          <w:tcPr>
            <w:tcW w:w="170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HMDB0002429</w:t>
            </w:r>
          </w:p>
        </w:tc>
        <w:tc>
          <w:tcPr>
            <w:tcW w:w="9497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(3a,5b)-24-oxo-24-[(2-sulfoethyl)amino]cholan-3-yl-b-D-Glucopyranosiduronic acid</w:t>
            </w:r>
          </w:p>
        </w:tc>
        <w:tc>
          <w:tcPr>
            <w:tcW w:w="170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1.86E-05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tcBorders>
              <w:top w:val="nil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HMDB0010404</w:t>
            </w:r>
          </w:p>
        </w:tc>
        <w:tc>
          <w:tcPr>
            <w:tcW w:w="9497" w:type="dxa"/>
            <w:tcBorders>
              <w:top w:val="nil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LysoPC(22:6(4Z,7Z,10Z,13Z,16Z,19Z))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0.001173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HMDB0127958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2-hydroxy-3-(sulfooxy)butanedioic acid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0.014432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HMDB0012108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LysoPC(17:0)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0.000688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HMDB0040704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Allodesmosine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2.16E-07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CSID4445390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(3R,4S,6S,8S,10R,12R,14R,15R,16R,17E,19E,21E,23E,25E,27S,28R)-4,6,8,10,12,14,15,16,27-Nonahydroxy-3-[(1R)-1-hydroxyhexyl]-17,28-dimethyloxacyclooctacosa-17,19,21,23,25-pentaen-2-one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1.63E-07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HMDB0029336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Nummularine A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3.26E-07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CSID3845</w:t>
            </w:r>
          </w:p>
        </w:tc>
        <w:tc>
          <w:tcPr>
            <w:tcW w:w="9497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3-(Hexadecyloxy)-2-hydroxypropyl 2-(trimethylammonio)ethyl phosphate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2.86E-06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widowControl/>
              <w:spacing w:line="360" w:lineRule="auto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Lipid-pos</w:t>
            </w:r>
          </w:p>
        </w:tc>
        <w:tc>
          <w:tcPr>
            <w:tcW w:w="170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CSID4444461</w:t>
            </w:r>
          </w:p>
        </w:tc>
        <w:tc>
          <w:tcPr>
            <w:tcW w:w="9497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(2E,4E)-3,8,8-Trichloro-7-(4-chlorophenyl)-2-hydroxy-6-oxo-2,4,7-octatrienoic acid</w:t>
            </w:r>
          </w:p>
        </w:tc>
        <w:tc>
          <w:tcPr>
            <w:tcW w:w="170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0.03568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tcBorders>
              <w:top w:val="nil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HMDB0010396</w:t>
            </w:r>
          </w:p>
        </w:tc>
        <w:tc>
          <w:tcPr>
            <w:tcW w:w="9497" w:type="dxa"/>
            <w:tcBorders>
              <w:top w:val="nil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LysoPC(20:4(8Z,11Z,14Z,17Z))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0.003068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LMGP01050056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PC(22:6(4Z,7Z,10Z,13Z,16Z,19Z)/0:0)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0.005206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LMGL03010925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TG(16:0/18:1(9Z)/22:6(4Z,7Z,10Z,13Z,16Z,19Z))[iso6]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5.61E-07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CSID391511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(2R)-2-(Phosphonooxy)-3-sulfopropanoic acid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0.037739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HMDB0012285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Ribose-1-arsenate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0.031566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CSID39176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Laurocapram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0.053149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LMFA08020074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N-arachidonoyl GABA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5.69E-05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CSID4444880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(1S)-3-[(2Z)-2-Buten-1-yl]-2-methyl-4-oxo-2-cyclopenten-1-yl (1R,3R)-3-[(1E)-3-methoxy-2-methyl-3-oxo-1-propen-1-yl]-2,2-dimethylcyclopropanecarboxylate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0.039546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CSID12158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Hexamethylphosphoramide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0.048386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LMGP03020042</w:t>
            </w:r>
          </w:p>
        </w:tc>
        <w:tc>
          <w:tcPr>
            <w:tcW w:w="9497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PS(O-20:0/13:0)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0.022574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restart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widowControl/>
              <w:spacing w:line="360" w:lineRule="auto"/>
              <w:rPr>
                <w:rFonts w:hint="default" w:ascii="Times New Roman" w:hAnsi="Times New Roman" w:cs="Times New Roman"/>
                <w:b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szCs w:val="21"/>
              </w:rPr>
              <w:t>Lipid-neg</w:t>
            </w:r>
          </w:p>
        </w:tc>
        <w:tc>
          <w:tcPr>
            <w:tcW w:w="170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123063359</w:t>
            </w:r>
          </w:p>
        </w:tc>
        <w:tc>
          <w:tcPr>
            <w:tcW w:w="9497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PS(21:0/20:2(11Z,14Z))</w:t>
            </w:r>
          </w:p>
        </w:tc>
        <w:tc>
          <w:tcPr>
            <w:tcW w:w="1701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0.013387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  <w:tcBorders>
              <w:top w:val="nil"/>
            </w:tcBorders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LMGP02010322</w:t>
            </w:r>
          </w:p>
        </w:tc>
        <w:tc>
          <w:tcPr>
            <w:tcW w:w="9497" w:type="dxa"/>
            <w:tcBorders>
              <w:top w:val="nil"/>
            </w:tcBorders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PE-NMe2(16:0/18:1(9Z))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0.001477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123063628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PS(17:0/20:0)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0.000799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HMDB0029321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Asparagoside F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0.018203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HMDB0115976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CDP-DG(18:2(9Z,12Z)/22:6(4Z,7Z,10Z,13Z,16Z,19Z))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0.000388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Merge w:val="continue"/>
          </w:tcPr>
          <w:p>
            <w:pPr>
              <w:widowControl/>
              <w:spacing w:line="360" w:lineRule="auto"/>
              <w:jc w:val="left"/>
              <w:rPr>
                <w:rFonts w:hint="default" w:ascii="Times New Roman" w:hAnsi="Times New Roman" w:cs="Times New Roman"/>
                <w:b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96998-01-5</w:t>
            </w:r>
          </w:p>
        </w:tc>
        <w:tc>
          <w:tcPr>
            <w:tcW w:w="9497" w:type="dxa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1-Octadecanoyl-2-(4Z,7Z,10Z,13Z,16Z,19Z-docosahexaenoyl)-sn-glycero-3-phosphoethanolamine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宋体" w:cs="Times New Roman"/>
                <w:color w:val="000000"/>
                <w:sz w:val="22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2"/>
              </w:rPr>
              <w:t>0.000159</w:t>
            </w:r>
          </w:p>
        </w:tc>
      </w:tr>
    </w:tbl>
    <w:p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  <w:highlight w:val="green"/>
        </w:rPr>
        <w:sectPr>
          <w:pgSz w:w="16838" w:h="11906" w:orient="landscape"/>
          <w:pgMar w:top="1077" w:right="1440" w:bottom="1077" w:left="1440" w:header="851" w:footer="992" w:gutter="0"/>
          <w:cols w:space="425" w:num="1"/>
          <w:docGrid w:type="linesAndChars" w:linePitch="312" w:charSpace="0"/>
        </w:sectPr>
      </w:pPr>
    </w:p>
    <w:p>
      <w:pPr>
        <w:spacing w:line="480" w:lineRule="auto"/>
        <w:rPr>
          <w:rFonts w:hint="eastAsia" w:ascii="Times New Roman" w:hAnsi="Times New Roman" w:cs="Times New Roman" w:eastAsiaTheme="minorEastAsia"/>
          <w:b/>
          <w:szCs w:val="21"/>
          <w:lang w:eastAsia="zh-CN"/>
        </w:rPr>
      </w:pPr>
      <w:r>
        <w:rPr>
          <w:rFonts w:ascii="Times New Roman" w:hAnsi="Times New Roman" w:cs="Times New Roman"/>
          <w:b/>
          <w:szCs w:val="21"/>
        </w:rPr>
        <w:t>Supplementary Figure 1</w:t>
      </w:r>
      <w:r>
        <w:rPr>
          <w:rFonts w:hint="eastAsia" w:ascii="Times New Roman" w:hAnsi="Times New Roman" w:cs="Times New Roman"/>
          <w:b/>
          <w:szCs w:val="21"/>
          <w:lang w:val="en-US" w:eastAsia="zh-CN"/>
        </w:rPr>
        <w:t xml:space="preserve">.Compositional differences in the gut microbiome are associated with responses to PD-1 antibody immunotherapy </w:t>
      </w:r>
      <w:r>
        <w:rPr>
          <w:rFonts w:hint="eastAsia"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 xml:space="preserve">Stacked bar plot of phylogenetic composition of common bacterial taxa at the </w:t>
      </w:r>
      <w:r>
        <w:rPr>
          <w:rFonts w:hint="eastAsia" w:ascii="Times New Roman" w:hAnsi="Times New Roman" w:cs="Times New Roman"/>
          <w:sz w:val="24"/>
          <w:szCs w:val="24"/>
        </w:rPr>
        <w:t xml:space="preserve">species </w:t>
      </w:r>
      <w:r>
        <w:rPr>
          <w:rFonts w:ascii="Times New Roman" w:hAnsi="Times New Roman" w:cs="Times New Roman"/>
          <w:sz w:val="24"/>
          <w:szCs w:val="24"/>
        </w:rPr>
        <w:t xml:space="preserve">level </w:t>
      </w:r>
      <w:bookmarkStart w:id="10" w:name="OLE_LINK12"/>
      <w:bookmarkStart w:id="11" w:name="OLE_LINK13"/>
      <w:r>
        <w:rPr>
          <w:rFonts w:ascii="Times New Roman" w:hAnsi="Times New Roman" w:cs="Times New Roman"/>
          <w:sz w:val="24"/>
          <w:szCs w:val="24"/>
        </w:rPr>
        <w:t xml:space="preserve">in fecal samples </w:t>
      </w:r>
      <w:r>
        <w:rPr>
          <w:rFonts w:hint="eastAsia"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immunotherapy initiation</w:t>
      </w:r>
      <w:bookmarkEnd w:id="10"/>
      <w:bookmarkEnd w:id="11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hint="eastAsia" w:ascii="Times New Roman" w:hAnsi="Times New Roman" w:cs="Times New Roman"/>
          <w:sz w:val="24"/>
          <w:szCs w:val="24"/>
        </w:rPr>
        <w:t>(B)</w:t>
      </w:r>
      <w: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ar plot </w:t>
      </w:r>
      <w:r>
        <w:rPr>
          <w:rFonts w:hint="eastAsia" w:ascii="Times New Roman" w:hAnsi="Times New Roman" w:cs="Times New Roman"/>
          <w:sz w:val="24"/>
          <w:szCs w:val="24"/>
        </w:rPr>
        <w:t>of c</w:t>
      </w:r>
      <w:r>
        <w:rPr>
          <w:rFonts w:ascii="Times New Roman" w:hAnsi="Times New Roman" w:cs="Times New Roman"/>
          <w:sz w:val="24"/>
          <w:szCs w:val="24"/>
        </w:rPr>
        <w:t xml:space="preserve">ompositional differences </w:t>
      </w:r>
      <w:r>
        <w:rPr>
          <w:rFonts w:hint="eastAsia"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genus level</w:t>
      </w:r>
      <w:r>
        <w:rPr>
          <w:rFonts w:ascii="Times New Roman" w:hAnsi="Times New Roman" w:cs="Times New Roman"/>
          <w:sz w:val="24"/>
          <w:szCs w:val="24"/>
        </w:rPr>
        <w:t xml:space="preserve"> in the gut microbiome</w:t>
      </w:r>
      <w:r>
        <w:rPr>
          <w:rFonts w:hint="eastAsia" w:ascii="Times New Roman" w:hAnsi="Times New Roman" w:cs="Times New Roman"/>
          <w:sz w:val="24"/>
          <w:szCs w:val="24"/>
        </w:rPr>
        <w:t xml:space="preserve"> of three groups of mice by o</w:t>
      </w:r>
      <w:r>
        <w:rPr>
          <w:rFonts w:ascii="Times New Roman" w:hAnsi="Times New Roman" w:cs="Times New Roman"/>
          <w:sz w:val="24"/>
          <w:szCs w:val="24"/>
        </w:rPr>
        <w:t>ne-way ANOVA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p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 w:eastAsiaTheme="minorEastAsia"/>
          <w:b/>
          <w:szCs w:val="21"/>
          <w:lang w:eastAsia="zh-CN"/>
        </w:rPr>
        <w:drawing>
          <wp:inline distT="0" distB="0" distL="114300" distR="114300">
            <wp:extent cx="6120130" cy="7199630"/>
            <wp:effectExtent l="0" t="0" r="13970" b="1270"/>
            <wp:docPr id="22" name="图片 22" descr="Supplemental Fi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upplemental Fig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default" w:ascii="Times New Roman" w:hAnsi="Times New Roman" w:cs="Times New Roman"/>
          <w:szCs w:val="21"/>
          <w:lang w:val="en-US" w:eastAsia="zh-CN"/>
        </w:rPr>
      </w:pPr>
      <w:r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hint="eastAsia" w:ascii="Times New Roman" w:hAnsi="Times New Roman" w:cs="Times New Roman"/>
          <w:b/>
          <w:szCs w:val="21"/>
          <w:lang w:val="en-US" w:eastAsia="zh-CN"/>
        </w:rPr>
        <w:t xml:space="preserve">2.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Bar plot of compositional differences </w:t>
      </w:r>
      <w:r>
        <w:rPr>
          <w:rFonts w:hint="eastAsia" w:ascii="Times New Roman" w:hAnsi="Times New Roman" w:cs="Times New Roman"/>
          <w:szCs w:val="21"/>
          <w:highlight w:val="none"/>
          <w:lang w:val="en-US" w:eastAsia="zh-CN"/>
        </w:rPr>
        <w:t>at species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level in the Control vs. Coli,</w:t>
      </w:r>
    </w:p>
    <w:p>
      <w:pPr>
        <w:spacing w:line="480" w:lineRule="auto"/>
        <w:jc w:val="left"/>
        <w:rPr>
          <w:rFonts w:hint="eastAsia" w:ascii="Times New Roman" w:hAnsi="Times New Roman" w:cs="Times New Roman"/>
          <w:szCs w:val="21"/>
          <w:lang w:eastAsia="zh-CN"/>
        </w:rPr>
      </w:pP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 Control vs. Vanc and Vanc vs.Coli groups of mice before PD-1 antibody treatment by one-way ANOVA.</w:t>
      </w:r>
    </w:p>
    <w:p>
      <w:pPr>
        <w:spacing w:line="480" w:lineRule="auto"/>
        <w:rPr>
          <w:rFonts w:ascii="Times New Roman" w:hAnsi="Times New Roman" w:cs="Times New Roman"/>
          <w:b/>
          <w:szCs w:val="21"/>
        </w:rPr>
      </w:pPr>
      <w:r>
        <w:rPr>
          <w:rFonts w:hint="eastAsia" w:ascii="Times New Roman" w:hAnsi="Times New Roman" w:cs="Times New Roman" w:eastAsiaTheme="minorEastAsia"/>
          <w:b/>
          <w:szCs w:val="21"/>
          <w:lang w:eastAsia="zh-CN"/>
        </w:rPr>
        <w:drawing>
          <wp:inline distT="0" distB="0" distL="114300" distR="114300">
            <wp:extent cx="6120130" cy="7199630"/>
            <wp:effectExtent l="0" t="0" r="13970" b="1270"/>
            <wp:docPr id="17" name="图片 17" descr="Supplemental 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upplemental Fig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b/>
          <w:szCs w:val="21"/>
        </w:rPr>
      </w:pPr>
    </w:p>
    <w:p>
      <w:pPr>
        <w:spacing w:line="480" w:lineRule="auto"/>
        <w:rPr>
          <w:rFonts w:ascii="Times New Roman" w:hAnsi="Times New Roman" w:cs="Times New Roman"/>
          <w:b/>
          <w:szCs w:val="21"/>
        </w:rPr>
      </w:pPr>
      <w:bookmarkStart w:id="12" w:name="OLE_LINK1"/>
    </w:p>
    <w:p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hint="eastAsia" w:ascii="Times New Roman" w:hAnsi="Times New Roman" w:cs="Times New Roman"/>
          <w:b/>
          <w:szCs w:val="21"/>
          <w:lang w:val="en-US" w:eastAsia="zh-CN"/>
        </w:rPr>
        <w:t>3</w:t>
      </w:r>
      <w:r>
        <w:rPr>
          <w:rFonts w:ascii="Times New Roman" w:hAnsi="Times New Roman" w:cs="Times New Roman"/>
          <w:szCs w:val="21"/>
        </w:rPr>
        <w:t>. LDA scores computed for differentially-abundant taxa in the fecal microbiomes of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  <w:lang w:val="en-US" w:eastAsia="zh-CN"/>
        </w:rPr>
        <w:t>C</w:t>
      </w:r>
      <w:r>
        <w:rPr>
          <w:rFonts w:hint="eastAsia" w:ascii="Times New Roman" w:hAnsi="Times New Roman" w:cs="Times New Roman"/>
          <w:szCs w:val="21"/>
        </w:rPr>
        <w:t xml:space="preserve">ontrol group and </w:t>
      </w:r>
      <w:r>
        <w:rPr>
          <w:rFonts w:hint="eastAsia" w:ascii="Times New Roman" w:hAnsi="Times New Roman" w:cs="Times New Roman"/>
          <w:szCs w:val="21"/>
          <w:lang w:val="en-US" w:eastAsia="zh-CN"/>
        </w:rPr>
        <w:t>C</w:t>
      </w:r>
      <w:r>
        <w:rPr>
          <w:rFonts w:hint="eastAsia" w:ascii="Times New Roman" w:hAnsi="Times New Roman" w:cs="Times New Roman"/>
          <w:szCs w:val="21"/>
        </w:rPr>
        <w:t>oli group</w:t>
      </w:r>
      <w:r>
        <w:rPr>
          <w:rFonts w:ascii="Times New Roman" w:hAnsi="Times New Roman" w:cs="Times New Roman"/>
          <w:szCs w:val="21"/>
        </w:rPr>
        <w:t>. Length indicates effect size associated with a taxon. p=0.05 for the Kruskal-Wallis test; LDA score &gt; 3.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6183630" cy="4400550"/>
            <wp:effectExtent l="0" t="0" r="7620" b="0"/>
            <wp:docPr id="15" name="图片 15" descr="Supplemental F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plemental Fig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pStyle w:val="2"/>
        <w:bidi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eastAsiaTheme="minorEastAsia"/>
          <w:b/>
          <w:kern w:val="2"/>
          <w:sz w:val="21"/>
          <w:szCs w:val="21"/>
          <w:lang w:val="en-US" w:eastAsia="zh-CN" w:bidi="ar-SA"/>
        </w:rPr>
        <w:t xml:space="preserve">Supplementary Figure </w:t>
      </w:r>
      <w:r>
        <w:rPr>
          <w:rFonts w:hint="eastAsia" w:ascii="Times New Roman" w:hAnsi="Times New Roman" w:cs="Times New Roman" w:eastAsiaTheme="minorEastAsia"/>
          <w:b/>
          <w:kern w:val="2"/>
          <w:sz w:val="21"/>
          <w:szCs w:val="21"/>
          <w:lang w:val="en-US" w:eastAsia="zh-CN" w:bidi="ar-SA"/>
        </w:rPr>
        <w:t xml:space="preserve">4. </w:t>
      </w:r>
      <w:r>
        <w:rPr>
          <w:rFonts w:ascii="Times New Roman" w:hAnsi="Times New Roman" w:cs="Times New Roman" w:eastAsiaTheme="minorEastAsia"/>
          <w:b w:val="0"/>
          <w:kern w:val="2"/>
          <w:sz w:val="21"/>
          <w:szCs w:val="21"/>
          <w:lang w:val="en-US" w:eastAsia="zh-CN" w:bidi="ar-SA"/>
        </w:rPr>
        <w:t>LDA scores computed for differentially-abundant taxa in the fecal microbiomes of</w:t>
      </w:r>
      <w:r>
        <w:rPr>
          <w:rFonts w:hint="eastAsia" w:ascii="Times New Roman" w:hAnsi="Times New Roman" w:cs="Times New Roman" w:eastAsiaTheme="minorEastAsia"/>
          <w:b w:val="0"/>
          <w:kern w:val="2"/>
          <w:sz w:val="21"/>
          <w:szCs w:val="21"/>
          <w:lang w:val="en-US" w:eastAsia="zh-CN" w:bidi="ar-SA"/>
        </w:rPr>
        <w:t xml:space="preserve"> Control group and Vanc group</w:t>
      </w:r>
      <w:r>
        <w:rPr>
          <w:rFonts w:ascii="Times New Roman" w:hAnsi="Times New Roman" w:cs="Times New Roman" w:eastAsiaTheme="minorEastAsia"/>
          <w:b w:val="0"/>
          <w:kern w:val="2"/>
          <w:sz w:val="21"/>
          <w:szCs w:val="21"/>
          <w:lang w:val="en-US" w:eastAsia="zh-CN" w:bidi="ar-SA"/>
        </w:rPr>
        <w:t>. Length indicates effect size associated with a taxon. p=0.05 for the Kruskal-Wallis test; LDA score &gt; 3.</w:t>
      </w:r>
    </w:p>
    <w:p>
      <w:pPr>
        <w:spacing w:line="480" w:lineRule="auto"/>
        <w:rPr>
          <w:rFonts w:hint="eastAsia" w:ascii="Times New Roman" w:hAnsi="Times New Roman" w:cs="Times New Roman" w:eastAsiaTheme="minorEastAsia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6183630" cy="7125335"/>
            <wp:effectExtent l="0" t="0" r="7620" b="18415"/>
            <wp:docPr id="16" name="图片 16" descr="Supplemental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upplemental Fig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Cs w:val="21"/>
        </w:rPr>
      </w:pPr>
    </w:p>
    <w:p>
      <w:pPr>
        <w:spacing w:line="480" w:lineRule="auto"/>
        <w:jc w:val="left"/>
        <w:rPr>
          <w:rFonts w:hint="eastAsia" w:ascii="Times New Roman" w:hAnsi="Times New Roman" w:cs="Times New Roman"/>
          <w:szCs w:val="21"/>
        </w:rPr>
      </w:pPr>
      <w:bookmarkStart w:id="13" w:name="OLE_LINK2"/>
      <w:r>
        <w:rPr>
          <w:rFonts w:ascii="Times New Roman" w:hAnsi="Times New Roman" w:cs="Times New Roman"/>
          <w:b/>
          <w:szCs w:val="21"/>
        </w:rPr>
        <w:t xml:space="preserve">Supplementary Figure </w:t>
      </w:r>
      <w:bookmarkEnd w:id="12"/>
      <w:bookmarkEnd w:id="13"/>
      <w:r>
        <w:rPr>
          <w:rFonts w:hint="eastAsia" w:ascii="Times New Roman" w:hAnsi="Times New Roman" w:cs="Times New Roman"/>
          <w:b/>
          <w:szCs w:val="21"/>
          <w:lang w:val="en-US" w:eastAsia="zh-CN"/>
        </w:rPr>
        <w:t>5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 xml:space="preserve">Bar plot of compositional differences at genus level in </w:t>
      </w:r>
      <w:bookmarkStart w:id="14" w:name="OLE_LINK3"/>
      <w:r>
        <w:rPr>
          <w:rFonts w:hint="eastAsia" w:ascii="Times New Roman" w:hAnsi="Times New Roman" w:cs="Times New Roman"/>
          <w:szCs w:val="21"/>
        </w:rPr>
        <w:t xml:space="preserve">the gut microbiome of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Control vs. Coli,Control vs. Vanc and Vanc vs.Coli </w:t>
      </w:r>
      <w:bookmarkEnd w:id="14"/>
      <w:r>
        <w:rPr>
          <w:rFonts w:hint="eastAsia" w:ascii="Times New Roman" w:hAnsi="Times New Roman" w:cs="Times New Roman"/>
          <w:szCs w:val="21"/>
        </w:rPr>
        <w:t xml:space="preserve">before PD-1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antibody </w:t>
      </w:r>
      <w:r>
        <w:rPr>
          <w:rFonts w:hint="eastAsia" w:ascii="Times New Roman" w:hAnsi="Times New Roman" w:cs="Times New Roman"/>
          <w:szCs w:val="21"/>
        </w:rPr>
        <w:t xml:space="preserve">immunotherapy by Student’s t test (equal variance). P-value&lt;0.05. Only the top 15 microbiota were displayed. </w:t>
      </w:r>
    </w:p>
    <w:p>
      <w:pPr>
        <w:spacing w:line="480" w:lineRule="auto"/>
        <w:jc w:val="center"/>
        <w:rPr>
          <w:rFonts w:hint="eastAsia" w:ascii="Times New Roman" w:hAnsi="Times New Roman" w:cs="Times New Roman" w:eastAsiaTheme="minorEastAsia"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szCs w:val="21"/>
          <w:lang w:eastAsia="zh-CN"/>
        </w:rPr>
        <w:drawing>
          <wp:inline distT="0" distB="0" distL="114300" distR="114300">
            <wp:extent cx="4785360" cy="7199630"/>
            <wp:effectExtent l="0" t="0" r="15240" b="1270"/>
            <wp:docPr id="21" name="图片 21" descr="Supplemental Fig 5（before treatment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upplemental Fig 5（before treatment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Times New Roman" w:hAnsi="Times New Roman" w:cs="Times New Roman" w:eastAsiaTheme="minorEastAsia"/>
          <w:szCs w:val="21"/>
          <w:lang w:eastAsia="zh-CN"/>
        </w:rPr>
      </w:pPr>
    </w:p>
    <w:p>
      <w:pPr>
        <w:spacing w:line="480" w:lineRule="auto"/>
        <w:rPr>
          <w:rFonts w:hint="eastAsia"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 xml:space="preserve">Supplementary Figure </w:t>
      </w:r>
      <w:r>
        <w:rPr>
          <w:rFonts w:hint="eastAsia" w:ascii="Times New Roman" w:hAnsi="Times New Roman" w:cs="Times New Roman"/>
          <w:b/>
          <w:szCs w:val="21"/>
          <w:lang w:val="en-US" w:eastAsia="zh-CN"/>
        </w:rPr>
        <w:t>6</w:t>
      </w:r>
      <w:r>
        <w:rPr>
          <w:rFonts w:ascii="Times New Roman" w:hAnsi="Times New Roman" w:cs="Times New Roman"/>
          <w:szCs w:val="21"/>
        </w:rPr>
        <w:t xml:space="preserve">. Bar plot of compositional differences at genus level in the gut microbiome of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Control vs. Coli,Control vs. Vanc and Vanc vs.Coli </w:t>
      </w:r>
      <w:r>
        <w:rPr>
          <w:rFonts w:hint="eastAsia" w:ascii="Times New Roman" w:hAnsi="Times New Roman" w:cs="Times New Roman"/>
          <w:szCs w:val="21"/>
        </w:rPr>
        <w:t xml:space="preserve">after </w:t>
      </w:r>
      <w:r>
        <w:rPr>
          <w:rFonts w:ascii="Times New Roman" w:hAnsi="Times New Roman" w:cs="Times New Roman"/>
          <w:szCs w:val="21"/>
        </w:rPr>
        <w:t xml:space="preserve">PD-1 </w:t>
      </w:r>
      <w:r>
        <w:rPr>
          <w:rFonts w:hint="eastAsia" w:ascii="Times New Roman" w:hAnsi="Times New Roman" w:cs="Times New Roman"/>
          <w:szCs w:val="21"/>
          <w:lang w:val="en-US" w:eastAsia="zh-CN"/>
        </w:rPr>
        <w:t xml:space="preserve">antibody </w:t>
      </w:r>
      <w:bookmarkStart w:id="15" w:name="_GoBack"/>
      <w:bookmarkEnd w:id="15"/>
      <w:r>
        <w:rPr>
          <w:rFonts w:ascii="Times New Roman" w:hAnsi="Times New Roman" w:cs="Times New Roman"/>
          <w:szCs w:val="21"/>
        </w:rPr>
        <w:t>immunotherapy</w:t>
      </w:r>
      <w:r>
        <w:rPr>
          <w:rFonts w:hint="eastAsia" w:ascii="Times New Roman" w:hAnsi="Times New Roman" w:cs="Times New Roman"/>
          <w:szCs w:val="21"/>
        </w:rPr>
        <w:t xml:space="preserve"> (PD-1 treatment)</w:t>
      </w:r>
      <w:r>
        <w:rPr>
          <w:rFonts w:ascii="Times New Roman" w:hAnsi="Times New Roman" w:cs="Times New Roman"/>
          <w:szCs w:val="21"/>
        </w:rPr>
        <w:t xml:space="preserve"> by </w:t>
      </w:r>
      <w:r>
        <w:rPr>
          <w:rFonts w:hint="eastAsia" w:ascii="Times New Roman" w:hAnsi="Times New Roman" w:cs="Times New Roman"/>
          <w:szCs w:val="21"/>
        </w:rPr>
        <w:t>Student</w:t>
      </w:r>
      <w:r>
        <w:rPr>
          <w:rFonts w:ascii="Times New Roman" w:hAnsi="Times New Roman" w:cs="Times New Roman"/>
          <w:szCs w:val="21"/>
        </w:rPr>
        <w:t>’</w:t>
      </w:r>
      <w:r>
        <w:rPr>
          <w:rFonts w:hint="eastAsia" w:ascii="Times New Roman" w:hAnsi="Times New Roman" w:cs="Times New Roman"/>
          <w:szCs w:val="21"/>
        </w:rPr>
        <w:t>s t test (equal variance)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hint="eastAsia" w:ascii="Times New Roman" w:hAnsi="Times New Roman" w:cs="Times New Roman"/>
          <w:szCs w:val="21"/>
        </w:rPr>
        <w:t>P-value&lt;</w:t>
      </w:r>
      <w:r>
        <w:rPr>
          <w:rFonts w:ascii="Times New Roman" w:hAnsi="Times New Roman" w:cs="Times New Roman"/>
          <w:szCs w:val="21"/>
        </w:rPr>
        <w:t>0.05</w:t>
      </w:r>
      <w:r>
        <w:rPr>
          <w:rFonts w:hint="eastAsia" w:ascii="Times New Roman" w:hAnsi="Times New Roman" w:cs="Times New Roman"/>
          <w:szCs w:val="21"/>
        </w:rPr>
        <w:t>. Only the top 15</w:t>
      </w:r>
      <w:r>
        <w:rPr>
          <w:rFonts w:ascii="Times New Roman" w:hAnsi="Times New Roman" w:cs="Times New Roman"/>
          <w:szCs w:val="21"/>
        </w:rPr>
        <w:t xml:space="preserve"> microbiota</w:t>
      </w:r>
      <w:r>
        <w:rPr>
          <w:rFonts w:hint="eastAsia" w:ascii="Times New Roman" w:hAnsi="Times New Roman" w:cs="Times New Roman"/>
          <w:szCs w:val="21"/>
        </w:rPr>
        <w:t xml:space="preserve"> were displayed. </w:t>
      </w:r>
    </w:p>
    <w:p>
      <w:pPr>
        <w:jc w:val="both"/>
        <w:rPr>
          <w:rFonts w:hint="eastAsia" w:ascii="Times New Roman" w:hAnsi="Times New Roman" w:cs="Times New Roman"/>
          <w:szCs w:val="21"/>
        </w:rPr>
      </w:pPr>
    </w:p>
    <w:p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4833620" cy="7098665"/>
            <wp:effectExtent l="19050" t="19050" r="2413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28" cy="7098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61"/>
    <w:rsid w:val="00041A2B"/>
    <w:rsid w:val="000A67B2"/>
    <w:rsid w:val="000B787E"/>
    <w:rsid w:val="001459E5"/>
    <w:rsid w:val="001D23EC"/>
    <w:rsid w:val="001F7E09"/>
    <w:rsid w:val="002E6F56"/>
    <w:rsid w:val="00320BC0"/>
    <w:rsid w:val="00330C8B"/>
    <w:rsid w:val="004015FC"/>
    <w:rsid w:val="00407A4A"/>
    <w:rsid w:val="004328CA"/>
    <w:rsid w:val="00522479"/>
    <w:rsid w:val="00545FCE"/>
    <w:rsid w:val="00572C1F"/>
    <w:rsid w:val="005A4CE3"/>
    <w:rsid w:val="005A5CE3"/>
    <w:rsid w:val="0064001A"/>
    <w:rsid w:val="006A6E61"/>
    <w:rsid w:val="007057BD"/>
    <w:rsid w:val="00737B3C"/>
    <w:rsid w:val="007D2ECD"/>
    <w:rsid w:val="0089045F"/>
    <w:rsid w:val="00893A0C"/>
    <w:rsid w:val="008F4CA8"/>
    <w:rsid w:val="009162F4"/>
    <w:rsid w:val="00997E8C"/>
    <w:rsid w:val="00A5477F"/>
    <w:rsid w:val="00A90DCC"/>
    <w:rsid w:val="00AA1E80"/>
    <w:rsid w:val="00AB3FE9"/>
    <w:rsid w:val="00B83583"/>
    <w:rsid w:val="00C05B6E"/>
    <w:rsid w:val="00C41FD4"/>
    <w:rsid w:val="00CD58FB"/>
    <w:rsid w:val="00D91DA9"/>
    <w:rsid w:val="00DF6009"/>
    <w:rsid w:val="00E01043"/>
    <w:rsid w:val="00E1227C"/>
    <w:rsid w:val="00E83A94"/>
    <w:rsid w:val="00E94FC7"/>
    <w:rsid w:val="00EE29B4"/>
    <w:rsid w:val="00F84CF7"/>
    <w:rsid w:val="1ED55437"/>
    <w:rsid w:val="26F72478"/>
    <w:rsid w:val="2F0D1C88"/>
    <w:rsid w:val="3B537547"/>
    <w:rsid w:val="3D280143"/>
    <w:rsid w:val="3EC9364E"/>
    <w:rsid w:val="3F4E0C28"/>
    <w:rsid w:val="403E740E"/>
    <w:rsid w:val="404A7F54"/>
    <w:rsid w:val="41683B14"/>
    <w:rsid w:val="4B197642"/>
    <w:rsid w:val="5AF802FE"/>
    <w:rsid w:val="65290E5E"/>
    <w:rsid w:val="666006C4"/>
    <w:rsid w:val="673E5CE5"/>
    <w:rsid w:val="68F03891"/>
    <w:rsid w:val="723446F4"/>
    <w:rsid w:val="762347F2"/>
    <w:rsid w:val="7C3A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474</Words>
  <Characters>2706</Characters>
  <Lines>22</Lines>
  <Paragraphs>6</Paragraphs>
  <TotalTime>3</TotalTime>
  <ScaleCrop>false</ScaleCrop>
  <LinksUpToDate>false</LinksUpToDate>
  <CharactersWithSpaces>3174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2018-09-21T03:39:00Z</dcterms:created>
  <dc:creator>yuli2015</dc:creator>
  <cp:lastModifiedBy>莫萱茵</cp:lastModifiedBy>
  <dcterms:modified xsi:type="dcterms:W3CDTF">2019-08-30T02:02:01Z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