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D0C9" w14:textId="77777777" w:rsidR="00BA74DC" w:rsidRPr="00E13014" w:rsidRDefault="00BE30AB" w:rsidP="004C1687">
      <w:pPr>
        <w:widowControl/>
        <w:wordWrap/>
        <w:autoSpaceDE/>
        <w:spacing w:after="0" w:line="480" w:lineRule="auto"/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</w:pP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E13014"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  <w:t>FIGURE LEGENDS</w:t>
      </w:r>
    </w:p>
    <w:p w14:paraId="0C117C89" w14:textId="77777777" w:rsidR="00BA74DC" w:rsidRPr="00E13014" w:rsidRDefault="00BA74DC" w:rsidP="004C1687">
      <w:pPr>
        <w:tabs>
          <w:tab w:val="center" w:pos="4513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E356DF" w14:textId="77777777" w:rsidR="00DD57E9" w:rsidRPr="00E13014" w:rsidRDefault="00BE30AB" w:rsidP="004C1687">
      <w:pPr>
        <w:tabs>
          <w:tab w:val="center" w:pos="4513"/>
        </w:tabs>
        <w:spacing w:after="0" w:line="480" w:lineRule="auto"/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</w:pP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E13014"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  <w:t>FIGURE</w:t>
      </w: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2363"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S1 </w:t>
      </w:r>
      <w:r w:rsidR="00802363" w:rsidRPr="00E13014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|</w:t>
      </w:r>
      <w:r w:rsidR="00802363" w:rsidRPr="00E13014"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Predicted secondary structure of transfer RNA genes (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trn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genes) that identified in the </w:t>
      </w:r>
      <w:r w:rsidR="00A72541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T. atroviride</w:t>
      </w:r>
      <w:r w:rsidR="00366465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366465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ATCC 26799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mit</w:t>
      </w:r>
      <w:r w:rsidR="00366465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ochondrial genome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. All tRNA genes were indicated with numbers corresponding nucleotide positions in the mitochondrial genome. A putative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trnV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  <w:vertAlign w:val="superscript"/>
        </w:rPr>
        <w:t>Val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gene that predicted fully within the coding region of the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nad6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gene was indicated by an asterisk.</w:t>
      </w:r>
    </w:p>
    <w:p w14:paraId="4D886298" w14:textId="77777777" w:rsidR="00DD57E9" w:rsidRPr="00E13014" w:rsidRDefault="00DD57E9" w:rsidP="004C1687">
      <w:pPr>
        <w:tabs>
          <w:tab w:val="center" w:pos="4513"/>
        </w:tabs>
        <w:spacing w:after="0" w:line="480" w:lineRule="auto"/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</w:pPr>
    </w:p>
    <w:p w14:paraId="043B3E8C" w14:textId="77777777" w:rsidR="00AE0871" w:rsidRPr="00E13014" w:rsidRDefault="00AE0871" w:rsidP="00AE0871">
      <w:pPr>
        <w:widowControl/>
        <w:wordWrap/>
        <w:autoSpaceDE/>
        <w:autoSpaceDN/>
        <w:spacing w:after="0" w:line="480" w:lineRule="auto"/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</w:pP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E13014"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  <w:t>FIGURE</w:t>
      </w: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S2 </w:t>
      </w:r>
      <w:r w:rsidRPr="00E13014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|</w:t>
      </w: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Phylogenetic tree of the </w:t>
      </w:r>
      <w:r w:rsidRPr="00E130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Hypocreales</w:t>
      </w:r>
      <w:r w:rsidRPr="00E1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species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(Sordariomycetes) mitochondrial genomes based on Bayesian inference (BI) analysis. The tree was generated using concatenated sequences of 13 core genes (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atp6, atp8,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cob,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cox1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cox2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cox3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,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 nad1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nad2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nad3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nad4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nad4L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nad5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and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nad6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), and the mitochondrial genome of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Neurospora crassa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OR74A (Sordariales) was used as an outgroup. All </w:t>
      </w:r>
      <w:r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Sordariomycetes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species that used for the phylogenetic tree were described in </w:t>
      </w:r>
      <w:r w:rsidRPr="00E13014"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  <w:t>Supplementary Table S4</w:t>
      </w:r>
      <w:r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. Bayesian Posterior Probabilities (BPP) values were marked on the nodes.</w:t>
      </w:r>
    </w:p>
    <w:p w14:paraId="6FDB2A11" w14:textId="77777777" w:rsidR="00AE0871" w:rsidRPr="00E13014" w:rsidRDefault="00AE0871" w:rsidP="004C1687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E9CAA2" w14:textId="77777777" w:rsidR="00DD57E9" w:rsidRPr="00BF24FA" w:rsidRDefault="00BE30AB" w:rsidP="004C1687">
      <w:pPr>
        <w:widowControl/>
        <w:wordWrap/>
        <w:autoSpaceDE/>
        <w:autoSpaceDN/>
        <w:spacing w:after="0" w:line="480" w:lineRule="auto"/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</w:pPr>
      <w:r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E13014">
        <w:rPr>
          <w:rFonts w:ascii="Times New Roman" w:eastAsia="Malgun Gothic" w:hAnsi="Times New Roman" w:cs="Times New Roman"/>
          <w:b/>
          <w:noProof/>
          <w:color w:val="000000" w:themeColor="text1"/>
          <w:sz w:val="24"/>
          <w:szCs w:val="24"/>
        </w:rPr>
        <w:t>FIGURE</w:t>
      </w:r>
      <w:r w:rsidR="00AE0871"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S3</w:t>
      </w:r>
      <w:r w:rsidR="00802363"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2363" w:rsidRPr="00E13014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|</w:t>
      </w:r>
      <w:r w:rsidR="00802363" w:rsidRPr="00E13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57E9" w:rsidRPr="00E1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Synteny analysis of the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Trichoderma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mitochondrial genomes.</w:t>
      </w:r>
      <w:r w:rsidR="00DD57E9" w:rsidRPr="00E1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The sequence alignments for syntenic blocks were run using Mauve (v.2.4.0) (Darling et al., 2010). All five </w:t>
      </w:r>
      <w:r w:rsidR="00DD57E9" w:rsidRPr="00E13014">
        <w:rPr>
          <w:rFonts w:ascii="Times New Roman" w:hAnsi="Times New Roman" w:cs="Times New Roman"/>
          <w:color w:val="000000" w:themeColor="text1"/>
          <w:sz w:val="24"/>
          <w:szCs w:val="24"/>
        </w:rPr>
        <w:t>representative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blocks were indicated with different colors as follows: Dark green (block1), region containng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nad4L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and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nad5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; Blue (block 2), region containing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cob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and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cox1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; Purple (block 3), region contating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nad1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; Red (block 4), region containing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nad4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atp8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atp6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rns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and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cox3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; Green (block5), region contating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nad6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rrnL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nad2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nad3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atp9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, and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cox2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. TS, mitochondrial genome of the </w:t>
      </w:r>
      <w:r w:rsidR="00A72541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T. atroviride</w:t>
      </w:r>
      <w:r w:rsidR="00A72541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ATCC 26799</w:t>
      </w:r>
      <w:r w:rsidR="00DD57E9" w:rsidRPr="00E1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T1, mitochondrial genome of the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T. reesei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QM9414; T2, mitochondrial genome of the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T. asperellum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lastRenderedPageBreak/>
        <w:t xml:space="preserve">B05; T3, mitochondrial genome of the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>T. hamatum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; </w:t>
      </w:r>
      <w:r w:rsidR="00DD57E9" w:rsidRPr="00E13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T4,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mitochondrial genome of the </w:t>
      </w:r>
      <w:r w:rsidR="00DD57E9" w:rsidRPr="00E13014">
        <w:rPr>
          <w:rFonts w:ascii="Times New Roman" w:eastAsia="Malgun Gothic" w:hAnsi="Times New Roman" w:cs="Times New Roman"/>
          <w:i/>
          <w:noProof/>
          <w:color w:val="000000" w:themeColor="text1"/>
          <w:sz w:val="24"/>
          <w:szCs w:val="24"/>
        </w:rPr>
        <w:t xml:space="preserve">T. gamsii </w:t>
      </w:r>
      <w:r w:rsidR="00DD57E9" w:rsidRPr="00E13014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>KUC1747.</w:t>
      </w:r>
      <w:r w:rsidR="00DD57E9" w:rsidRPr="00BF24FA">
        <w:rPr>
          <w:rFonts w:ascii="Times New Roman" w:eastAsia="Malgun Gothic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350F7774" w14:textId="77777777" w:rsidR="005E60DE" w:rsidRPr="00BF24FA" w:rsidRDefault="005E60DE" w:rsidP="002A41BF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</w:p>
    <w:p w14:paraId="2D66655F" w14:textId="77777777" w:rsidR="002A41BF" w:rsidRPr="00BF24FA" w:rsidRDefault="002A41BF" w:rsidP="002A41BF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</w:p>
    <w:sectPr w:rsidR="002A41BF" w:rsidRPr="00BF24FA" w:rsidSect="00656338">
      <w:footerReference w:type="default" r:id="rId7"/>
      <w:pgSz w:w="11906" w:h="16838"/>
      <w:pgMar w:top="1701" w:right="1440" w:bottom="1440" w:left="144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E49B" w14:textId="77777777" w:rsidR="00CF3ABF" w:rsidRDefault="00CF3ABF">
      <w:pPr>
        <w:spacing w:after="0" w:line="240" w:lineRule="auto"/>
      </w:pPr>
      <w:r>
        <w:separator/>
      </w:r>
    </w:p>
  </w:endnote>
  <w:endnote w:type="continuationSeparator" w:id="0">
    <w:p w14:paraId="358BD3B3" w14:textId="77777777" w:rsidR="00CF3ABF" w:rsidRDefault="00CF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함초롬바탕"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986294"/>
      <w:docPartObj>
        <w:docPartGallery w:val="Page Numbers (Bottom of Page)"/>
        <w:docPartUnique/>
      </w:docPartObj>
    </w:sdtPr>
    <w:sdtEndPr/>
    <w:sdtContent>
      <w:p w14:paraId="3FD09112" w14:textId="77777777" w:rsidR="00511C2B" w:rsidRDefault="00511C2B" w:rsidP="002339D2">
        <w:pPr>
          <w:pStyle w:val="Footer"/>
          <w:tabs>
            <w:tab w:val="left" w:pos="237"/>
          </w:tabs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3014" w:rsidRPr="00E13014">
          <w:rPr>
            <w:noProof/>
            <w:lang w:val="ko-KR"/>
          </w:rPr>
          <w:t>2</w:t>
        </w:r>
        <w:r>
          <w:fldChar w:fldCharType="end"/>
        </w:r>
      </w:p>
    </w:sdtContent>
  </w:sdt>
  <w:p w14:paraId="3F5A4152" w14:textId="77777777" w:rsidR="00511C2B" w:rsidRDefault="0051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486C" w14:textId="77777777" w:rsidR="00CF3ABF" w:rsidRDefault="00CF3ABF">
      <w:pPr>
        <w:spacing w:after="0" w:line="240" w:lineRule="auto"/>
      </w:pPr>
      <w:r>
        <w:separator/>
      </w:r>
    </w:p>
  </w:footnote>
  <w:footnote w:type="continuationSeparator" w:id="0">
    <w:p w14:paraId="2176A756" w14:textId="77777777" w:rsidR="00CF3ABF" w:rsidRDefault="00CF3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D57E9"/>
    <w:rsid w:val="00006EA4"/>
    <w:rsid w:val="00012FCD"/>
    <w:rsid w:val="00022D1C"/>
    <w:rsid w:val="0002742A"/>
    <w:rsid w:val="00027667"/>
    <w:rsid w:val="000448F9"/>
    <w:rsid w:val="00074465"/>
    <w:rsid w:val="000853BC"/>
    <w:rsid w:val="00090268"/>
    <w:rsid w:val="000C422B"/>
    <w:rsid w:val="000D0C84"/>
    <w:rsid w:val="000D66A6"/>
    <w:rsid w:val="000F57B0"/>
    <w:rsid w:val="001002CE"/>
    <w:rsid w:val="00115191"/>
    <w:rsid w:val="001163BD"/>
    <w:rsid w:val="00121D62"/>
    <w:rsid w:val="00134A77"/>
    <w:rsid w:val="00151125"/>
    <w:rsid w:val="001938B2"/>
    <w:rsid w:val="0019740C"/>
    <w:rsid w:val="001A73C0"/>
    <w:rsid w:val="001B7648"/>
    <w:rsid w:val="001C0335"/>
    <w:rsid w:val="001C1C93"/>
    <w:rsid w:val="001C3F87"/>
    <w:rsid w:val="001C6B32"/>
    <w:rsid w:val="001E177D"/>
    <w:rsid w:val="00212245"/>
    <w:rsid w:val="00230388"/>
    <w:rsid w:val="00231315"/>
    <w:rsid w:val="002339D2"/>
    <w:rsid w:val="002339FD"/>
    <w:rsid w:val="00242761"/>
    <w:rsid w:val="002449F5"/>
    <w:rsid w:val="002455A8"/>
    <w:rsid w:val="002604C6"/>
    <w:rsid w:val="0028326F"/>
    <w:rsid w:val="002870A5"/>
    <w:rsid w:val="002A41BF"/>
    <w:rsid w:val="002A433A"/>
    <w:rsid w:val="002B5697"/>
    <w:rsid w:val="002E24DF"/>
    <w:rsid w:val="002F0A79"/>
    <w:rsid w:val="002F70CF"/>
    <w:rsid w:val="00304861"/>
    <w:rsid w:val="003120A4"/>
    <w:rsid w:val="00340C46"/>
    <w:rsid w:val="0034152D"/>
    <w:rsid w:val="003427D8"/>
    <w:rsid w:val="00355D4F"/>
    <w:rsid w:val="00366465"/>
    <w:rsid w:val="00372697"/>
    <w:rsid w:val="00374E02"/>
    <w:rsid w:val="00377B53"/>
    <w:rsid w:val="00383314"/>
    <w:rsid w:val="00386C20"/>
    <w:rsid w:val="00396DE9"/>
    <w:rsid w:val="003C672F"/>
    <w:rsid w:val="003D7EB8"/>
    <w:rsid w:val="004121E5"/>
    <w:rsid w:val="004152FD"/>
    <w:rsid w:val="004179EB"/>
    <w:rsid w:val="00425735"/>
    <w:rsid w:val="00436D4D"/>
    <w:rsid w:val="00463978"/>
    <w:rsid w:val="00475069"/>
    <w:rsid w:val="00480120"/>
    <w:rsid w:val="004803F4"/>
    <w:rsid w:val="004A0156"/>
    <w:rsid w:val="004A46C2"/>
    <w:rsid w:val="004B2853"/>
    <w:rsid w:val="004C0328"/>
    <w:rsid w:val="004C1687"/>
    <w:rsid w:val="004D21CA"/>
    <w:rsid w:val="004D34C2"/>
    <w:rsid w:val="004E6BFA"/>
    <w:rsid w:val="004F5AD1"/>
    <w:rsid w:val="004F604C"/>
    <w:rsid w:val="00500BA9"/>
    <w:rsid w:val="00501D95"/>
    <w:rsid w:val="00504C04"/>
    <w:rsid w:val="00505D07"/>
    <w:rsid w:val="00506D4E"/>
    <w:rsid w:val="00511C2B"/>
    <w:rsid w:val="00511F52"/>
    <w:rsid w:val="005129F7"/>
    <w:rsid w:val="00516693"/>
    <w:rsid w:val="00531BE3"/>
    <w:rsid w:val="00531F6E"/>
    <w:rsid w:val="005415C5"/>
    <w:rsid w:val="0055140B"/>
    <w:rsid w:val="0056277A"/>
    <w:rsid w:val="0056449D"/>
    <w:rsid w:val="00573E40"/>
    <w:rsid w:val="00587739"/>
    <w:rsid w:val="005A3055"/>
    <w:rsid w:val="005B62D8"/>
    <w:rsid w:val="005D3512"/>
    <w:rsid w:val="005E53A7"/>
    <w:rsid w:val="005E60DE"/>
    <w:rsid w:val="005E6A6E"/>
    <w:rsid w:val="005F1DDE"/>
    <w:rsid w:val="0062513A"/>
    <w:rsid w:val="00630834"/>
    <w:rsid w:val="006507AB"/>
    <w:rsid w:val="00656338"/>
    <w:rsid w:val="00680FF9"/>
    <w:rsid w:val="00682B13"/>
    <w:rsid w:val="00683AB9"/>
    <w:rsid w:val="00686B56"/>
    <w:rsid w:val="00691AD8"/>
    <w:rsid w:val="006A5EA9"/>
    <w:rsid w:val="006A6DFF"/>
    <w:rsid w:val="006B0A63"/>
    <w:rsid w:val="006C0920"/>
    <w:rsid w:val="006C15E4"/>
    <w:rsid w:val="006C40B3"/>
    <w:rsid w:val="006D06E6"/>
    <w:rsid w:val="006D736F"/>
    <w:rsid w:val="006E0B84"/>
    <w:rsid w:val="006F08A1"/>
    <w:rsid w:val="006F60BB"/>
    <w:rsid w:val="00713918"/>
    <w:rsid w:val="00723449"/>
    <w:rsid w:val="007325CE"/>
    <w:rsid w:val="007366A7"/>
    <w:rsid w:val="007501F1"/>
    <w:rsid w:val="00750F0F"/>
    <w:rsid w:val="0075736F"/>
    <w:rsid w:val="007617E3"/>
    <w:rsid w:val="007C08E7"/>
    <w:rsid w:val="007D7C99"/>
    <w:rsid w:val="007E11BC"/>
    <w:rsid w:val="007E780E"/>
    <w:rsid w:val="00802363"/>
    <w:rsid w:val="00804521"/>
    <w:rsid w:val="00817E3B"/>
    <w:rsid w:val="00830CC8"/>
    <w:rsid w:val="008371EB"/>
    <w:rsid w:val="008438AE"/>
    <w:rsid w:val="00853135"/>
    <w:rsid w:val="008834E1"/>
    <w:rsid w:val="00884CDB"/>
    <w:rsid w:val="008903D1"/>
    <w:rsid w:val="00895C84"/>
    <w:rsid w:val="008B59C4"/>
    <w:rsid w:val="008F5F3F"/>
    <w:rsid w:val="009264BC"/>
    <w:rsid w:val="0093783E"/>
    <w:rsid w:val="00937DF6"/>
    <w:rsid w:val="00945C45"/>
    <w:rsid w:val="00964D79"/>
    <w:rsid w:val="00965B28"/>
    <w:rsid w:val="00983C25"/>
    <w:rsid w:val="00993A8B"/>
    <w:rsid w:val="009B450F"/>
    <w:rsid w:val="009C3A08"/>
    <w:rsid w:val="009E0D91"/>
    <w:rsid w:val="00A03C48"/>
    <w:rsid w:val="00A4524E"/>
    <w:rsid w:val="00A46ED5"/>
    <w:rsid w:val="00A5102B"/>
    <w:rsid w:val="00A63481"/>
    <w:rsid w:val="00A72541"/>
    <w:rsid w:val="00A7677D"/>
    <w:rsid w:val="00A823D2"/>
    <w:rsid w:val="00A8749C"/>
    <w:rsid w:val="00AA5F9C"/>
    <w:rsid w:val="00AA6781"/>
    <w:rsid w:val="00AD210C"/>
    <w:rsid w:val="00AD3BB8"/>
    <w:rsid w:val="00AE0871"/>
    <w:rsid w:val="00AE09B3"/>
    <w:rsid w:val="00AE1148"/>
    <w:rsid w:val="00AF36C4"/>
    <w:rsid w:val="00AF4FB4"/>
    <w:rsid w:val="00B04F34"/>
    <w:rsid w:val="00B1019F"/>
    <w:rsid w:val="00B61A05"/>
    <w:rsid w:val="00B84A56"/>
    <w:rsid w:val="00B917F3"/>
    <w:rsid w:val="00B9204D"/>
    <w:rsid w:val="00BA3A26"/>
    <w:rsid w:val="00BA6AE1"/>
    <w:rsid w:val="00BA74DC"/>
    <w:rsid w:val="00BC1ECC"/>
    <w:rsid w:val="00BD2526"/>
    <w:rsid w:val="00BD3B3D"/>
    <w:rsid w:val="00BD7A5E"/>
    <w:rsid w:val="00BE30AB"/>
    <w:rsid w:val="00BF24FA"/>
    <w:rsid w:val="00BF301E"/>
    <w:rsid w:val="00C00BCA"/>
    <w:rsid w:val="00C071D8"/>
    <w:rsid w:val="00C16193"/>
    <w:rsid w:val="00C27ADD"/>
    <w:rsid w:val="00C311C9"/>
    <w:rsid w:val="00C376E6"/>
    <w:rsid w:val="00C42AAE"/>
    <w:rsid w:val="00C463C6"/>
    <w:rsid w:val="00C4758F"/>
    <w:rsid w:val="00C4774D"/>
    <w:rsid w:val="00C54927"/>
    <w:rsid w:val="00C64F0C"/>
    <w:rsid w:val="00C749B5"/>
    <w:rsid w:val="00C75902"/>
    <w:rsid w:val="00CA1F7B"/>
    <w:rsid w:val="00CA4640"/>
    <w:rsid w:val="00CC6851"/>
    <w:rsid w:val="00CE5D95"/>
    <w:rsid w:val="00CE70CA"/>
    <w:rsid w:val="00CE762D"/>
    <w:rsid w:val="00CF3ABF"/>
    <w:rsid w:val="00D15EE0"/>
    <w:rsid w:val="00D17117"/>
    <w:rsid w:val="00D24B34"/>
    <w:rsid w:val="00D447C3"/>
    <w:rsid w:val="00D52BA7"/>
    <w:rsid w:val="00D53FC6"/>
    <w:rsid w:val="00D6170C"/>
    <w:rsid w:val="00D65BBA"/>
    <w:rsid w:val="00D7427B"/>
    <w:rsid w:val="00D76AF5"/>
    <w:rsid w:val="00D83DC1"/>
    <w:rsid w:val="00D9384D"/>
    <w:rsid w:val="00D955F1"/>
    <w:rsid w:val="00DC0BB9"/>
    <w:rsid w:val="00DC3141"/>
    <w:rsid w:val="00DC6188"/>
    <w:rsid w:val="00DD06DD"/>
    <w:rsid w:val="00DD57E9"/>
    <w:rsid w:val="00E05605"/>
    <w:rsid w:val="00E068A9"/>
    <w:rsid w:val="00E13014"/>
    <w:rsid w:val="00E42E3B"/>
    <w:rsid w:val="00E52CF9"/>
    <w:rsid w:val="00E61C8F"/>
    <w:rsid w:val="00E634E2"/>
    <w:rsid w:val="00E75B20"/>
    <w:rsid w:val="00E80E8A"/>
    <w:rsid w:val="00E86293"/>
    <w:rsid w:val="00EA6686"/>
    <w:rsid w:val="00EC62B3"/>
    <w:rsid w:val="00EC6405"/>
    <w:rsid w:val="00EC6421"/>
    <w:rsid w:val="00F06EB7"/>
    <w:rsid w:val="00F12643"/>
    <w:rsid w:val="00F26907"/>
    <w:rsid w:val="00F3368D"/>
    <w:rsid w:val="00F340DC"/>
    <w:rsid w:val="00F424C0"/>
    <w:rsid w:val="00F54D2B"/>
    <w:rsid w:val="00F65DB6"/>
    <w:rsid w:val="00F7004D"/>
    <w:rsid w:val="00F71401"/>
    <w:rsid w:val="00F7397C"/>
    <w:rsid w:val="00F77011"/>
    <w:rsid w:val="00F908D2"/>
    <w:rsid w:val="00F93AE7"/>
    <w:rsid w:val="00FA09B6"/>
    <w:rsid w:val="00FB0717"/>
    <w:rsid w:val="00FB1ED0"/>
    <w:rsid w:val="00FB3A47"/>
    <w:rsid w:val="00FC754C"/>
    <w:rsid w:val="00FD3CD3"/>
    <w:rsid w:val="00FE41F0"/>
    <w:rsid w:val="00FE622E"/>
    <w:rsid w:val="00FF3F0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2D900"/>
  <w15:chartTrackingRefBased/>
  <w15:docId w15:val="{A169ADEC-1917-4A41-B2C4-628838E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E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D57E9"/>
  </w:style>
  <w:style w:type="paragraph" w:styleId="NoSpacing">
    <w:name w:val="No Spacing"/>
    <w:link w:val="NoSpacingChar"/>
    <w:uiPriority w:val="1"/>
    <w:qFormat/>
    <w:rsid w:val="00DD57E9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DD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D57E9"/>
    <w:pPr>
      <w:spacing w:after="0"/>
      <w:jc w:val="center"/>
    </w:pPr>
    <w:rPr>
      <w:rFonts w:ascii="Malgun Gothic" w:eastAsia="Malgun Gothic" w:hAnsi="Malgun Gothic" w:cs="Times New Roman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DD57E9"/>
  </w:style>
  <w:style w:type="character" w:customStyle="1" w:styleId="EndNoteBibliographyTitleChar">
    <w:name w:val="EndNote Bibliography Title Char"/>
    <w:basedOn w:val="NoSpacingChar"/>
    <w:link w:val="EndNoteBibliographyTitle"/>
    <w:rsid w:val="00DD57E9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DD57E9"/>
    <w:pPr>
      <w:spacing w:line="240" w:lineRule="auto"/>
    </w:pPr>
    <w:rPr>
      <w:rFonts w:ascii="Malgun Gothic" w:eastAsia="Malgun Gothic" w:hAnsi="Malgun Gothic" w:cs="Times New Roman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DD57E9"/>
    <w:rPr>
      <w:rFonts w:ascii="Malgun Gothic" w:eastAsia="Malgun Gothic" w:hAnsi="Malgun Gothic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E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7E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57E9"/>
  </w:style>
  <w:style w:type="paragraph" w:styleId="Footer">
    <w:name w:val="footer"/>
    <w:basedOn w:val="Normal"/>
    <w:link w:val="FooterChar"/>
    <w:uiPriority w:val="99"/>
    <w:unhideWhenUsed/>
    <w:rsid w:val="00DD57E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57E9"/>
  </w:style>
  <w:style w:type="character" w:styleId="Hyperlink">
    <w:name w:val="Hyperlink"/>
    <w:basedOn w:val="DefaultParagraphFont"/>
    <w:uiPriority w:val="99"/>
    <w:unhideWhenUsed/>
    <w:rsid w:val="00DD57E9"/>
    <w:rPr>
      <w:color w:val="0563C1" w:themeColor="hyperlink"/>
      <w:u w:val="single"/>
    </w:rPr>
  </w:style>
  <w:style w:type="character" w:customStyle="1" w:styleId="bkciteavail">
    <w:name w:val="bk_cite_avail"/>
    <w:basedOn w:val="DefaultParagraphFont"/>
    <w:rsid w:val="00DD57E9"/>
  </w:style>
  <w:style w:type="paragraph" w:styleId="ListParagraph">
    <w:name w:val="List Paragraph"/>
    <w:basedOn w:val="Normal"/>
    <w:uiPriority w:val="34"/>
    <w:qFormat/>
    <w:rsid w:val="00DD57E9"/>
    <w:pPr>
      <w:ind w:leftChars="400" w:left="800"/>
    </w:pPr>
  </w:style>
  <w:style w:type="character" w:customStyle="1" w:styleId="st">
    <w:name w:val="st"/>
    <w:basedOn w:val="DefaultParagraphFont"/>
    <w:rsid w:val="00DD57E9"/>
  </w:style>
  <w:style w:type="paragraph" w:styleId="NormalWeb">
    <w:name w:val="Normal (Web)"/>
    <w:basedOn w:val="Normal"/>
    <w:uiPriority w:val="99"/>
    <w:semiHidden/>
    <w:unhideWhenUsed/>
    <w:rsid w:val="00DD57E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D57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57E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57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57E9"/>
    <w:rPr>
      <w:rFonts w:ascii="GulimChe" w:eastAsia="GulimChe" w:hAnsi="GulimChe" w:cs="GulimChe"/>
      <w:kern w:val="0"/>
      <w:sz w:val="24"/>
      <w:szCs w:val="24"/>
    </w:rPr>
  </w:style>
  <w:style w:type="character" w:customStyle="1" w:styleId="fntk32">
    <w:name w:val="fnt_k32"/>
    <w:basedOn w:val="DefaultParagraphFont"/>
    <w:rsid w:val="00DD57E9"/>
  </w:style>
  <w:style w:type="character" w:styleId="Emphasis">
    <w:name w:val="Emphasis"/>
    <w:basedOn w:val="DefaultParagraphFont"/>
    <w:uiPriority w:val="20"/>
    <w:qFormat/>
    <w:rsid w:val="00DD57E9"/>
    <w:rPr>
      <w:i/>
      <w:iCs/>
    </w:rPr>
  </w:style>
  <w:style w:type="paragraph" w:customStyle="1" w:styleId="MS">
    <w:name w:val="MS바탕글"/>
    <w:basedOn w:val="Normal"/>
    <w:rsid w:val="00DD57E9"/>
    <w:pPr>
      <w:shd w:val="clear" w:color="auto" w:fill="FFFFFF"/>
      <w:spacing w:line="256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DD57E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F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C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A25A-974F-4B2C-A839-021CD94C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Gillian Attard</cp:lastModifiedBy>
  <cp:revision>184</cp:revision>
  <dcterms:created xsi:type="dcterms:W3CDTF">2019-10-02T07:16:00Z</dcterms:created>
  <dcterms:modified xsi:type="dcterms:W3CDTF">2020-04-02T13:26:00Z</dcterms:modified>
</cp:coreProperties>
</file>