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747C3" w14:textId="77777777" w:rsidR="00654E8F" w:rsidRPr="001549D3" w:rsidRDefault="00654E8F" w:rsidP="003720AC">
      <w:pPr>
        <w:pStyle w:val="SupplementaryMaterial"/>
        <w:spacing w:before="0"/>
        <w:rPr>
          <w:b w:val="0"/>
        </w:rPr>
      </w:pPr>
      <w:bookmarkStart w:id="0" w:name="_GoBack"/>
      <w:bookmarkEnd w:id="0"/>
      <w:r w:rsidRPr="001549D3">
        <w:t>Supplementary Material</w:t>
      </w:r>
    </w:p>
    <w:p w14:paraId="0328FE94" w14:textId="77777777" w:rsidR="00D51669" w:rsidRPr="009404B5" w:rsidRDefault="00994A3D" w:rsidP="00874CD8">
      <w:pPr>
        <w:pStyle w:val="Heading1"/>
      </w:pPr>
      <w:r w:rsidRPr="0001436A">
        <w:t>Supplementary</w:t>
      </w:r>
      <w:r w:rsidRPr="001549D3">
        <w:t xml:space="preserve"> Figures</w:t>
      </w:r>
    </w:p>
    <w:p w14:paraId="56BB151C" w14:textId="77777777" w:rsidR="00D51669" w:rsidRDefault="00D51669" w:rsidP="00874CD8">
      <w:pPr>
        <w:outlineLvl w:val="0"/>
        <w:rPr>
          <w:rFonts w:cs="Times New Roman"/>
          <w:lang w:val="en-GB"/>
        </w:rPr>
      </w:pPr>
      <w:r>
        <w:rPr>
          <w:rFonts w:cs="Times New Roman"/>
          <w:noProof/>
          <w:lang w:val="sl-SI" w:eastAsia="sl-SI"/>
        </w:rPr>
        <w:drawing>
          <wp:inline distT="0" distB="0" distL="0" distR="0" wp14:anchorId="59A4E01D" wp14:editId="2536978C">
            <wp:extent cx="4176110" cy="54576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_Figure 2.tif"/>
                    <pic:cNvPicPr/>
                  </pic:nvPicPr>
                  <pic:blipFill rotWithShape="1">
                    <a:blip r:embed="rId8" cstate="print">
                      <a:extLst>
                        <a:ext uri="{28A0092B-C50C-407E-A947-70E740481C1C}">
                          <a14:useLocalDpi xmlns:a14="http://schemas.microsoft.com/office/drawing/2010/main" val="0"/>
                        </a:ext>
                      </a:extLst>
                    </a:blip>
                    <a:srcRect t="2784" b="2654"/>
                    <a:stretch/>
                  </pic:blipFill>
                  <pic:spPr bwMode="auto">
                    <a:xfrm>
                      <a:off x="0" y="0"/>
                      <a:ext cx="4248969" cy="5552852"/>
                    </a:xfrm>
                    <a:prstGeom prst="rect">
                      <a:avLst/>
                    </a:prstGeom>
                    <a:ln>
                      <a:noFill/>
                    </a:ln>
                    <a:extLst>
                      <a:ext uri="{53640926-AAD7-44D8-BBD7-CCE9431645EC}">
                        <a14:shadowObscured xmlns:a14="http://schemas.microsoft.com/office/drawing/2010/main"/>
                      </a:ext>
                    </a:extLst>
                  </pic:spPr>
                </pic:pic>
              </a:graphicData>
            </a:graphic>
          </wp:inline>
        </w:drawing>
      </w:r>
    </w:p>
    <w:p w14:paraId="6225A67E" w14:textId="77777777" w:rsidR="00D51669" w:rsidRPr="005C4606" w:rsidRDefault="00D51669" w:rsidP="00D51669">
      <w:pPr>
        <w:rPr>
          <w:rFonts w:cs="Times New Roman"/>
          <w:lang w:val="en-GB"/>
        </w:rPr>
      </w:pPr>
      <w:r w:rsidRPr="0001436A">
        <w:rPr>
          <w:rFonts w:cs="Times New Roman"/>
          <w:b/>
          <w:szCs w:val="24"/>
        </w:rPr>
        <w:t xml:space="preserve">Supplementary Figure </w:t>
      </w:r>
      <w:r w:rsidR="009404B5">
        <w:rPr>
          <w:rFonts w:cs="Times New Roman"/>
          <w:b/>
          <w:szCs w:val="24"/>
        </w:rPr>
        <w:t>1</w:t>
      </w:r>
      <w:r>
        <w:rPr>
          <w:rFonts w:cs="Times New Roman"/>
          <w:b/>
          <w:szCs w:val="24"/>
        </w:rPr>
        <w:t xml:space="preserve">: </w:t>
      </w:r>
      <w:r>
        <w:rPr>
          <w:rFonts w:cs="Times New Roman"/>
          <w:b/>
          <w:lang w:val="en-GB"/>
        </w:rPr>
        <w:t>Determination of active concentration of gingipains</w:t>
      </w:r>
      <w:r w:rsidRPr="005C4606">
        <w:rPr>
          <w:rFonts w:cs="Times New Roman"/>
          <w:lang w:val="en-GB"/>
        </w:rPr>
        <w:t xml:space="preserve"> </w:t>
      </w:r>
    </w:p>
    <w:p w14:paraId="59712004" w14:textId="77777777" w:rsidR="00D51669" w:rsidRDefault="00D51669" w:rsidP="00D51669">
      <w:pPr>
        <w:rPr>
          <w:rFonts w:cs="Times New Roman"/>
          <w:lang w:val="en-GB"/>
        </w:rPr>
      </w:pPr>
      <w:r>
        <w:rPr>
          <w:rFonts w:cs="Times New Roman"/>
          <w:lang w:val="en-GB"/>
        </w:rPr>
        <w:t>Gingipains</w:t>
      </w:r>
      <w:r w:rsidR="00055345">
        <w:rPr>
          <w:rFonts w:cs="Times New Roman"/>
          <w:lang w:val="en-GB"/>
        </w:rPr>
        <w:t xml:space="preserve"> (10 nM final protein concentration)</w:t>
      </w:r>
      <w:r>
        <w:rPr>
          <w:rFonts w:cs="Times New Roman"/>
          <w:lang w:val="en-GB"/>
        </w:rPr>
        <w:t xml:space="preserve"> were titrated with different concentrations of their respective inhibitors in transparent 96-well plates. Absorbance of chromogenic substrates was measured at  405 nm. Active concentration was determined using linear regression </w:t>
      </w:r>
      <w:r w:rsidR="00055345">
        <w:rPr>
          <w:rFonts w:cs="Times New Roman"/>
          <w:lang w:val="en-GB"/>
        </w:rPr>
        <w:t>analysis</w:t>
      </w:r>
      <w:r>
        <w:rPr>
          <w:rFonts w:cs="Times New Roman"/>
          <w:lang w:val="en-GB"/>
        </w:rPr>
        <w:t xml:space="preserve">. </w:t>
      </w:r>
      <w:r w:rsidRPr="00874CD8">
        <w:rPr>
          <w:rFonts w:cs="Times New Roman"/>
          <w:b/>
          <w:lang w:val="en-GB"/>
        </w:rPr>
        <w:t>A</w:t>
      </w:r>
      <w:r w:rsidRPr="005C4606">
        <w:rPr>
          <w:rFonts w:cs="Times New Roman"/>
          <w:lang w:val="en-GB"/>
        </w:rPr>
        <w:t>)</w:t>
      </w:r>
      <w:r>
        <w:rPr>
          <w:rFonts w:cs="Times New Roman"/>
          <w:lang w:val="en-GB"/>
        </w:rPr>
        <w:t xml:space="preserve"> Active concentration determination for HRgpA</w:t>
      </w:r>
      <w:r w:rsidR="003720AC">
        <w:rPr>
          <w:rFonts w:cs="Times New Roman"/>
          <w:lang w:val="en-GB"/>
        </w:rPr>
        <w:t xml:space="preserve">. </w:t>
      </w:r>
      <w:r w:rsidRPr="00874CD8">
        <w:rPr>
          <w:rFonts w:cs="Times New Roman"/>
          <w:b/>
          <w:lang w:val="en-GB"/>
        </w:rPr>
        <w:t>B</w:t>
      </w:r>
      <w:r w:rsidRPr="005C4606">
        <w:rPr>
          <w:rFonts w:cs="Times New Roman"/>
          <w:lang w:val="en-GB"/>
        </w:rPr>
        <w:t>)</w:t>
      </w:r>
      <w:r w:rsidRPr="00D51669">
        <w:rPr>
          <w:rFonts w:cs="Times New Roman"/>
          <w:lang w:val="en-GB"/>
        </w:rPr>
        <w:t xml:space="preserve"> </w:t>
      </w:r>
      <w:r>
        <w:rPr>
          <w:rFonts w:cs="Times New Roman"/>
          <w:lang w:val="en-GB"/>
        </w:rPr>
        <w:t>Active concentration determination for RgpB</w:t>
      </w:r>
      <w:r w:rsidR="00F67685">
        <w:rPr>
          <w:rFonts w:cs="Times New Roman"/>
          <w:lang w:val="en-GB"/>
        </w:rPr>
        <w:t xml:space="preserve">. </w:t>
      </w:r>
      <w:r w:rsidRPr="00874CD8">
        <w:rPr>
          <w:rFonts w:cs="Times New Roman"/>
          <w:b/>
          <w:lang w:val="en-GB"/>
        </w:rPr>
        <w:t>C</w:t>
      </w:r>
      <w:r w:rsidRPr="005C4606">
        <w:rPr>
          <w:rFonts w:cs="Times New Roman"/>
          <w:lang w:val="en-GB"/>
        </w:rPr>
        <w:t xml:space="preserve">) </w:t>
      </w:r>
      <w:r>
        <w:rPr>
          <w:rFonts w:cs="Times New Roman"/>
          <w:lang w:val="en-GB"/>
        </w:rPr>
        <w:t>Active concentration determination for Kgp.</w:t>
      </w:r>
      <w:r w:rsidR="00972579">
        <w:rPr>
          <w:rFonts w:cs="Times New Roman"/>
          <w:lang w:val="en-GB"/>
        </w:rPr>
        <w:t xml:space="preserve"> </w:t>
      </w:r>
    </w:p>
    <w:p w14:paraId="63E61709" w14:textId="77777777" w:rsidR="009404B5" w:rsidRPr="00FD403E" w:rsidRDefault="009404B5" w:rsidP="009404B5">
      <w:r>
        <w:rPr>
          <w:noProof/>
          <w:lang w:val="sl-SI" w:eastAsia="sl-SI"/>
        </w:rPr>
        <w:lastRenderedPageBreak/>
        <w:drawing>
          <wp:inline distT="0" distB="0" distL="0" distR="0" wp14:anchorId="3A6095A0" wp14:editId="2658E4B5">
            <wp:extent cx="6158179" cy="336874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_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8179" cy="3368749"/>
                    </a:xfrm>
                    <a:prstGeom prst="rect">
                      <a:avLst/>
                    </a:prstGeom>
                  </pic:spPr>
                </pic:pic>
              </a:graphicData>
            </a:graphic>
          </wp:inline>
        </w:drawing>
      </w:r>
    </w:p>
    <w:p w14:paraId="0D0EAF74" w14:textId="77777777" w:rsidR="009404B5" w:rsidRPr="005C4606" w:rsidRDefault="009404B5" w:rsidP="009404B5">
      <w:pPr>
        <w:outlineLvl w:val="0"/>
        <w:rPr>
          <w:rFonts w:cs="Times New Roman"/>
          <w:b/>
          <w:lang w:val="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2</w:t>
      </w:r>
      <w:r w:rsidRPr="0001436A">
        <w:rPr>
          <w:rFonts w:cs="Times New Roman"/>
          <w:b/>
          <w:szCs w:val="24"/>
        </w:rPr>
        <w:fldChar w:fldCharType="end"/>
      </w:r>
      <w:r>
        <w:rPr>
          <w:rFonts w:cs="Times New Roman"/>
          <w:b/>
          <w:szCs w:val="24"/>
        </w:rPr>
        <w:t>:</w:t>
      </w:r>
      <w:r w:rsidRPr="001549D3">
        <w:rPr>
          <w:rFonts w:cs="Times New Roman"/>
          <w:szCs w:val="24"/>
        </w:rPr>
        <w:t xml:space="preserve"> </w:t>
      </w:r>
      <w:r w:rsidRPr="005C4606">
        <w:rPr>
          <w:rFonts w:cs="Times New Roman"/>
          <w:b/>
          <w:lang w:val="en-GB"/>
        </w:rPr>
        <w:t xml:space="preserve">Viability of TIGKs after treatment with </w:t>
      </w:r>
      <w:r w:rsidRPr="005C4606">
        <w:rPr>
          <w:rFonts w:cs="Times New Roman"/>
          <w:b/>
          <w:i/>
          <w:lang w:val="en-GB"/>
        </w:rPr>
        <w:t>P. gingivalis</w:t>
      </w:r>
      <w:r w:rsidRPr="005C4606">
        <w:rPr>
          <w:rFonts w:cs="Times New Roman"/>
          <w:b/>
          <w:lang w:val="en-GB"/>
        </w:rPr>
        <w:t xml:space="preserve">. </w:t>
      </w:r>
    </w:p>
    <w:p w14:paraId="076DC04C" w14:textId="77777777" w:rsidR="009404B5" w:rsidRDefault="009404B5" w:rsidP="009404B5">
      <w:pPr>
        <w:outlineLvl w:val="0"/>
        <w:rPr>
          <w:rFonts w:cs="Times New Roman"/>
          <w:lang w:val="en-GB"/>
        </w:rPr>
      </w:pPr>
      <w:r w:rsidRPr="005C4606">
        <w:rPr>
          <w:rFonts w:cs="Times New Roman"/>
          <w:lang w:val="en-GB"/>
        </w:rPr>
        <w:t xml:space="preserve">Intact keratinocytes were treated for 45 min with four different strains of </w:t>
      </w:r>
      <w:r w:rsidRPr="005C4606">
        <w:rPr>
          <w:rFonts w:cs="Times New Roman"/>
          <w:i/>
          <w:lang w:val="en-GB"/>
        </w:rPr>
        <w:t>P. gingivalis</w:t>
      </w:r>
      <w:r w:rsidRPr="005C4606">
        <w:rPr>
          <w:rFonts w:cs="Times New Roman"/>
          <w:lang w:val="en-GB"/>
        </w:rPr>
        <w:t xml:space="preserve"> in order to test their viability. Standard Annexin V-FITC and propidium iodide staining and flow cytometry was applied to show that the cells used in the experiments were viable.</w:t>
      </w:r>
      <w:r w:rsidR="00630F19">
        <w:rPr>
          <w:rFonts w:cs="Times New Roman"/>
          <w:lang w:val="en-GB"/>
        </w:rPr>
        <w:t xml:space="preserve"> </w:t>
      </w:r>
    </w:p>
    <w:p w14:paraId="1876DE35" w14:textId="77777777" w:rsidR="009404B5" w:rsidRDefault="009404B5" w:rsidP="00D51669">
      <w:pPr>
        <w:rPr>
          <w:rFonts w:cs="Times New Roman"/>
          <w:lang w:val="en-GB"/>
        </w:rPr>
      </w:pPr>
    </w:p>
    <w:p w14:paraId="5D53ADB6" w14:textId="77777777" w:rsidR="00083F82" w:rsidRDefault="006B7710" w:rsidP="00D51669">
      <w:pPr>
        <w:rPr>
          <w:rFonts w:cs="Times New Roman"/>
          <w:lang w:val="en-GB"/>
        </w:rPr>
      </w:pPr>
      <w:r>
        <w:rPr>
          <w:rFonts w:cs="Times New Roman"/>
          <w:noProof/>
          <w:lang w:val="sl-SI" w:eastAsia="sl-SI"/>
        </w:rPr>
        <w:lastRenderedPageBreak/>
        <w:drawing>
          <wp:inline distT="0" distB="0" distL="0" distR="0" wp14:anchorId="4530006D" wp14:editId="5D8D1E47">
            <wp:extent cx="4276843" cy="659666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abilnostTIGK_gingi_fluo+bf.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1638" cy="6604062"/>
                    </a:xfrm>
                    <a:prstGeom prst="rect">
                      <a:avLst/>
                    </a:prstGeom>
                  </pic:spPr>
                </pic:pic>
              </a:graphicData>
            </a:graphic>
          </wp:inline>
        </w:drawing>
      </w:r>
    </w:p>
    <w:p w14:paraId="6E3C107B" w14:textId="77777777" w:rsidR="004D56B2" w:rsidRDefault="004D56B2" w:rsidP="00D51669">
      <w:pPr>
        <w:rPr>
          <w:rFonts w:cs="Times New Roman"/>
          <w:lang w:val="en-GB"/>
        </w:rPr>
      </w:pPr>
    </w:p>
    <w:p w14:paraId="11513812" w14:textId="2E5A0158" w:rsidR="00083F82" w:rsidRPr="00D76205" w:rsidRDefault="00083F82" w:rsidP="00083F82">
      <w:pPr>
        <w:rPr>
          <w:rFonts w:cs="Times New Roman"/>
          <w:b/>
          <w:lang w:val="en-GB"/>
        </w:rPr>
      </w:pPr>
      <w:r w:rsidRPr="0001436A">
        <w:rPr>
          <w:rFonts w:cs="Times New Roman"/>
          <w:b/>
          <w:szCs w:val="24"/>
        </w:rPr>
        <w:t xml:space="preserve">Supplementary </w:t>
      </w:r>
      <w:r w:rsidRPr="005C4606">
        <w:rPr>
          <w:rFonts w:cs="Times New Roman"/>
          <w:b/>
          <w:lang w:val="en-GB"/>
        </w:rPr>
        <w:t>Fig</w:t>
      </w:r>
      <w:r w:rsidR="00606FC0">
        <w:rPr>
          <w:rFonts w:cs="Times New Roman"/>
          <w:b/>
          <w:lang w:val="en-GB"/>
        </w:rPr>
        <w:t>ure 3</w:t>
      </w:r>
      <w:r w:rsidRPr="005C4606">
        <w:rPr>
          <w:rFonts w:cs="Times New Roman"/>
          <w:b/>
          <w:lang w:val="en-GB"/>
        </w:rPr>
        <w:t>:</w:t>
      </w:r>
      <w:r w:rsidRPr="005C4606">
        <w:rPr>
          <w:rFonts w:cs="Times New Roman"/>
          <w:lang w:val="en-GB"/>
        </w:rPr>
        <w:t xml:space="preserve"> </w:t>
      </w:r>
      <w:r>
        <w:rPr>
          <w:rFonts w:cs="Times New Roman"/>
          <w:b/>
          <w:lang w:val="en-GB"/>
        </w:rPr>
        <w:t>Viability of TIGK cells after 45-minute treatment with</w:t>
      </w:r>
      <w:r>
        <w:rPr>
          <w:rFonts w:cs="Times New Roman"/>
          <w:lang w:val="en-GB"/>
        </w:rPr>
        <w:t xml:space="preserve"> </w:t>
      </w:r>
      <w:r w:rsidRPr="006B7710">
        <w:rPr>
          <w:rFonts w:cs="Times New Roman"/>
          <w:b/>
          <w:lang w:val="en-GB"/>
        </w:rPr>
        <w:t>4</w:t>
      </w:r>
      <w:r>
        <w:rPr>
          <w:rFonts w:cs="Times New Roman"/>
          <w:lang w:val="en-GB"/>
        </w:rPr>
        <w:t xml:space="preserve"> </w:t>
      </w:r>
      <w:r w:rsidRPr="00D76205">
        <w:rPr>
          <w:rFonts w:cs="Times New Roman"/>
          <w:b/>
          <w:lang w:val="en-GB"/>
        </w:rPr>
        <w:t>nM gingipains.</w:t>
      </w:r>
    </w:p>
    <w:p w14:paraId="73E0C7E7" w14:textId="77777777" w:rsidR="00083F82" w:rsidRPr="00083F82" w:rsidRDefault="00083F82" w:rsidP="00083F82">
      <w:pPr>
        <w:rPr>
          <w:lang w:val="en-GB"/>
        </w:rPr>
      </w:pPr>
      <w:r w:rsidRPr="005C4606">
        <w:rPr>
          <w:rFonts w:cs="Times New Roman"/>
          <w:lang w:val="en-GB"/>
        </w:rPr>
        <w:t xml:space="preserve">Intact TIGKs were treated with TNC buffer as a control or with gingipains </w:t>
      </w:r>
      <w:r>
        <w:rPr>
          <w:rFonts w:cs="Times New Roman"/>
          <w:lang w:val="en-GB"/>
        </w:rPr>
        <w:t xml:space="preserve">for 45 minute with (A) </w:t>
      </w:r>
      <w:r w:rsidR="006B7710">
        <w:rPr>
          <w:rFonts w:cs="Times New Roman"/>
          <w:lang w:val="en-GB"/>
        </w:rPr>
        <w:t xml:space="preserve">and (E) </w:t>
      </w:r>
      <w:r>
        <w:rPr>
          <w:rFonts w:cs="Times New Roman"/>
          <w:lang w:val="en-GB"/>
        </w:rPr>
        <w:t>TNC buffer, (B)</w:t>
      </w:r>
      <w:r w:rsidR="006B7710">
        <w:rPr>
          <w:rFonts w:cs="Times New Roman"/>
          <w:lang w:val="en-GB"/>
        </w:rPr>
        <w:t xml:space="preserve"> and (F)</w:t>
      </w:r>
      <w:r>
        <w:rPr>
          <w:rFonts w:cs="Times New Roman"/>
          <w:lang w:val="en-GB"/>
        </w:rPr>
        <w:t xml:space="preserve"> 4 nM RgpB, (C)</w:t>
      </w:r>
      <w:r w:rsidR="006B7710">
        <w:rPr>
          <w:rFonts w:cs="Times New Roman"/>
          <w:lang w:val="en-GB"/>
        </w:rPr>
        <w:t xml:space="preserve"> and (G)</w:t>
      </w:r>
      <w:r>
        <w:rPr>
          <w:rFonts w:cs="Times New Roman"/>
          <w:lang w:val="en-GB"/>
        </w:rPr>
        <w:t xml:space="preserve"> 4 nM HRgpA and (D)</w:t>
      </w:r>
      <w:r w:rsidR="006B7710">
        <w:rPr>
          <w:rFonts w:cs="Times New Roman"/>
          <w:lang w:val="en-GB"/>
        </w:rPr>
        <w:t xml:space="preserve"> and (H)</w:t>
      </w:r>
      <w:r>
        <w:rPr>
          <w:rFonts w:cs="Times New Roman"/>
          <w:lang w:val="en-GB"/>
        </w:rPr>
        <w:t xml:space="preserve"> 4 nM Kgp. Viability of the cells was determines using </w:t>
      </w:r>
      <w:r w:rsidRPr="00083F82">
        <w:t>using ReadyProbes Cell Viability Imaging Kit, Thermofisher Scientific. Live cells are stained in blue, while those with compromised plasma membrane integrity in green</w:t>
      </w:r>
      <w:r w:rsidR="006B7710">
        <w:t xml:space="preserve"> for photos A – D, while</w:t>
      </w:r>
      <w:r w:rsidRPr="00083F82">
        <w:t xml:space="preserve"> </w:t>
      </w:r>
      <w:r w:rsidR="006B7710">
        <w:t>brightfield was applied for photos E – H.</w:t>
      </w:r>
    </w:p>
    <w:p w14:paraId="1161E00F" w14:textId="77777777" w:rsidR="00083F82" w:rsidRDefault="00083F82" w:rsidP="00D51669">
      <w:pPr>
        <w:rPr>
          <w:rFonts w:cs="Times New Roman"/>
          <w:lang w:val="en-GB"/>
        </w:rPr>
      </w:pPr>
    </w:p>
    <w:p w14:paraId="72DD4BBB" w14:textId="77777777" w:rsidR="00874CD8" w:rsidRPr="005C4606" w:rsidRDefault="00FD403E" w:rsidP="00874CD8">
      <w:pPr>
        <w:outlineLvl w:val="0"/>
        <w:rPr>
          <w:rFonts w:cs="Times New Roman"/>
          <w:b/>
          <w:lang w:val="en-GB"/>
        </w:rPr>
      </w:pPr>
      <w:r>
        <w:rPr>
          <w:rFonts w:cs="Times New Roman"/>
          <w:b/>
          <w:noProof/>
          <w:lang w:val="sl-SI" w:eastAsia="sl-SI"/>
        </w:rPr>
        <w:lastRenderedPageBreak/>
        <w:drawing>
          <wp:inline distT="0" distB="0" distL="0" distR="0" wp14:anchorId="09CF6AFB" wp14:editId="7547C2D9">
            <wp:extent cx="6208395" cy="4794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_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794885"/>
                    </a:xfrm>
                    <a:prstGeom prst="rect">
                      <a:avLst/>
                    </a:prstGeom>
                  </pic:spPr>
                </pic:pic>
              </a:graphicData>
            </a:graphic>
          </wp:inline>
        </w:drawing>
      </w:r>
    </w:p>
    <w:p w14:paraId="2EAF2C30" w14:textId="64230A1D" w:rsidR="00874CD8" w:rsidRPr="005C4606" w:rsidRDefault="00874CD8" w:rsidP="00874CD8">
      <w:pPr>
        <w:rPr>
          <w:rFonts w:cs="Times New Roman"/>
          <w:lang w:val="en-GB"/>
        </w:rPr>
      </w:pPr>
      <w:r w:rsidRPr="0001436A">
        <w:rPr>
          <w:rFonts w:cs="Times New Roman"/>
          <w:b/>
          <w:szCs w:val="24"/>
        </w:rPr>
        <w:t xml:space="preserve">Supplementary Figure </w:t>
      </w:r>
      <w:r w:rsidR="00606FC0">
        <w:rPr>
          <w:rFonts w:cs="Times New Roman"/>
          <w:b/>
          <w:szCs w:val="24"/>
        </w:rPr>
        <w:t>4</w:t>
      </w:r>
      <w:r>
        <w:rPr>
          <w:rFonts w:cs="Times New Roman"/>
          <w:b/>
          <w:szCs w:val="24"/>
        </w:rPr>
        <w:t xml:space="preserve">: </w:t>
      </w:r>
      <w:r w:rsidRPr="005C4606">
        <w:rPr>
          <w:rFonts w:cs="Times New Roman"/>
          <w:b/>
          <w:lang w:val="en-GB"/>
        </w:rPr>
        <w:t xml:space="preserve">The effect of </w:t>
      </w:r>
      <w:r w:rsidR="00055345">
        <w:rPr>
          <w:rFonts w:cs="Times New Roman"/>
          <w:b/>
          <w:lang w:val="en-GB"/>
        </w:rPr>
        <w:t>100 nM</w:t>
      </w:r>
      <w:r w:rsidRPr="005C4606">
        <w:rPr>
          <w:rFonts w:cs="Times New Roman"/>
          <w:b/>
          <w:lang w:val="en-GB"/>
        </w:rPr>
        <w:t xml:space="preserve"> concentration of Kgp on TIGKs after 30-minute treatment.</w:t>
      </w:r>
      <w:r w:rsidRPr="005C4606">
        <w:rPr>
          <w:rFonts w:cs="Times New Roman"/>
          <w:lang w:val="en-GB"/>
        </w:rPr>
        <w:t xml:space="preserve"> </w:t>
      </w:r>
    </w:p>
    <w:p w14:paraId="113EEC9B" w14:textId="77777777" w:rsidR="00874CD8" w:rsidRDefault="00874CD8" w:rsidP="00874CD8">
      <w:pPr>
        <w:rPr>
          <w:rFonts w:cs="Times New Roman"/>
          <w:lang w:val="en-GB"/>
        </w:rPr>
      </w:pPr>
      <w:r w:rsidRPr="005C4606">
        <w:rPr>
          <w:rFonts w:cs="Times New Roman"/>
          <w:lang w:val="en-GB"/>
        </w:rPr>
        <w:t xml:space="preserve">Intact TIGKs were treated with TNC buffer as a control or with Kgp in different concentrations to compare the effect of bacterial proteases on TIGKs. The pictures were </w:t>
      </w:r>
      <w:r>
        <w:rPr>
          <w:rFonts w:cs="Times New Roman"/>
          <w:lang w:val="en-GB"/>
        </w:rPr>
        <w:t xml:space="preserve">taken using light microscopy. </w:t>
      </w:r>
      <w:r>
        <w:rPr>
          <w:rFonts w:cs="Times New Roman"/>
          <w:lang w:val="en-GB"/>
        </w:rPr>
        <w:br/>
      </w:r>
      <w:r w:rsidRPr="00874CD8">
        <w:rPr>
          <w:rFonts w:cs="Times New Roman"/>
          <w:b/>
          <w:lang w:val="en-GB"/>
        </w:rPr>
        <w:t>A</w:t>
      </w:r>
      <w:r w:rsidRPr="005C4606">
        <w:rPr>
          <w:rFonts w:cs="Times New Roman"/>
          <w:lang w:val="en-GB"/>
        </w:rPr>
        <w:t xml:space="preserve">) Cell morphology at the beginning of the treatment (t = 0 min); </w:t>
      </w:r>
      <w:r w:rsidRPr="00874CD8">
        <w:rPr>
          <w:rFonts w:cs="Times New Roman"/>
          <w:b/>
          <w:lang w:val="en-GB"/>
        </w:rPr>
        <w:t>B</w:t>
      </w:r>
      <w:r w:rsidRPr="005C4606">
        <w:rPr>
          <w:rFonts w:cs="Times New Roman"/>
          <w:lang w:val="en-GB"/>
        </w:rPr>
        <w:t xml:space="preserve">) after 30 minutes of treatment with TNC buffer only; </w:t>
      </w:r>
      <w:r w:rsidRPr="00874CD8">
        <w:rPr>
          <w:rFonts w:cs="Times New Roman"/>
          <w:b/>
          <w:lang w:val="en-GB"/>
        </w:rPr>
        <w:t>C</w:t>
      </w:r>
      <w:r w:rsidRPr="005C4606">
        <w:rPr>
          <w:rFonts w:cs="Times New Roman"/>
          <w:lang w:val="en-GB"/>
        </w:rPr>
        <w:t xml:space="preserve">) after 30 minutes of 4 nM Kgp treatment; and </w:t>
      </w:r>
      <w:r w:rsidRPr="00874CD8">
        <w:rPr>
          <w:rFonts w:cs="Times New Roman"/>
          <w:b/>
          <w:lang w:val="en-GB"/>
        </w:rPr>
        <w:t>D</w:t>
      </w:r>
      <w:r w:rsidRPr="005C4606">
        <w:rPr>
          <w:rFonts w:cs="Times New Roman"/>
          <w:lang w:val="en-GB"/>
        </w:rPr>
        <w:t>) after 30 minutes of 100 nM Kgp treatment.</w:t>
      </w:r>
    </w:p>
    <w:p w14:paraId="3607AE81" w14:textId="77777777" w:rsidR="00874CD8" w:rsidRPr="005C4606" w:rsidRDefault="00971184" w:rsidP="00874CD8">
      <w:pPr>
        <w:rPr>
          <w:rFonts w:cs="Times New Roman"/>
          <w:lang w:val="en-GB"/>
        </w:rPr>
      </w:pPr>
      <w:r>
        <w:rPr>
          <w:rFonts w:cs="Times New Roman"/>
          <w:noProof/>
          <w:lang w:val="sl-SI" w:eastAsia="sl-SI"/>
        </w:rPr>
        <w:lastRenderedPageBreak/>
        <w:drawing>
          <wp:inline distT="0" distB="0" distL="0" distR="0" wp14:anchorId="5D0AEA5A" wp14:editId="06CD71B7">
            <wp:extent cx="5751146" cy="842609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 Figure 6 - nova -1.pdf"/>
                    <pic:cNvPicPr/>
                  </pic:nvPicPr>
                  <pic:blipFill rotWithShape="1">
                    <a:blip r:embed="rId12">
                      <a:extLst>
                        <a:ext uri="{28A0092B-C50C-407E-A947-70E740481C1C}">
                          <a14:useLocalDpi xmlns:a14="http://schemas.microsoft.com/office/drawing/2010/main" val="0"/>
                        </a:ext>
                      </a:extLst>
                    </a:blip>
                    <a:srcRect l="5160" t="6762" r="9356" b="4737"/>
                    <a:stretch/>
                  </pic:blipFill>
                  <pic:spPr bwMode="auto">
                    <a:xfrm>
                      <a:off x="0" y="0"/>
                      <a:ext cx="5756938" cy="8434584"/>
                    </a:xfrm>
                    <a:prstGeom prst="rect">
                      <a:avLst/>
                    </a:prstGeom>
                    <a:ln>
                      <a:noFill/>
                    </a:ln>
                    <a:extLst>
                      <a:ext uri="{53640926-AAD7-44D8-BBD7-CCE9431645EC}">
                        <a14:shadowObscured xmlns:a14="http://schemas.microsoft.com/office/drawing/2010/main"/>
                      </a:ext>
                    </a:extLst>
                  </pic:spPr>
                </pic:pic>
              </a:graphicData>
            </a:graphic>
          </wp:inline>
        </w:drawing>
      </w:r>
    </w:p>
    <w:p w14:paraId="5FBE6D8B" w14:textId="77777777" w:rsidR="001C0C27" w:rsidRDefault="001C0C27" w:rsidP="00874CD8">
      <w:pPr>
        <w:rPr>
          <w:rFonts w:cs="Times New Roman"/>
          <w:b/>
          <w:szCs w:val="24"/>
        </w:rPr>
      </w:pPr>
    </w:p>
    <w:p w14:paraId="277D4FCE" w14:textId="77777777" w:rsidR="0044498B" w:rsidRDefault="0044498B" w:rsidP="00874CD8">
      <w:pPr>
        <w:rPr>
          <w:rFonts w:cs="Times New Roman"/>
          <w:b/>
          <w:szCs w:val="24"/>
        </w:rPr>
      </w:pPr>
      <w:r>
        <w:rPr>
          <w:rFonts w:cs="Times New Roman"/>
          <w:b/>
          <w:noProof/>
          <w:szCs w:val="24"/>
          <w:lang w:val="sl-SI" w:eastAsia="sl-SI"/>
        </w:rPr>
        <w:lastRenderedPageBreak/>
        <w:drawing>
          <wp:inline distT="0" distB="0" distL="0" distR="0" wp14:anchorId="129025FE" wp14:editId="3F0E30B4">
            <wp:extent cx="5179646" cy="861112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 Figure 6 - nova -2.pdf"/>
                    <pic:cNvPicPr/>
                  </pic:nvPicPr>
                  <pic:blipFill rotWithShape="1">
                    <a:blip r:embed="rId13">
                      <a:extLst>
                        <a:ext uri="{28A0092B-C50C-407E-A947-70E740481C1C}">
                          <a14:useLocalDpi xmlns:a14="http://schemas.microsoft.com/office/drawing/2010/main" val="0"/>
                        </a:ext>
                      </a:extLst>
                    </a:blip>
                    <a:srcRect l="11164" t="6297" r="16034" b="8177"/>
                    <a:stretch/>
                  </pic:blipFill>
                  <pic:spPr bwMode="auto">
                    <a:xfrm>
                      <a:off x="0" y="0"/>
                      <a:ext cx="5192115" cy="8631853"/>
                    </a:xfrm>
                    <a:prstGeom prst="rect">
                      <a:avLst/>
                    </a:prstGeom>
                    <a:ln>
                      <a:noFill/>
                    </a:ln>
                    <a:extLst>
                      <a:ext uri="{53640926-AAD7-44D8-BBD7-CCE9431645EC}">
                        <a14:shadowObscured xmlns:a14="http://schemas.microsoft.com/office/drawing/2010/main"/>
                      </a:ext>
                    </a:extLst>
                  </pic:spPr>
                </pic:pic>
              </a:graphicData>
            </a:graphic>
          </wp:inline>
        </w:drawing>
      </w:r>
    </w:p>
    <w:p w14:paraId="0D6B514E" w14:textId="77777777" w:rsidR="0044498B" w:rsidRDefault="0044498B" w:rsidP="00874CD8">
      <w:pPr>
        <w:rPr>
          <w:rFonts w:cs="Times New Roman"/>
          <w:b/>
          <w:szCs w:val="24"/>
        </w:rPr>
      </w:pPr>
      <w:r>
        <w:rPr>
          <w:rFonts w:cs="Times New Roman"/>
          <w:b/>
          <w:noProof/>
          <w:szCs w:val="24"/>
          <w:lang w:val="sl-SI" w:eastAsia="sl-SI"/>
        </w:rPr>
        <w:lastRenderedPageBreak/>
        <w:drawing>
          <wp:inline distT="0" distB="0" distL="0" distR="0" wp14:anchorId="1E6F4268" wp14:editId="2D536188">
            <wp:extent cx="4548366" cy="39371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 Figure 6 - nova -3.pdf"/>
                    <pic:cNvPicPr/>
                  </pic:nvPicPr>
                  <pic:blipFill rotWithShape="1">
                    <a:blip r:embed="rId14">
                      <a:extLst>
                        <a:ext uri="{28A0092B-C50C-407E-A947-70E740481C1C}">
                          <a14:useLocalDpi xmlns:a14="http://schemas.microsoft.com/office/drawing/2010/main" val="0"/>
                        </a:ext>
                      </a:extLst>
                    </a:blip>
                    <a:srcRect l="10227" t="7358" r="16497" b="47820"/>
                    <a:stretch/>
                  </pic:blipFill>
                  <pic:spPr bwMode="auto">
                    <a:xfrm>
                      <a:off x="0" y="0"/>
                      <a:ext cx="4549317" cy="3937985"/>
                    </a:xfrm>
                    <a:prstGeom prst="rect">
                      <a:avLst/>
                    </a:prstGeom>
                    <a:ln>
                      <a:noFill/>
                    </a:ln>
                    <a:extLst>
                      <a:ext uri="{53640926-AAD7-44D8-BBD7-CCE9431645EC}">
                        <a14:shadowObscured xmlns:a14="http://schemas.microsoft.com/office/drawing/2010/main"/>
                      </a:ext>
                    </a:extLst>
                  </pic:spPr>
                </pic:pic>
              </a:graphicData>
            </a:graphic>
          </wp:inline>
        </w:drawing>
      </w:r>
    </w:p>
    <w:p w14:paraId="691ACB0A" w14:textId="76FDBB3E" w:rsidR="00874CD8" w:rsidRPr="005C4606" w:rsidRDefault="00874CD8" w:rsidP="00874CD8">
      <w:pPr>
        <w:rPr>
          <w:rFonts w:cs="Times New Roman"/>
          <w:b/>
          <w:i/>
          <w:lang w:val="en-GB"/>
        </w:rPr>
      </w:pPr>
      <w:r w:rsidRPr="0001436A">
        <w:rPr>
          <w:rFonts w:cs="Times New Roman"/>
          <w:b/>
          <w:szCs w:val="24"/>
        </w:rPr>
        <w:t xml:space="preserve">Supplementary Figure </w:t>
      </w:r>
      <w:r w:rsidR="00606FC0">
        <w:rPr>
          <w:rFonts w:cs="Times New Roman"/>
          <w:b/>
          <w:szCs w:val="24"/>
        </w:rPr>
        <w:t>5</w:t>
      </w:r>
      <w:r>
        <w:rPr>
          <w:rFonts w:cs="Times New Roman"/>
          <w:b/>
          <w:szCs w:val="24"/>
        </w:rPr>
        <w:t xml:space="preserve">: </w:t>
      </w:r>
      <w:r w:rsidRPr="005C4606">
        <w:rPr>
          <w:rFonts w:cs="Times New Roman"/>
          <w:b/>
          <w:lang w:val="en-GB"/>
        </w:rPr>
        <w:t>Mass spectrometric identification of TIGK-cell proteins in conditioned media with gingipains at 75 nM concentration</w:t>
      </w:r>
      <w:r w:rsidRPr="005C4606">
        <w:rPr>
          <w:rFonts w:cs="Times New Roman"/>
          <w:b/>
          <w:i/>
          <w:lang w:val="en-GB"/>
        </w:rPr>
        <w:t xml:space="preserve">. </w:t>
      </w:r>
    </w:p>
    <w:p w14:paraId="43EC3731" w14:textId="77777777" w:rsidR="00FD403E" w:rsidRDefault="00630F19" w:rsidP="00874CD8">
      <w:pPr>
        <w:rPr>
          <w:rFonts w:cs="Times New Roman"/>
          <w:lang w:val="en-GB"/>
        </w:rPr>
      </w:pPr>
      <w:r w:rsidRPr="00630F19">
        <w:rPr>
          <w:rFonts w:cs="Times New Roman"/>
          <w:b/>
          <w:lang w:val="en-GB"/>
        </w:rPr>
        <w:t>(A)</w:t>
      </w:r>
      <w:r>
        <w:rPr>
          <w:rFonts w:cs="Times New Roman"/>
          <w:lang w:val="en-GB"/>
        </w:rPr>
        <w:t xml:space="preserve"> </w:t>
      </w:r>
      <w:r w:rsidR="00874CD8" w:rsidRPr="005C4606">
        <w:rPr>
          <w:rFonts w:cs="Times New Roman"/>
          <w:lang w:val="en-GB"/>
        </w:rPr>
        <w:t>Distribution of SCR and cell localization of proteins in the samples identified with mass spectrometry.</w:t>
      </w:r>
      <w:r w:rsidR="00874CD8" w:rsidRPr="005C4606">
        <w:rPr>
          <w:rFonts w:cs="Times New Roman"/>
          <w:b/>
          <w:lang w:val="en-GB"/>
        </w:rPr>
        <w:t xml:space="preserve"> </w:t>
      </w:r>
      <w:r w:rsidR="00874CD8" w:rsidRPr="005C4606">
        <w:rPr>
          <w:rFonts w:cs="Times New Roman"/>
          <w:lang w:val="en-GB"/>
        </w:rPr>
        <w:t>Intact TIGK cells were treated with purified gingipains RgpB, RgpA and Kgp at 75 nM concentration. The pie charts for the RgpB, RgpA and Kgp treatment represent the ratios between the proteins with decreased abundance (</w:t>
      </w:r>
      <w:r w:rsidR="00874CD8" w:rsidRPr="005C4606">
        <w:rPr>
          <w:rFonts w:eastAsia="Calibri" w:cs="Times New Roman"/>
          <w:lang w:val="en-GB"/>
        </w:rPr>
        <w:t>SCR</w:t>
      </w:r>
      <w:r w:rsidR="00874CD8" w:rsidRPr="005C4606">
        <w:rPr>
          <w:rFonts w:cs="Times New Roman"/>
          <w:lang w:val="en-GB"/>
        </w:rPr>
        <w:t xml:space="preserve"> </w:t>
      </w:r>
      <w:r w:rsidR="00874CD8" w:rsidRPr="005C4606">
        <w:rPr>
          <w:rFonts w:eastAsia="Calibri" w:cs="Times New Roman"/>
          <w:lang w:val="en-GB"/>
        </w:rPr>
        <w:t>≤</w:t>
      </w:r>
      <w:r w:rsidR="00874CD8" w:rsidRPr="005C4606">
        <w:rPr>
          <w:rFonts w:cs="Times New Roman"/>
          <w:lang w:val="en-GB"/>
        </w:rPr>
        <w:t xml:space="preserve"> 0.33), unchanged abundance (0.33 &lt; </w:t>
      </w:r>
      <w:r w:rsidR="00874CD8" w:rsidRPr="005C4606">
        <w:rPr>
          <w:rFonts w:eastAsia="Calibri" w:cs="Times New Roman"/>
          <w:lang w:val="en-GB"/>
        </w:rPr>
        <w:t>SCR</w:t>
      </w:r>
      <w:r w:rsidR="00874CD8" w:rsidRPr="005C4606">
        <w:rPr>
          <w:rFonts w:cs="Times New Roman"/>
          <w:lang w:val="en-GB"/>
        </w:rPr>
        <w:t xml:space="preserve"> &lt; 3) and increased abundance (</w:t>
      </w:r>
      <w:r w:rsidR="00874CD8" w:rsidRPr="005C4606">
        <w:rPr>
          <w:rFonts w:eastAsia="Calibri" w:cs="Times New Roman"/>
          <w:lang w:val="en-GB"/>
        </w:rPr>
        <w:t>SCR</w:t>
      </w:r>
      <w:r w:rsidR="00874CD8" w:rsidRPr="005C4606">
        <w:rPr>
          <w:rFonts w:cs="Times New Roman"/>
          <w:lang w:val="en-GB"/>
        </w:rPr>
        <w:t xml:space="preserve"> </w:t>
      </w:r>
      <w:r w:rsidR="00874CD8" w:rsidRPr="005C4606">
        <w:rPr>
          <w:rFonts w:eastAsia="Calibri" w:cs="Times New Roman"/>
          <w:lang w:val="en-GB"/>
        </w:rPr>
        <w:t>≥</w:t>
      </w:r>
      <w:r w:rsidR="00874CD8" w:rsidRPr="005C4606">
        <w:rPr>
          <w:rFonts w:cs="Times New Roman"/>
          <w:lang w:val="en-GB"/>
        </w:rPr>
        <w:t xml:space="preserve"> 3) after gingipain treatment. Proteins with </w:t>
      </w:r>
      <w:r w:rsidR="00874CD8" w:rsidRPr="005C4606">
        <w:rPr>
          <w:rFonts w:eastAsia="Calibri" w:cs="Times New Roman"/>
          <w:lang w:val="en-GB"/>
        </w:rPr>
        <w:t>SCR</w:t>
      </w:r>
      <w:r w:rsidR="00874CD8" w:rsidRPr="005C4606">
        <w:rPr>
          <w:rFonts w:cs="Times New Roman"/>
          <w:lang w:val="en-GB"/>
        </w:rPr>
        <w:t xml:space="preserve"> </w:t>
      </w:r>
      <w:r w:rsidR="00874CD8" w:rsidRPr="005C4606">
        <w:rPr>
          <w:rFonts w:eastAsia="Calibri" w:cs="Times New Roman"/>
          <w:lang w:val="en-GB"/>
        </w:rPr>
        <w:t>≥</w:t>
      </w:r>
      <w:r w:rsidR="00874CD8" w:rsidRPr="005C4606">
        <w:rPr>
          <w:rFonts w:cs="Times New Roman"/>
          <w:lang w:val="en-GB"/>
        </w:rPr>
        <w:t xml:space="preserve"> 3 were further divided into 4 categories, depending on their cellular localization (membrane, cytoplasm, nucleus and other locations). The higher percentages of proteins in the group with </w:t>
      </w:r>
      <w:r w:rsidR="00874CD8" w:rsidRPr="005C4606">
        <w:rPr>
          <w:rFonts w:eastAsia="Calibri" w:cs="Times New Roman"/>
          <w:lang w:val="en-GB"/>
        </w:rPr>
        <w:t>SCR</w:t>
      </w:r>
      <w:r w:rsidR="00874CD8" w:rsidRPr="005C4606">
        <w:rPr>
          <w:rFonts w:cs="Times New Roman"/>
          <w:lang w:val="en-GB"/>
        </w:rPr>
        <w:t xml:space="preserve"> </w:t>
      </w:r>
      <w:r w:rsidR="00874CD8" w:rsidRPr="005C4606">
        <w:rPr>
          <w:rFonts w:eastAsia="Calibri" w:cs="Times New Roman"/>
          <w:lang w:val="en-GB"/>
        </w:rPr>
        <w:t>≤</w:t>
      </w:r>
      <w:r w:rsidR="00874CD8" w:rsidRPr="005C4606">
        <w:rPr>
          <w:rFonts w:cs="Times New Roman"/>
          <w:lang w:val="en-GB"/>
        </w:rPr>
        <w:t xml:space="preserve"> 0.33 is likely to be the consequence of more extensive degradation by gingipains.</w:t>
      </w:r>
      <w:r>
        <w:rPr>
          <w:rFonts w:cs="Times New Roman"/>
          <w:lang w:val="en-GB"/>
        </w:rPr>
        <w:t xml:space="preserve"> </w:t>
      </w:r>
      <w:r>
        <w:rPr>
          <w:rFonts w:cs="Times New Roman"/>
          <w:b/>
          <w:lang w:val="en-GB"/>
        </w:rPr>
        <w:t>(B</w:t>
      </w:r>
      <w:r w:rsidRPr="005C4606">
        <w:rPr>
          <w:rFonts w:cs="Times New Roman"/>
          <w:b/>
          <w:lang w:val="en-GB"/>
        </w:rPr>
        <w:t>)</w:t>
      </w:r>
      <w:r w:rsidRPr="005C4606">
        <w:rPr>
          <w:rFonts w:cs="Times New Roman"/>
          <w:lang w:val="en-GB"/>
        </w:rPr>
        <w:t xml:space="preserve"> List of potential gingipain targets with indication in which sheddome (RgpB, </w:t>
      </w:r>
      <w:r>
        <w:rPr>
          <w:rFonts w:cs="Times New Roman"/>
          <w:lang w:val="en-GB"/>
        </w:rPr>
        <w:t>H</w:t>
      </w:r>
      <w:r w:rsidRPr="005C4606">
        <w:rPr>
          <w:rFonts w:cs="Times New Roman"/>
          <w:lang w:val="en-GB"/>
        </w:rPr>
        <w:t>RgpA and Kgp) proteins were detected. Only proteins localized on the cell membrane, identified with minimum 2 peptides and with minimum three-fold increase in SCR were considered.</w:t>
      </w:r>
    </w:p>
    <w:p w14:paraId="580E369B" w14:textId="77777777" w:rsidR="00DE23E8" w:rsidRDefault="00FD403E" w:rsidP="00FD403E">
      <w:pPr>
        <w:spacing w:before="0" w:after="200" w:line="276" w:lineRule="auto"/>
        <w:rPr>
          <w:rFonts w:cs="Times New Roman"/>
          <w:lang w:val="en-GB"/>
        </w:rPr>
      </w:pPr>
      <w:r>
        <w:rPr>
          <w:rFonts w:cs="Times New Roman"/>
          <w:lang w:val="en-GB"/>
        </w:rPr>
        <w:br w:type="page"/>
      </w:r>
    </w:p>
    <w:p w14:paraId="3451B00D" w14:textId="77777777" w:rsidR="00FD403E" w:rsidRDefault="00FD403E" w:rsidP="00FD403E">
      <w:pPr>
        <w:pStyle w:val="Heading1"/>
        <w:rPr>
          <w:lang w:val="en-GB"/>
        </w:rPr>
      </w:pPr>
      <w:r>
        <w:rPr>
          <w:lang w:val="en-GB"/>
        </w:rPr>
        <w:lastRenderedPageBreak/>
        <w:t>Original blots and gels</w:t>
      </w:r>
    </w:p>
    <w:p w14:paraId="3CDBB119" w14:textId="77777777" w:rsidR="00FD403E" w:rsidRDefault="00FD403E" w:rsidP="00FD403E">
      <w:pPr>
        <w:rPr>
          <w:lang w:val="en-GB"/>
        </w:rPr>
      </w:pPr>
      <w:r>
        <w:rPr>
          <w:noProof/>
          <w:lang w:val="sl-SI" w:eastAsia="sl-SI"/>
        </w:rPr>
        <w:drawing>
          <wp:inline distT="0" distB="0" distL="0" distR="0" wp14:anchorId="72D15866" wp14:editId="64393185">
            <wp:extent cx="3879686" cy="2184084"/>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 original gel.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6159" cy="2193357"/>
                    </a:xfrm>
                    <a:prstGeom prst="rect">
                      <a:avLst/>
                    </a:prstGeom>
                  </pic:spPr>
                </pic:pic>
              </a:graphicData>
            </a:graphic>
          </wp:inline>
        </w:drawing>
      </w:r>
    </w:p>
    <w:p w14:paraId="5325E5C5" w14:textId="77777777" w:rsidR="00FD403E" w:rsidRPr="00FD403E" w:rsidRDefault="00FD403E" w:rsidP="00FD403E">
      <w:pPr>
        <w:rPr>
          <w:rFonts w:cs="Times New Roman"/>
          <w:szCs w:val="24"/>
        </w:rPr>
      </w:pPr>
      <w:r w:rsidRPr="00FD403E">
        <w:rPr>
          <w:rFonts w:cs="Times New Roman"/>
          <w:szCs w:val="24"/>
        </w:rPr>
        <w:t>Figure 1A, original gel</w:t>
      </w:r>
    </w:p>
    <w:p w14:paraId="6FECA0AA" w14:textId="77777777" w:rsidR="00FD403E" w:rsidRDefault="00FD403E" w:rsidP="00FD403E">
      <w:pPr>
        <w:rPr>
          <w:lang w:val="en-GB"/>
        </w:rPr>
      </w:pPr>
      <w:r>
        <w:rPr>
          <w:noProof/>
          <w:lang w:val="sl-SI" w:eastAsia="sl-SI"/>
        </w:rPr>
        <w:drawing>
          <wp:inline distT="0" distB="0" distL="0" distR="0" wp14:anchorId="012DADE3" wp14:editId="50748686">
            <wp:extent cx="4744852" cy="346703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c original blo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0593" cy="3478539"/>
                    </a:xfrm>
                    <a:prstGeom prst="rect">
                      <a:avLst/>
                    </a:prstGeom>
                  </pic:spPr>
                </pic:pic>
              </a:graphicData>
            </a:graphic>
          </wp:inline>
        </w:drawing>
      </w:r>
    </w:p>
    <w:p w14:paraId="63DC7B63" w14:textId="77777777" w:rsidR="00FD403E" w:rsidRDefault="00FD403E" w:rsidP="00FD403E">
      <w:pPr>
        <w:rPr>
          <w:lang w:val="en-GB"/>
        </w:rPr>
      </w:pPr>
      <w:r>
        <w:rPr>
          <w:lang w:val="en-GB"/>
        </w:rPr>
        <w:t>Figure 1</w:t>
      </w:r>
      <w:r w:rsidR="009165EF">
        <w:rPr>
          <w:lang w:val="en-GB"/>
        </w:rPr>
        <w:t>B</w:t>
      </w:r>
      <w:r>
        <w:rPr>
          <w:lang w:val="en-GB"/>
        </w:rPr>
        <w:t xml:space="preserve">, original </w:t>
      </w:r>
      <w:r w:rsidR="00717D76">
        <w:rPr>
          <w:lang w:val="en-GB"/>
        </w:rPr>
        <w:t>gel</w:t>
      </w:r>
    </w:p>
    <w:p w14:paraId="1C7678E2" w14:textId="77777777" w:rsidR="00FD403E" w:rsidRDefault="00FD403E" w:rsidP="00FD403E">
      <w:pPr>
        <w:rPr>
          <w:lang w:val="en-GB"/>
        </w:rPr>
      </w:pPr>
      <w:r>
        <w:rPr>
          <w:noProof/>
          <w:lang w:val="sl-SI" w:eastAsia="sl-SI"/>
        </w:rPr>
        <w:lastRenderedPageBreak/>
        <w:drawing>
          <wp:inline distT="0" distB="0" distL="0" distR="0" wp14:anchorId="2159B134" wp14:editId="08EFD3C3">
            <wp:extent cx="5090437" cy="340207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a orginal blot.tif"/>
                    <pic:cNvPicPr/>
                  </pic:nvPicPr>
                  <pic:blipFill>
                    <a:blip r:embed="rId17">
                      <a:extLst>
                        <a:ext uri="{28A0092B-C50C-407E-A947-70E740481C1C}">
                          <a14:useLocalDpi xmlns:a14="http://schemas.microsoft.com/office/drawing/2010/main" val="0"/>
                        </a:ext>
                      </a:extLst>
                    </a:blip>
                    <a:stretch>
                      <a:fillRect/>
                    </a:stretch>
                  </pic:blipFill>
                  <pic:spPr>
                    <a:xfrm>
                      <a:off x="0" y="0"/>
                      <a:ext cx="5090437" cy="3402075"/>
                    </a:xfrm>
                    <a:prstGeom prst="rect">
                      <a:avLst/>
                    </a:prstGeom>
                  </pic:spPr>
                </pic:pic>
              </a:graphicData>
            </a:graphic>
          </wp:inline>
        </w:drawing>
      </w:r>
    </w:p>
    <w:p w14:paraId="08082982" w14:textId="77777777" w:rsidR="00FD403E" w:rsidRDefault="002669D1" w:rsidP="00FD403E">
      <w:pPr>
        <w:rPr>
          <w:lang w:val="en-GB"/>
        </w:rPr>
      </w:pPr>
      <w:r>
        <w:rPr>
          <w:lang w:val="en-GB"/>
        </w:rPr>
        <w:t>Figure 5</w:t>
      </w:r>
      <w:r w:rsidR="00FD403E">
        <w:rPr>
          <w:lang w:val="en-GB"/>
        </w:rPr>
        <w:t>A, original blot</w:t>
      </w:r>
    </w:p>
    <w:p w14:paraId="3C2D0491" w14:textId="77777777" w:rsidR="00FD403E" w:rsidRDefault="00FD403E" w:rsidP="00FD403E">
      <w:pPr>
        <w:rPr>
          <w:lang w:val="en-GB"/>
        </w:rPr>
      </w:pPr>
      <w:r>
        <w:rPr>
          <w:noProof/>
          <w:lang w:val="sl-SI" w:eastAsia="sl-SI"/>
        </w:rPr>
        <w:drawing>
          <wp:inline distT="0" distB="0" distL="0" distR="0" wp14:anchorId="739B9855" wp14:editId="332FF36F">
            <wp:extent cx="3142488" cy="351434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 original blot.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2488" cy="3514344"/>
                    </a:xfrm>
                    <a:prstGeom prst="rect">
                      <a:avLst/>
                    </a:prstGeom>
                  </pic:spPr>
                </pic:pic>
              </a:graphicData>
            </a:graphic>
          </wp:inline>
        </w:drawing>
      </w:r>
    </w:p>
    <w:p w14:paraId="26150C30" w14:textId="77777777" w:rsidR="00FD403E" w:rsidRDefault="002669D1" w:rsidP="00FD403E">
      <w:pPr>
        <w:rPr>
          <w:lang w:val="en-GB"/>
        </w:rPr>
      </w:pPr>
      <w:r>
        <w:rPr>
          <w:lang w:val="en-GB"/>
        </w:rPr>
        <w:t>Figure 5</w:t>
      </w:r>
      <w:r w:rsidR="00FD403E">
        <w:rPr>
          <w:lang w:val="en-GB"/>
        </w:rPr>
        <w:t>B, original blot</w:t>
      </w:r>
    </w:p>
    <w:p w14:paraId="10815B4B" w14:textId="77777777" w:rsidR="00FD403E" w:rsidRDefault="00FD403E" w:rsidP="00FD403E">
      <w:pPr>
        <w:rPr>
          <w:lang w:val="en-GB"/>
        </w:rPr>
      </w:pPr>
      <w:r>
        <w:rPr>
          <w:noProof/>
          <w:lang w:val="sl-SI" w:eastAsia="sl-SI"/>
        </w:rPr>
        <w:lastRenderedPageBreak/>
        <w:drawing>
          <wp:inline distT="0" distB="0" distL="0" distR="0" wp14:anchorId="519ABB38" wp14:editId="380D41A4">
            <wp:extent cx="2590800" cy="3307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c original blot.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800" cy="3307080"/>
                    </a:xfrm>
                    <a:prstGeom prst="rect">
                      <a:avLst/>
                    </a:prstGeom>
                  </pic:spPr>
                </pic:pic>
              </a:graphicData>
            </a:graphic>
          </wp:inline>
        </w:drawing>
      </w:r>
    </w:p>
    <w:p w14:paraId="4D97F528" w14:textId="77777777" w:rsidR="00FD403E" w:rsidRPr="00FD403E" w:rsidRDefault="008B2D13" w:rsidP="00FD403E">
      <w:pPr>
        <w:rPr>
          <w:lang w:val="en-GB"/>
        </w:rPr>
      </w:pPr>
      <w:r>
        <w:rPr>
          <w:lang w:val="en-GB"/>
        </w:rPr>
        <w:t>Figure 5</w:t>
      </w:r>
      <w:r w:rsidR="00FD403E">
        <w:rPr>
          <w:lang w:val="en-GB"/>
        </w:rPr>
        <w:t>C, original blot</w:t>
      </w:r>
    </w:p>
    <w:sectPr w:rsidR="00FD403E" w:rsidRPr="00FD403E" w:rsidSect="00D51669">
      <w:headerReference w:type="even" r:id="rId20"/>
      <w:footerReference w:type="even" r:id="rId21"/>
      <w:footerReference w:type="default" r:id="rId22"/>
      <w:headerReference w:type="first" r:id="rId23"/>
      <w:pgSz w:w="12240" w:h="15840"/>
      <w:pgMar w:top="858" w:right="1181" w:bottom="727" w:left="1282" w:header="720" w:footer="31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4036E" w14:textId="77777777" w:rsidR="00487230" w:rsidRDefault="00487230" w:rsidP="00117666">
      <w:pPr>
        <w:spacing w:after="0"/>
      </w:pPr>
      <w:r>
        <w:separator/>
      </w:r>
    </w:p>
  </w:endnote>
  <w:endnote w:type="continuationSeparator" w:id="0">
    <w:p w14:paraId="7617063B" w14:textId="77777777" w:rsidR="00487230" w:rsidRDefault="0048723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F893F" w14:textId="77777777" w:rsidR="00995F6A" w:rsidRPr="00577C4C" w:rsidRDefault="00C52A7B">
    <w:pPr>
      <w:rPr>
        <w:color w:val="C00000"/>
        <w:szCs w:val="24"/>
      </w:rPr>
    </w:pPr>
    <w:r>
      <w:rPr>
        <w:noProof/>
        <w:lang w:val="sl-SI" w:eastAsia="sl-SI"/>
      </w:rPr>
      <mc:AlternateContent>
        <mc:Choice Requires="wps">
          <w:drawing>
            <wp:anchor distT="0" distB="0" distL="114300" distR="114300" simplePos="0" relativeHeight="251659264" behindDoc="0" locked="0" layoutInCell="1" allowOverlap="1" wp14:anchorId="60579F5D" wp14:editId="1C89A62D">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70EFC439" w14:textId="5075872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65D50">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0579F5D"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70EFC439" w14:textId="5075872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65D50">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BC3B0" w14:textId="77777777" w:rsidR="00995F6A" w:rsidRPr="00577C4C" w:rsidRDefault="00C52A7B">
    <w:pPr>
      <w:rPr>
        <w:b/>
        <w:sz w:val="20"/>
        <w:szCs w:val="24"/>
      </w:rPr>
    </w:pPr>
    <w:r>
      <w:rPr>
        <w:noProof/>
        <w:lang w:val="sl-SI" w:eastAsia="sl-SI"/>
      </w:rPr>
      <mc:AlternateContent>
        <mc:Choice Requires="wps">
          <w:drawing>
            <wp:anchor distT="0" distB="0" distL="114300" distR="114300" simplePos="0" relativeHeight="251646976" behindDoc="0" locked="0" layoutInCell="1" allowOverlap="1" wp14:anchorId="67B8DBB2" wp14:editId="39D12337">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0F824D42" w14:textId="0350743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65D50">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7B8DBB2"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0F824D42" w14:textId="0350743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65D50">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D345F" w14:textId="77777777" w:rsidR="00487230" w:rsidRDefault="00487230" w:rsidP="00117666">
      <w:pPr>
        <w:spacing w:after="0"/>
      </w:pPr>
      <w:r>
        <w:separator/>
      </w:r>
    </w:p>
  </w:footnote>
  <w:footnote w:type="continuationSeparator" w:id="0">
    <w:p w14:paraId="501D058B" w14:textId="77777777" w:rsidR="00487230" w:rsidRDefault="0048723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B4A3"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AA496" w14:textId="77777777" w:rsidR="00995F6A" w:rsidRDefault="0093429D" w:rsidP="0093429D">
    <w:r w:rsidRPr="005A1D84">
      <w:rPr>
        <w:b/>
        <w:noProof/>
        <w:color w:val="A6A6A6" w:themeColor="background1" w:themeShade="A6"/>
        <w:lang w:val="sl-SI" w:eastAsia="sl-SI"/>
      </w:rPr>
      <w:drawing>
        <wp:inline distT="0" distB="0" distL="0" distR="0" wp14:anchorId="2740CFDF" wp14:editId="7C735E26">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55345"/>
    <w:rsid w:val="00077D53"/>
    <w:rsid w:val="00083F82"/>
    <w:rsid w:val="000847F7"/>
    <w:rsid w:val="00105FD9"/>
    <w:rsid w:val="00117666"/>
    <w:rsid w:val="001549D3"/>
    <w:rsid w:val="00160065"/>
    <w:rsid w:val="00177D84"/>
    <w:rsid w:val="001B3811"/>
    <w:rsid w:val="001C0C27"/>
    <w:rsid w:val="001C2E0C"/>
    <w:rsid w:val="00232B19"/>
    <w:rsid w:val="002655BC"/>
    <w:rsid w:val="002669D1"/>
    <w:rsid w:val="00267D18"/>
    <w:rsid w:val="00274347"/>
    <w:rsid w:val="002868E2"/>
    <w:rsid w:val="002869C3"/>
    <w:rsid w:val="002936E4"/>
    <w:rsid w:val="002B4A57"/>
    <w:rsid w:val="002C74CA"/>
    <w:rsid w:val="002D11BC"/>
    <w:rsid w:val="003123F4"/>
    <w:rsid w:val="003544FB"/>
    <w:rsid w:val="003720AC"/>
    <w:rsid w:val="003D2F2D"/>
    <w:rsid w:val="00401590"/>
    <w:rsid w:val="00410FF2"/>
    <w:rsid w:val="0044498B"/>
    <w:rsid w:val="00447801"/>
    <w:rsid w:val="00452E9C"/>
    <w:rsid w:val="004735C8"/>
    <w:rsid w:val="00487230"/>
    <w:rsid w:val="004947A6"/>
    <w:rsid w:val="004961FF"/>
    <w:rsid w:val="004A6EB6"/>
    <w:rsid w:val="004D56B2"/>
    <w:rsid w:val="00517A89"/>
    <w:rsid w:val="005250F2"/>
    <w:rsid w:val="00565D50"/>
    <w:rsid w:val="00593EEA"/>
    <w:rsid w:val="005A5EEE"/>
    <w:rsid w:val="00606FC0"/>
    <w:rsid w:val="00630F19"/>
    <w:rsid w:val="006375C7"/>
    <w:rsid w:val="00654E8F"/>
    <w:rsid w:val="00660D05"/>
    <w:rsid w:val="006820B1"/>
    <w:rsid w:val="006B7710"/>
    <w:rsid w:val="006B7D14"/>
    <w:rsid w:val="00701727"/>
    <w:rsid w:val="0070566C"/>
    <w:rsid w:val="00714C50"/>
    <w:rsid w:val="00717D76"/>
    <w:rsid w:val="00725A7D"/>
    <w:rsid w:val="007501BE"/>
    <w:rsid w:val="00790BB3"/>
    <w:rsid w:val="007C206C"/>
    <w:rsid w:val="00817DD6"/>
    <w:rsid w:val="008358CE"/>
    <w:rsid w:val="0083759F"/>
    <w:rsid w:val="00874CD8"/>
    <w:rsid w:val="00885156"/>
    <w:rsid w:val="008B2D13"/>
    <w:rsid w:val="008D5FAB"/>
    <w:rsid w:val="009151AA"/>
    <w:rsid w:val="009165EF"/>
    <w:rsid w:val="0093429D"/>
    <w:rsid w:val="009404B5"/>
    <w:rsid w:val="00943573"/>
    <w:rsid w:val="00964134"/>
    <w:rsid w:val="00970F7D"/>
    <w:rsid w:val="00971184"/>
    <w:rsid w:val="00972579"/>
    <w:rsid w:val="00994A3D"/>
    <w:rsid w:val="009C2B12"/>
    <w:rsid w:val="009F2A4C"/>
    <w:rsid w:val="00A174D9"/>
    <w:rsid w:val="00A26097"/>
    <w:rsid w:val="00A6310A"/>
    <w:rsid w:val="00AA4D24"/>
    <w:rsid w:val="00AB6715"/>
    <w:rsid w:val="00B1671E"/>
    <w:rsid w:val="00B25EB8"/>
    <w:rsid w:val="00B37F4D"/>
    <w:rsid w:val="00B5372E"/>
    <w:rsid w:val="00C15A46"/>
    <w:rsid w:val="00C217EB"/>
    <w:rsid w:val="00C52A7B"/>
    <w:rsid w:val="00C56BAF"/>
    <w:rsid w:val="00C679AA"/>
    <w:rsid w:val="00C75972"/>
    <w:rsid w:val="00C93B56"/>
    <w:rsid w:val="00CD066B"/>
    <w:rsid w:val="00CE4FEE"/>
    <w:rsid w:val="00D060CF"/>
    <w:rsid w:val="00D51669"/>
    <w:rsid w:val="00D76205"/>
    <w:rsid w:val="00DB59C3"/>
    <w:rsid w:val="00DC259A"/>
    <w:rsid w:val="00DE23E8"/>
    <w:rsid w:val="00E27D0A"/>
    <w:rsid w:val="00E52377"/>
    <w:rsid w:val="00E537AD"/>
    <w:rsid w:val="00E60C46"/>
    <w:rsid w:val="00E6495D"/>
    <w:rsid w:val="00E64E17"/>
    <w:rsid w:val="00E83548"/>
    <w:rsid w:val="00E866C9"/>
    <w:rsid w:val="00EA3D3C"/>
    <w:rsid w:val="00EC090A"/>
    <w:rsid w:val="00ED20B5"/>
    <w:rsid w:val="00F46900"/>
    <w:rsid w:val="00F61D89"/>
    <w:rsid w:val="00F67685"/>
    <w:rsid w:val="00FD4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BB1F1"/>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06568567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5581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90DFF5-D7A8-44CF-BF0A-21076DB36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10</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Boris Turk</cp:lastModifiedBy>
  <cp:revision>2</cp:revision>
  <cp:lastPrinted>2013-10-03T12:51:00Z</cp:lastPrinted>
  <dcterms:created xsi:type="dcterms:W3CDTF">2020-03-05T08:35:00Z</dcterms:created>
  <dcterms:modified xsi:type="dcterms:W3CDTF">2020-03-05T08:35:00Z</dcterms:modified>
</cp:coreProperties>
</file>