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14" w:rsidRPr="00F356D7" w:rsidRDefault="00F356D7">
      <w:pPr>
        <w:rPr>
          <w:rFonts w:ascii="Times New Roman" w:hAnsi="Times New Roman" w:cs="Times New Roman"/>
          <w:b/>
          <w:sz w:val="24"/>
          <w:szCs w:val="24"/>
        </w:rPr>
      </w:pPr>
      <w:r w:rsidRPr="00F356D7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F356D7" w:rsidRPr="00F356D7" w:rsidRDefault="00F356D7">
      <w:pPr>
        <w:rPr>
          <w:rFonts w:ascii="Times New Roman" w:hAnsi="Times New Roman" w:cs="Times New Roman"/>
          <w:b/>
          <w:sz w:val="24"/>
          <w:szCs w:val="24"/>
        </w:rPr>
      </w:pPr>
      <w:r w:rsidRPr="00F356D7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F356D7" w:rsidRDefault="00F356D7" w:rsidP="00F356D7">
      <w:pPr>
        <w:pStyle w:val="Caption"/>
        <w:spacing w:after="0"/>
        <w:rPr>
          <w:rFonts w:ascii="Times New Roman" w:hAnsi="Times New Roman"/>
          <w:color w:val="auto"/>
          <w:sz w:val="24"/>
          <w:szCs w:val="24"/>
        </w:rPr>
      </w:pPr>
      <w:r w:rsidRPr="00F356D7">
        <w:rPr>
          <w:rFonts w:ascii="Times New Roman" w:hAnsi="Times New Roman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4675505" cy="1144905"/>
            <wp:effectExtent l="0" t="0" r="0" b="0"/>
            <wp:docPr id="1" name="图片 1" descr="H:\Submit TFImm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bmit TFImm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D7" w:rsidRPr="00AA69EA" w:rsidRDefault="0071592B" w:rsidP="0071592B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 w:rsidRPr="0071592B">
        <w:rPr>
          <w:rFonts w:ascii="Times New Roman" w:hAnsi="Times New Roman"/>
          <w:color w:val="auto"/>
          <w:sz w:val="24"/>
          <w:szCs w:val="24"/>
        </w:rPr>
        <w:t>Figure S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1592B">
        <w:rPr>
          <w:rFonts w:ascii="Times New Roman" w:hAnsi="Times New Roman"/>
          <w:color w:val="auto"/>
          <w:sz w:val="24"/>
          <w:szCs w:val="24"/>
        </w:rPr>
        <w:instrText xml:space="preserve"> SEQ Figure \* ARABIC </w:instrTex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71592B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CD09 may be involved in the invasion of </w:t>
      </w:r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 xml:space="preserve">T. </w:t>
      </w:r>
      <w:proofErr w:type="spellStart"/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>gondii</w:t>
      </w:r>
      <w:proofErr w:type="spellEnd"/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 into peritoneal </w:t>
      </w:r>
      <w:r w:rsidR="00F356D7" w:rsidRPr="00AA69EA">
        <w:rPr>
          <w:rFonts w:ascii="Times New Roman" w:hAnsi="Times New Roman"/>
          <w:color w:val="auto"/>
          <w:sz w:val="24"/>
          <w:szCs w:val="24"/>
        </w:rPr>
        <w:t xml:space="preserve">macrophages.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A:</w:t>
      </w:r>
      <w:r w:rsidR="00F356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Cells were fixed and stained for expression of nucleus using DAPI (4’</w:t>
      </w:r>
      <w:proofErr w:type="gramStart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,6</w:t>
      </w:r>
      <w:proofErr w:type="gram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-diamidino-2-phenylindole; blue); and</w:t>
      </w:r>
      <w:r w:rsidR="00F356D7">
        <w:rPr>
          <w:rFonts w:ascii="Times New Roman" w:hAnsi="Times New Roman"/>
          <w:b w:val="0"/>
          <w:color w:val="auto"/>
          <w:sz w:val="24"/>
          <w:szCs w:val="24"/>
        </w:rPr>
        <w:t xml:space="preserve"> B: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the GFP-labeled-</w:t>
      </w:r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T. </w:t>
      </w:r>
      <w:proofErr w:type="spellStart"/>
      <w:proofErr w:type="gramStart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>gondii</w:t>
      </w:r>
      <w:proofErr w:type="spellEnd"/>
      <w:proofErr w:type="gramEnd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(green) within adherent cells (peritoneal macrophages); C:Merged cells with DAPI counterstaining showing fluorescing GFP-labeled </w:t>
      </w:r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T. </w:t>
      </w:r>
      <w:proofErr w:type="spellStart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>gondii</w:t>
      </w:r>
      <w:proofErr w:type="spell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F356D7" w:rsidRDefault="00F356D7" w:rsidP="00F356D7"/>
    <w:p w:rsidR="00F356D7" w:rsidRPr="00AA69EA" w:rsidRDefault="00F356D7" w:rsidP="00F356D7">
      <w:r w:rsidRPr="00F356D7">
        <w:rPr>
          <w:noProof/>
          <w:lang w:eastAsia="en-US"/>
        </w:rPr>
        <w:drawing>
          <wp:inline distT="0" distB="0" distL="0" distR="0">
            <wp:extent cx="4572000" cy="3427095"/>
            <wp:effectExtent l="0" t="0" r="0" b="1905"/>
            <wp:docPr id="2" name="图片 2" descr="H:\Submit TFImm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ubmit TFImm\Figure S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D7" w:rsidRPr="00AA69EA" w:rsidRDefault="0071592B" w:rsidP="0071592B">
      <w:pPr>
        <w:pStyle w:val="Caption"/>
        <w:spacing w:before="240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71592B">
        <w:rPr>
          <w:rFonts w:ascii="Times New Roman" w:hAnsi="Times New Roman"/>
          <w:color w:val="auto"/>
          <w:sz w:val="24"/>
          <w:szCs w:val="24"/>
        </w:rPr>
        <w:t>Figure S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1592B">
        <w:rPr>
          <w:rFonts w:ascii="Times New Roman" w:hAnsi="Times New Roman"/>
          <w:color w:val="auto"/>
          <w:sz w:val="24"/>
          <w:szCs w:val="24"/>
        </w:rPr>
        <w:instrText xml:space="preserve"> SEQ Figure \* ARABIC </w:instrTex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71592B">
        <w:rPr>
          <w:rFonts w:ascii="Times New Roman" w:hAnsi="Times New Roman"/>
          <w:color w:val="auto"/>
          <w:sz w:val="24"/>
          <w:szCs w:val="24"/>
        </w:rPr>
        <w:t>:</w:t>
      </w:r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 xml:space="preserve">T. </w:t>
      </w:r>
      <w:proofErr w:type="spellStart"/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>gondii</w:t>
      </w:r>
      <w:proofErr w:type="spellEnd"/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 invasion of CHO-</w:t>
      </w:r>
      <w:proofErr w:type="spellStart"/>
      <w:r w:rsidR="00F356D7" w:rsidRPr="0071592B">
        <w:rPr>
          <w:rFonts w:ascii="Times New Roman" w:hAnsi="Times New Roman"/>
          <w:color w:val="auto"/>
          <w:sz w:val="24"/>
          <w:szCs w:val="24"/>
        </w:rPr>
        <w:t>hDC</w:t>
      </w:r>
      <w:proofErr w:type="spellEnd"/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-SIGN. </w:t>
      </w:r>
      <w:r w:rsidR="00F356D7" w:rsidRPr="0071592B">
        <w:rPr>
          <w:rFonts w:ascii="Times New Roman" w:hAnsi="Times New Roman"/>
          <w:b w:val="0"/>
          <w:color w:val="auto"/>
          <w:sz w:val="24"/>
          <w:szCs w:val="24"/>
        </w:rPr>
        <w:t xml:space="preserve">Cells were visualized using white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light and the GFP-labeled </w:t>
      </w:r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T. </w:t>
      </w:r>
      <w:proofErr w:type="spellStart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>gondii</w:t>
      </w:r>
      <w:proofErr w:type="spellEnd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were visualized using fluorescent light and the 2 views merged as shown in the figure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to illustrate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 GFP labeled intracellular parasites within adherent cells (CHO </w:t>
      </w:r>
      <w:proofErr w:type="spellStart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vs</w:t>
      </w:r>
      <w:proofErr w:type="spell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 CHO-</w:t>
      </w:r>
      <w:proofErr w:type="spellStart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hDC</w:t>
      </w:r>
      <w:proofErr w:type="spell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-SIGN) and extracellular parasites after 8 hours of co-culture. (A: Adherent cells on the wall of the plate; B: </w:t>
      </w:r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T. </w:t>
      </w:r>
      <w:proofErr w:type="spellStart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>gondii</w:t>
      </w:r>
      <w:proofErr w:type="spellEnd"/>
      <w:r w:rsidR="00F356D7" w:rsidRPr="00AA69E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infected cell; C: Extracellular parasite; D: A cluster of parasites infecting a cell); Scale bar is approximately 10</w:t>
      </w:r>
      <w:r w:rsidR="00F356D7" w:rsidRPr="00AA69E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µm). </w:t>
      </w:r>
    </w:p>
    <w:p w:rsidR="00F356D7" w:rsidRPr="00AA69EA" w:rsidRDefault="00F356D7" w:rsidP="00F356D7"/>
    <w:p w:rsidR="00F356D7" w:rsidRDefault="00F356D7" w:rsidP="00F356D7">
      <w:pPr>
        <w:pStyle w:val="Caption"/>
        <w:spacing w:after="0"/>
        <w:rPr>
          <w:rFonts w:ascii="Times New Roman" w:hAnsi="Times New Roman"/>
          <w:color w:val="auto"/>
          <w:sz w:val="24"/>
          <w:szCs w:val="24"/>
        </w:rPr>
      </w:pPr>
      <w:r w:rsidRPr="00F356D7">
        <w:rPr>
          <w:rFonts w:ascii="Times New Roman" w:hAnsi="Times New Roman"/>
          <w:noProof/>
          <w:color w:val="auto"/>
          <w:sz w:val="24"/>
          <w:szCs w:val="24"/>
          <w:lang w:eastAsia="en-US"/>
        </w:rPr>
        <w:lastRenderedPageBreak/>
        <w:drawing>
          <wp:inline distT="0" distB="0" distL="0" distR="0">
            <wp:extent cx="5266597" cy="3041374"/>
            <wp:effectExtent l="0" t="0" r="0" b="6985"/>
            <wp:docPr id="3" name="图片 3" descr="H:\Submit TFImm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ubmit TFImm\Figure 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6"/>
                    <a:stretch/>
                  </pic:blipFill>
                  <pic:spPr bwMode="auto">
                    <a:xfrm>
                      <a:off x="0" y="0"/>
                      <a:ext cx="5274310" cy="30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6D7" w:rsidRDefault="0071592B" w:rsidP="0071592B">
      <w:pPr>
        <w:pStyle w:val="Caption"/>
        <w:rPr>
          <w:rFonts w:ascii="Times New Roman" w:hAnsi="Times New Roman"/>
          <w:b w:val="0"/>
          <w:sz w:val="24"/>
          <w:szCs w:val="24"/>
        </w:rPr>
      </w:pPr>
      <w:r w:rsidRPr="0071592B">
        <w:rPr>
          <w:rFonts w:ascii="Times New Roman" w:hAnsi="Times New Roman"/>
          <w:color w:val="auto"/>
          <w:sz w:val="24"/>
          <w:szCs w:val="24"/>
        </w:rPr>
        <w:t>Figure S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1592B">
        <w:rPr>
          <w:rFonts w:ascii="Times New Roman" w:hAnsi="Times New Roman"/>
          <w:color w:val="auto"/>
          <w:sz w:val="24"/>
          <w:szCs w:val="24"/>
        </w:rPr>
        <w:instrText xml:space="preserve"> SEQ Figure \* ARABIC </w:instrTex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71592B">
        <w:rPr>
          <w:rFonts w:ascii="Times New Roman" w:hAnsi="Times New Roman"/>
          <w:noProof/>
          <w:color w:val="auto"/>
          <w:sz w:val="24"/>
          <w:szCs w:val="24"/>
        </w:rPr>
        <w:t>3</w:t>
      </w:r>
      <w:r w:rsidRPr="007159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71592B">
        <w:rPr>
          <w:rFonts w:ascii="Times New Roman" w:hAnsi="Times New Roman"/>
          <w:color w:val="auto"/>
          <w:sz w:val="24"/>
          <w:szCs w:val="24"/>
        </w:rPr>
        <w:t>:</w:t>
      </w:r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 CD09 may be involved in the invasion of </w:t>
      </w:r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 xml:space="preserve">T. </w:t>
      </w:r>
      <w:proofErr w:type="spellStart"/>
      <w:r w:rsidR="00F356D7" w:rsidRPr="0071592B">
        <w:rPr>
          <w:rFonts w:ascii="Times New Roman" w:hAnsi="Times New Roman"/>
          <w:i/>
          <w:color w:val="auto"/>
          <w:sz w:val="24"/>
          <w:szCs w:val="24"/>
        </w:rPr>
        <w:t>gondii</w:t>
      </w:r>
      <w:proofErr w:type="spellEnd"/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 into </w:t>
      </w:r>
      <w:r w:rsidR="005075E1">
        <w:rPr>
          <w:rFonts w:ascii="Times New Roman" w:hAnsi="Times New Roman"/>
          <w:color w:val="auto"/>
          <w:sz w:val="24"/>
          <w:szCs w:val="24"/>
        </w:rPr>
        <w:t>CHO-</w:t>
      </w:r>
      <w:proofErr w:type="spellStart"/>
      <w:r w:rsidR="005075E1">
        <w:rPr>
          <w:rFonts w:ascii="Times New Roman" w:hAnsi="Times New Roman"/>
          <w:color w:val="auto"/>
          <w:sz w:val="24"/>
          <w:szCs w:val="24"/>
        </w:rPr>
        <w:t>hDC</w:t>
      </w:r>
      <w:proofErr w:type="spellEnd"/>
      <w:r w:rsidR="005075E1">
        <w:rPr>
          <w:rFonts w:ascii="Times New Roman" w:hAnsi="Times New Roman"/>
          <w:color w:val="auto"/>
          <w:sz w:val="24"/>
          <w:szCs w:val="24"/>
        </w:rPr>
        <w:t>-SIGN</w:t>
      </w:r>
      <w:bookmarkStart w:id="0" w:name="_GoBack"/>
      <w:bookmarkEnd w:id="0"/>
      <w:r w:rsidR="00F356D7" w:rsidRPr="0071592B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F356D7" w:rsidRPr="0071592B">
        <w:rPr>
          <w:rFonts w:ascii="Times New Roman" w:hAnsi="Times New Roman"/>
          <w:b w:val="0"/>
          <w:color w:val="auto"/>
          <w:sz w:val="24"/>
          <w:szCs w:val="24"/>
        </w:rPr>
        <w:t xml:space="preserve">Increased </w:t>
      </w:r>
      <w:r w:rsidR="00F356D7" w:rsidRPr="0071592B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T. </w:t>
      </w:r>
      <w:proofErr w:type="spellStart"/>
      <w:r w:rsidR="00F356D7" w:rsidRPr="0071592B">
        <w:rPr>
          <w:rFonts w:ascii="Times New Roman" w:hAnsi="Times New Roman"/>
          <w:b w:val="0"/>
          <w:i/>
          <w:color w:val="auto"/>
          <w:sz w:val="24"/>
          <w:szCs w:val="24"/>
        </w:rPr>
        <w:t>gondii</w:t>
      </w:r>
      <w:proofErr w:type="spellEnd"/>
      <w:r w:rsidR="00F356D7" w:rsidRPr="0071592B">
        <w:rPr>
          <w:rFonts w:ascii="Times New Roman" w:hAnsi="Times New Roman"/>
          <w:b w:val="0"/>
          <w:color w:val="auto"/>
          <w:sz w:val="24"/>
          <w:szCs w:val="24"/>
        </w:rPr>
        <w:t xml:space="preserve"> adherence to the cell membrane of </w:t>
      </w:r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CHO-</w:t>
      </w:r>
      <w:proofErr w:type="spellStart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hDC</w:t>
      </w:r>
      <w:proofErr w:type="spell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>-SIGN in clusters and formation of spherical shapes around the cells.</w:t>
      </w:r>
      <w:proofErr w:type="gramEnd"/>
      <w:r w:rsidR="00F356D7" w:rsidRPr="00AA69EA">
        <w:rPr>
          <w:rFonts w:ascii="Times New Roman" w:hAnsi="Times New Roman"/>
          <w:b w:val="0"/>
          <w:color w:val="auto"/>
          <w:sz w:val="24"/>
          <w:szCs w:val="24"/>
        </w:rPr>
        <w:t xml:space="preserve"> Most of the parasites appear to be located on the </w:t>
      </w:r>
      <w:r w:rsidR="00F356D7">
        <w:rPr>
          <w:rFonts w:ascii="Times New Roman" w:hAnsi="Times New Roman"/>
          <w:b w:val="0"/>
          <w:color w:val="auto"/>
          <w:sz w:val="24"/>
          <w:szCs w:val="24"/>
        </w:rPr>
        <w:t>cell membrane and not the cytoplasm and also fluoresce more than in CHO cells. Data represent at least three independent experiments with similar results.</w:t>
      </w:r>
    </w:p>
    <w:p w:rsidR="00F356D7" w:rsidRPr="00F356D7" w:rsidRDefault="00F356D7"/>
    <w:sectPr w:rsidR="00F356D7" w:rsidRPr="00F3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7"/>
    <w:rsid w:val="005075E1"/>
    <w:rsid w:val="0071592B"/>
    <w:rsid w:val="00913927"/>
    <w:rsid w:val="00951B15"/>
    <w:rsid w:val="00A31092"/>
    <w:rsid w:val="00F01044"/>
    <w:rsid w:val="00F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356D7"/>
    <w:pPr>
      <w:spacing w:after="200"/>
    </w:pPr>
    <w:rPr>
      <w:rFonts w:ascii="DengXian" w:eastAsia="DengXian" w:hAnsi="DengXian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356D7"/>
    <w:pPr>
      <w:spacing w:after="200"/>
    </w:pPr>
    <w:rPr>
      <w:rFonts w:ascii="DengXian" w:eastAsia="DengXian" w:hAnsi="DengXian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74BF-7D95-4186-8105-11E7EC85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Yingmiao Zhang</dc:creator>
  <cp:lastModifiedBy>Livie</cp:lastModifiedBy>
  <cp:revision>2</cp:revision>
  <dcterms:created xsi:type="dcterms:W3CDTF">2020-04-10T22:11:00Z</dcterms:created>
  <dcterms:modified xsi:type="dcterms:W3CDTF">2020-04-10T22:11:00Z</dcterms:modified>
</cp:coreProperties>
</file>