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:rsidR="001E41C0" w:rsidRDefault="00654E8F" w:rsidP="001E41C0">
      <w:pPr>
        <w:pStyle w:val="1"/>
        <w:rPr>
          <w:rFonts w:eastAsiaTheme="minorEastAsia" w:hint="eastAsia"/>
          <w:lang w:eastAsia="zh-CN"/>
        </w:rPr>
      </w:pPr>
      <w:r w:rsidRPr="00994A3D">
        <w:t>Supplementary Tables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1441"/>
        <w:gridCol w:w="1685"/>
        <w:gridCol w:w="1932"/>
        <w:gridCol w:w="236"/>
        <w:gridCol w:w="606"/>
        <w:gridCol w:w="597"/>
        <w:gridCol w:w="236"/>
        <w:gridCol w:w="606"/>
        <w:gridCol w:w="597"/>
        <w:gridCol w:w="614"/>
      </w:tblGrid>
      <w:tr w:rsidR="001E41C0" w:rsidTr="00EB36BC">
        <w:tc>
          <w:tcPr>
            <w:tcW w:w="8536" w:type="dxa"/>
            <w:gridSpan w:val="10"/>
            <w:tcBorders>
              <w:bottom w:val="single" w:sz="4" w:space="0" w:color="auto"/>
            </w:tcBorders>
          </w:tcPr>
          <w:p w:rsidR="001E41C0" w:rsidRDefault="001E41C0" w:rsidP="00EB36BC">
            <w:pPr>
              <w:rPr>
                <w:rFonts w:ascii="AdvOT7fb33346.I" w:hAnsi="AdvOT7fb33346.I"/>
                <w:color w:val="000000"/>
                <w:sz w:val="13"/>
                <w:szCs w:val="13"/>
              </w:rPr>
            </w:pPr>
            <w:r w:rsidRPr="001E41C0">
              <w:rPr>
                <w:sz w:val="15"/>
                <w:szCs w:val="15"/>
              </w:rPr>
              <w:t>Supplementary</w:t>
            </w:r>
            <w:r>
              <w:rPr>
                <w:rFonts w:hint="eastAsia"/>
                <w:sz w:val="15"/>
                <w:szCs w:val="15"/>
              </w:rPr>
              <w:t xml:space="preserve"> Tabl</w:t>
            </w:r>
            <w:r>
              <w:rPr>
                <w:rFonts w:hint="eastAsia"/>
                <w:sz w:val="15"/>
                <w:szCs w:val="15"/>
                <w:lang w:eastAsia="zh-CN"/>
              </w:rPr>
              <w:t>e S1</w:t>
            </w:r>
            <w:r>
              <w:rPr>
                <w:rFonts w:hint="eastAsia"/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  <w:lang w:eastAsia="zh-CN"/>
              </w:rPr>
              <w:t>F</w:t>
            </w:r>
            <w:r>
              <w:rPr>
                <w:sz w:val="15"/>
                <w:szCs w:val="15"/>
              </w:rPr>
              <w:t>unctional pathways di</w:t>
            </w:r>
            <w:r>
              <w:rPr>
                <w:rFonts w:ascii="AdvOT596495f2+fb" w:hAnsi="AdvOT596495f2+fb"/>
                <w:sz w:val="15"/>
                <w:szCs w:val="15"/>
              </w:rPr>
              <w:t>f</w:t>
            </w:r>
            <w:r>
              <w:rPr>
                <w:rFonts w:ascii="AdvOT596495f2+fb" w:hAnsi="AdvOT596495f2+fb" w:hint="eastAsia"/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 xml:space="preserve">erences at level 2 inferred from 16S </w:t>
            </w:r>
            <w:proofErr w:type="spellStart"/>
            <w:r>
              <w:rPr>
                <w:sz w:val="15"/>
                <w:szCs w:val="15"/>
              </w:rPr>
              <w:t>rRNA</w:t>
            </w:r>
            <w:proofErr w:type="spellEnd"/>
            <w:r>
              <w:rPr>
                <w:sz w:val="15"/>
                <w:szCs w:val="15"/>
              </w:rPr>
              <w:t xml:space="preserve"> gene sequences using </w:t>
            </w:r>
            <w:proofErr w:type="spellStart"/>
            <w:r>
              <w:rPr>
                <w:sz w:val="15"/>
                <w:szCs w:val="15"/>
              </w:rPr>
              <w:t>PICRUSt</w:t>
            </w:r>
            <w:proofErr w:type="spellEnd"/>
            <w:r>
              <w:rPr>
                <w:rFonts w:hint="eastAsia"/>
                <w:sz w:val="15"/>
                <w:szCs w:val="15"/>
              </w:rPr>
              <w:t>.</w:t>
            </w:r>
          </w:p>
        </w:tc>
      </w:tr>
      <w:tr w:rsidR="001E41C0" w:rsidTr="00EB36BC">
        <w:tc>
          <w:tcPr>
            <w:tcW w:w="505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/>
                <w:color w:val="000000"/>
                <w:sz w:val="13"/>
                <w:szCs w:val="13"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KO functional categories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  <w:r>
              <w:rPr>
                <w:rFonts w:ascii="AdvOT596495f2" w:hAnsi="AdvOT596495f2" w:hint="eastAsia"/>
                <w:color w:val="000000"/>
                <w:sz w:val="13"/>
                <w:szCs w:val="13"/>
              </w:rPr>
              <w:t>PO</w:t>
            </w:r>
            <w:r>
              <w:rPr>
                <w:rFonts w:ascii="AdvOT596495f2" w:hAnsi="AdvOT596495f2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</w:rPr>
            </w:pPr>
            <w:r>
              <w:rPr>
                <w:rFonts w:ascii="AdvOT596495f2" w:hAnsi="AdvOT596495f2" w:hint="eastAsia"/>
                <w:color w:val="000000"/>
                <w:sz w:val="13"/>
                <w:szCs w:val="13"/>
              </w:rPr>
              <w:t>HC</w:t>
            </w:r>
            <w:r>
              <w:rPr>
                <w:rFonts w:ascii="AdvOT596495f2" w:hAnsi="AdvOT596495f2"/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</w:tcBorders>
          </w:tcPr>
          <w:p w:rsidR="001E41C0" w:rsidRDefault="001E41C0" w:rsidP="00EB36BC">
            <w:pPr>
              <w:rPr>
                <w:rFonts w:hint="eastAsia"/>
                <w:b/>
              </w:rPr>
            </w:pPr>
          </w:p>
        </w:tc>
      </w:tr>
      <w:tr w:rsidR="001E41C0" w:rsidTr="00EB36BC">
        <w:tc>
          <w:tcPr>
            <w:tcW w:w="1441" w:type="dxa"/>
            <w:tcBorders>
              <w:top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Level_1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Level_</w:t>
            </w:r>
            <w:r>
              <w:rPr>
                <w:rFonts w:ascii="AdvOT596495f2" w:hAnsi="AdvOT596495f2" w:hint="eastAsia"/>
                <w:color w:val="000000"/>
                <w:sz w:val="13"/>
                <w:szCs w:val="13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Level_</w:t>
            </w:r>
            <w:r>
              <w:rPr>
                <w:rFonts w:ascii="AdvOT596495f2" w:hAnsi="AdvOT596495f2" w:hint="eastAsia"/>
                <w:color w:val="000000"/>
                <w:sz w:val="13"/>
                <w:szCs w:val="13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/>
                <w:color w:val="000000"/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 w:hint="eastAsia"/>
                <w:color w:val="000000"/>
                <w:sz w:val="13"/>
                <w:szCs w:val="13"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mean%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7fb33346.I" w:hAnsi="AdvOT7fb33346.I"/>
                <w:color w:val="000000"/>
                <w:sz w:val="13"/>
                <w:szCs w:val="13"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SD%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596495f2" w:hAnsi="AdvOT596495f2"/>
                <w:color w:val="000000"/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ascii="AdvOT7fb33346.I" w:hAnsi="AdvOT7fb33346.I"/>
                <w:color w:val="000000"/>
                <w:sz w:val="13"/>
                <w:szCs w:val="13"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mean%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</w:rPr>
            </w:pPr>
            <w:r>
              <w:rPr>
                <w:rFonts w:ascii="AdvOT596495f2" w:hAnsi="AdvOT596495f2"/>
                <w:color w:val="000000"/>
                <w:sz w:val="13"/>
                <w:szCs w:val="13"/>
              </w:rPr>
              <w:t>SD%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</w:tcBorders>
          </w:tcPr>
          <w:p w:rsidR="001E41C0" w:rsidRDefault="001E41C0" w:rsidP="00EB36BC">
            <w:pPr>
              <w:rPr>
                <w:rFonts w:hint="eastAsia"/>
                <w:b/>
              </w:rPr>
            </w:pPr>
            <w:r>
              <w:rPr>
                <w:rFonts w:ascii="AdvOT7fb33346.I" w:hAnsi="AdvOT7fb33346.I"/>
                <w:color w:val="000000"/>
                <w:sz w:val="13"/>
                <w:szCs w:val="13"/>
              </w:rPr>
              <w:t>P</w:t>
            </w:r>
            <w:r>
              <w:rPr>
                <w:rFonts w:ascii="AdvOT596495f2" w:hAnsi="AdvOT596495f2"/>
                <w:color w:val="000000"/>
                <w:sz w:val="13"/>
                <w:szCs w:val="13"/>
              </w:rPr>
              <w:t>-value</w:t>
            </w:r>
          </w:p>
        </w:tc>
      </w:tr>
      <w:tr w:rsidR="001E41C0" w:rsidTr="00EB36BC">
        <w:tc>
          <w:tcPr>
            <w:tcW w:w="1441" w:type="dxa"/>
            <w:tcBorders>
              <w:top w:val="single" w:sz="4" w:space="0" w:color="auto"/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Membrane Transport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Transporters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0.072645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0.007932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0.08038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0.00937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Membrane Transport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ABC transporters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0.036335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0.004046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0.038695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0.004521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Poorly Characterized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General function prediction only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0.035646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0.001376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0.03502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0.001232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Replication and Repair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DNA repair and recombination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roteins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0.027504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0.001527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0.026628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0.001922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Ribosome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0.023159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0.002092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0.021678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0.002537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Transcription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Transcription factors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0.018883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0.001902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0.020149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0.002001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0.002024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Enzyme Families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Peptidases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0.018743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0.000917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0.018248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0.000856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Nucleotide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Pyrimidine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0.018152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0.001257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0.017304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0.001472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Replication and Repair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Chromosome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0.016372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0.000883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0.015532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0.001366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Amino Acid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Amino acid related enzymes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0.015033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0.000848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0.014364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0.001109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Ribosome Biogenesis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0.014793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0.000746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0.014243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Amino Acid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Arginine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proline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0.012723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0.000593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0.012418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0.000787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Energy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Methane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0.011665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0.000996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0.012452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0.001156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Replication and Repair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DNA replication proteins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0.012244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0.000854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0.011672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0.001116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Amino Acid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Alanine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aspartate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glutamate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0.010957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0.000787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0.010399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0.000938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Amino Acid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Cysteine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methionine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0.00991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0.009637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Genetic Information Processing;; 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Folding, Sorting and Degradation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Chaperones and folding catalysts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0.009884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0.000674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0.009201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Fructose and mannose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0.008866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0.001022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0.010167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0.002867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lastRenderedPageBreak/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Transcription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Transcription machinery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0.010062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0.009431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0.001339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0.010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Pentose phosphate pathway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0.00921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0.000502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0.009757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0.001128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Others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0.008659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0.000757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0.009562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0.000677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 proteins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0.009212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0.000461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0.008807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0.000608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Replication and Repair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Homologous recombination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0.008986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0.000588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0.00865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0.000815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Energy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0.008702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0.000717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0.007865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0.000646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Energy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Carbon fixation pathways in prokaryotes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0.008544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0.00789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0.000753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Glycan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Peptidoglycan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0.008364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0.000602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0.008058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0.000744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0.029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Butanoate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0.006068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0.000693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0.005764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Membrane Transport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Bacterial secretion system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0.005955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0.000804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0.005546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0.001044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Cofactors and Vitamins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One carbon pool by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folate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0.006151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0.000516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0.00569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0.000527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Folding, Sorting and Degradation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Protein export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0.005841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0.000419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0.005546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0.000441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biosynthesis proteins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0.005779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0.000304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0.005292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0.000487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Membrane Transport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Phosphotransferase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system (PTS)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0.003905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0.001713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0.006098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0.004539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Polyketides</w:t>
            </w:r>
            <w:proofErr w:type="spellEnd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backbone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0.005732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0.005376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0.000591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Cofactors and Vitamins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Thiamine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0.005546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0.000456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0.005264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0.000721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 factors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0.005237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0.004896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Energy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Photosynthesis proteins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0.005079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0.000638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0.004607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0.000937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Energy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Photosynthesis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0.005054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0.000661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0.00458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0.000965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Cellular Processes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Cell Growth and Death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Cell cycle -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Caulobacter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0.004925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0.000577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0.004696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0.000527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Citrate cycle (TCA cycle)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0.004875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0.000864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0.004418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0.000767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Folding, Sorting and Degradation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RNA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0.004589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0.00426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0.000336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Cofactors and Vitamins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Nicotinate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nicotinamide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0.004256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0.000213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0.004144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0.000295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Glycerolipid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0.003848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0.004361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0.000415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lastRenderedPageBreak/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Replication and Repair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Nucleotide excision repair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0.003886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0.000362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0.003692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0.000455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Enzyme Families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Protein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kinases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0.003151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0.000415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0.003486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0.000548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C5-Branched dibasic acid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0.003243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0.000285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0.003409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0.000364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Polyketides</w:t>
            </w:r>
            <w:proofErr w:type="spellEnd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Prenyltransferases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0.002855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0.000286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0.002654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0.000241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Cofactors and Vitamins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Riboflavin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0.002451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0.002127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Biosynthesis of Other Secondary Metabolites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Phenylpropanoid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0.002047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0.000581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0.002294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0.000555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0.001746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0.000358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0.001926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Cofactors and Vitamins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Vitamin B6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0.001966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0.000148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0.001832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0.000178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Restriction enzyme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0.002075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0.000347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0.001765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0.000433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Amino acid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0.00152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0.000339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0.00178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0.000573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Chloroalkane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chloroalkene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0.001481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0.000745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0.001735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0.000449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0.047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Infectious Diseases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Tuberculosis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0.001649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0.001501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0.000239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0.000612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RNA transport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0.001379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0.000246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0.001553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0.000229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0.000562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Polyketides</w:t>
            </w:r>
            <w:proofErr w:type="spellEnd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Biosynthesis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ansamycins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0.001374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0.000199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0.001503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0.000261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Cellular Processes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Transport and Catabolism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Peroxisome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0.001554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0.000224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0.000202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Other Amino Acids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D-Glutamine and D-glutamate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0.001453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9.28E-05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0.000118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Biosynthesis of Other Secondary Metabolites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Novobiocin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0.001402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0.000192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0.001273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Polyketides</w:t>
            </w:r>
            <w:proofErr w:type="spellEnd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Tetracycline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0.001113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0.000291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0.001241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0.000336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0.048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Biosynthesis of Other Secondary Metabolites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Tropane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piperidine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pyridine alkaloid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0.001133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0.000218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0.001033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Ascorbate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aldarate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0.000725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0.000474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0.001088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0.000758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Naphthalene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0.000937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0.000269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0.001066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0.000301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0.029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Signaling Molecules and Interaction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Bacterial toxins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0.000906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0.000201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0.001045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0.000246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 of Other Amino Acids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Taurine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hypotaurine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9.71E-05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0.000903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Organismal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Systems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Endocrine System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PPAR signaling pathway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0.001071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0.000237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0.000908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0.000175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Carbohydrate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Inositol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phosphate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0.000747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0.000189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0.000887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0.000336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0.014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lastRenderedPageBreak/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Toluene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0.000753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0.000436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0.000559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0.000365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0.020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Polyketides</w:t>
            </w:r>
            <w:proofErr w:type="spellEnd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Limonene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pinene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0.000504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0.000237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0.000621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0.038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Dioxin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0.000436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0.000155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0.000611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Xylene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0.000417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0.000577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Organismal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Systems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Endocrine System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Adipocytokine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signaling pathway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0.00063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0.000214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0.000465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0.000176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Biosynthesis of Other Secondary Metabolites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Isoquinoline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alkaloid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0.00051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9.82E-05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0.000429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9.78E-05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Translation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Ribosome biogenesis in eukaryotes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0.000481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4.47E-05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0.000459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5.40E-05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Metabolic Diseases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Type I diabetes mellitus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0.000487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4.94E-05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0.000454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5.96E-05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 xml:space="preserve">Metabolism of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Terpenoids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Polyketides</w:t>
            </w:r>
            <w:proofErr w:type="spellEnd"/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Zeatin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0.000495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7.37E-05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0.000441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5.90E-05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Immune System Diseases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Primary immunodeficiency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0.000389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0.000139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0.000124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Cancers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Pathways in cancer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0.00046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6.48E-05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0.000438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4.18E-05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Organismal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Systems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Immune System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NOD-like receptor signaling pathway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0.000443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7.70E-05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0.000411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6.32E-05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Primary bile acid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0.000373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0.000435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0.00013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0.020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Secondary bile acid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0.000371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0.000128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0.000432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0.00013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0.022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Styrene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0.000111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7.20E-05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0.000179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0.000157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Xenobiotics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Biodegradation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Atrazine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degradation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0.000118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8.07E-05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0.000165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0.000139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Signaling Molecules and Interaction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Cellular antigens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0.000203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0.000222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0.000112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Biosynthesis of Other Secondary Metabolites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Flavone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and 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flavonol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0.000168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6.29E-05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6.21E-05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Arachidonic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acid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0.000148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0.000151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8.53E-05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Replication and Repair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Non-homologous end-joining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3.73E-05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2.73E-05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8.19E-05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0.000141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Organismal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Systems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Digestive System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Protein digestion and absorption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9.72E-05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0.000148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3.88E-05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5.58E-05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0.013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Infectious Diseases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Amoebiasis</w:t>
            </w:r>
            <w:proofErr w:type="spellEnd"/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3.77E-05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2.37E-05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5.82E-05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5.68E-05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0.025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Neurodegenerative Diseases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Prion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diseases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2.82E-05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3.43E-05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4.77E-05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4.98E-05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0.028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Genetic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Transcription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Basal transcription factors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5.43E-05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4.32E-05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1.95E-05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2.32E-05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lastRenderedPageBreak/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Lipid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Ether lipid metabolism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2.37E-05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2.09E-05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4.02E-05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5.02E-05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0.040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Metabolism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Glycan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 and Metabolism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Various types of N-</w:t>
            </w:r>
            <w:proofErr w:type="spellStart"/>
            <w:r>
              <w:rPr>
                <w:rFonts w:hint="eastAsia"/>
                <w:color w:val="000000"/>
                <w:sz w:val="10"/>
                <w:szCs w:val="10"/>
              </w:rPr>
              <w:t>glycan</w:t>
            </w:r>
            <w:proofErr w:type="spellEnd"/>
            <w:r>
              <w:rPr>
                <w:rFonts w:hint="eastAsia"/>
                <w:color w:val="000000"/>
                <w:sz w:val="10"/>
                <w:szCs w:val="10"/>
              </w:rPr>
              <w:t xml:space="preserve"> biosynthesis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4.78E-07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9.60E-07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1.38E-07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3.10E-07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0.023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Human Diseases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Infectious Diseases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Influenza A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2.36E-07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6.81E-07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9.98E-09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2.22E-08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0.026</w:t>
            </w:r>
          </w:p>
        </w:tc>
      </w:tr>
      <w:tr w:rsidR="001E41C0" w:rsidTr="00EB36BC">
        <w:tc>
          <w:tcPr>
            <w:tcW w:w="1441" w:type="dxa"/>
            <w:tcBorders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Membrane Transport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Transporters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0.072645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0.007932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0.08038</w:t>
            </w:r>
          </w:p>
        </w:tc>
        <w:tc>
          <w:tcPr>
            <w:tcW w:w="597" w:type="dxa"/>
            <w:tcBorders>
              <w:left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0.00937</w:t>
            </w:r>
          </w:p>
        </w:tc>
        <w:tc>
          <w:tcPr>
            <w:tcW w:w="614" w:type="dxa"/>
            <w:tcBorders>
              <w:lef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&lt;0.001</w:t>
            </w:r>
          </w:p>
        </w:tc>
      </w:tr>
      <w:tr w:rsidR="001E41C0" w:rsidTr="00EB36BC">
        <w:tc>
          <w:tcPr>
            <w:tcW w:w="1441" w:type="dxa"/>
            <w:tcBorders>
              <w:bottom w:val="nil"/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Environmental Information Processing</w:t>
            </w:r>
          </w:p>
        </w:tc>
        <w:tc>
          <w:tcPr>
            <w:tcW w:w="1685" w:type="dxa"/>
            <w:tcBorders>
              <w:left w:val="nil"/>
              <w:bottom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Membrane Transport</w:t>
            </w: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ABC transporters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0.036335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0.004046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bottom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0.038695</w:t>
            </w: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0.004521</w:t>
            </w:r>
          </w:p>
        </w:tc>
        <w:tc>
          <w:tcPr>
            <w:tcW w:w="614" w:type="dxa"/>
            <w:tcBorders>
              <w:left w:val="nil"/>
              <w:bottom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0.008</w:t>
            </w:r>
          </w:p>
        </w:tc>
      </w:tr>
      <w:tr w:rsidR="001E41C0" w:rsidTr="00EB36BC">
        <w:tc>
          <w:tcPr>
            <w:tcW w:w="1441" w:type="dxa"/>
            <w:tcBorders>
              <w:bottom w:val="single" w:sz="4" w:space="0" w:color="auto"/>
              <w:right w:val="nil"/>
            </w:tcBorders>
            <w:vAlign w:val="center"/>
          </w:tcPr>
          <w:p w:rsidR="001E41C0" w:rsidRDefault="001E41C0" w:rsidP="00EB36BC">
            <w:pPr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Unclassified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Poorly Characterized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rPr>
                <w:rFonts w:hint="eastAsia"/>
                <w:b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General function prediction only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0.035646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0.001376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</w:tcPr>
          <w:p w:rsidR="001E41C0" w:rsidRDefault="001E41C0" w:rsidP="00EB36BC">
            <w:pPr>
              <w:jc w:val="right"/>
              <w:rPr>
                <w:rFonts w:hint="eastAsia"/>
                <w:color w:val="000000"/>
                <w:sz w:val="10"/>
                <w:szCs w:val="10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0.03502</w:t>
            </w:r>
          </w:p>
        </w:tc>
        <w:tc>
          <w:tcPr>
            <w:tcW w:w="5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0.001232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:rsidR="001E41C0" w:rsidRDefault="001E41C0" w:rsidP="00EB36BC">
            <w:pPr>
              <w:jc w:val="right"/>
              <w:rPr>
                <w:rFonts w:ascii="宋体" w:hAnsi="宋体" w:cs="宋体"/>
                <w:color w:val="000000"/>
                <w:sz w:val="10"/>
                <w:szCs w:val="10"/>
              </w:rPr>
            </w:pPr>
            <w:r>
              <w:rPr>
                <w:rFonts w:hint="eastAsia"/>
                <w:color w:val="000000"/>
                <w:sz w:val="10"/>
                <w:szCs w:val="10"/>
              </w:rPr>
              <w:t>0.020</w:t>
            </w:r>
          </w:p>
        </w:tc>
      </w:tr>
    </w:tbl>
    <w:p w:rsidR="001E41C0" w:rsidRDefault="001E41C0" w:rsidP="001E41C0">
      <w:pPr>
        <w:rPr>
          <w:rFonts w:hint="eastAsia"/>
          <w:sz w:val="10"/>
          <w:szCs w:val="10"/>
        </w:rPr>
      </w:pPr>
      <w:r>
        <w:rPr>
          <w:sz w:val="10"/>
          <w:szCs w:val="10"/>
        </w:rPr>
        <w:t xml:space="preserve">Note: P value is obtained by </w:t>
      </w:r>
      <w:r>
        <w:rPr>
          <w:rFonts w:hint="eastAsia"/>
          <w:sz w:val="10"/>
          <w:szCs w:val="10"/>
        </w:rPr>
        <w:t>T-</w:t>
      </w:r>
      <w:r>
        <w:rPr>
          <w:sz w:val="10"/>
          <w:szCs w:val="10"/>
        </w:rPr>
        <w:t>test.</w:t>
      </w:r>
      <w:r>
        <w:rPr>
          <w:rFonts w:hint="eastAsia"/>
          <w:sz w:val="10"/>
          <w:szCs w:val="10"/>
        </w:rPr>
        <w:t xml:space="preserve"> </w:t>
      </w:r>
      <w:r>
        <w:rPr>
          <w:sz w:val="10"/>
          <w:szCs w:val="10"/>
        </w:rPr>
        <w:t xml:space="preserve">Data are given as </w:t>
      </w:r>
      <w:proofErr w:type="spellStart"/>
      <w:r>
        <w:rPr>
          <w:sz w:val="10"/>
          <w:szCs w:val="10"/>
        </w:rPr>
        <w:t>mean%,SD</w:t>
      </w:r>
      <w:proofErr w:type="spellEnd"/>
      <w:r>
        <w:rPr>
          <w:sz w:val="10"/>
          <w:szCs w:val="10"/>
        </w:rPr>
        <w:t xml:space="preserve">%;Abbreviations: PO, primary </w:t>
      </w:r>
      <w:proofErr w:type="spellStart"/>
      <w:r>
        <w:rPr>
          <w:sz w:val="10"/>
          <w:szCs w:val="10"/>
        </w:rPr>
        <w:t>osteoporosis;HC</w:t>
      </w:r>
      <w:proofErr w:type="spellEnd"/>
      <w:r>
        <w:rPr>
          <w:sz w:val="10"/>
          <w:szCs w:val="10"/>
        </w:rPr>
        <w:t xml:space="preserve">, normal cognition healthy control; KEGG, Kyoto Encyclopedia of Genes and Genomes; </w:t>
      </w:r>
      <w:proofErr w:type="spellStart"/>
      <w:r>
        <w:rPr>
          <w:sz w:val="10"/>
          <w:szCs w:val="10"/>
        </w:rPr>
        <w:t>PICRUSt</w:t>
      </w:r>
      <w:proofErr w:type="spellEnd"/>
      <w:r>
        <w:rPr>
          <w:sz w:val="10"/>
          <w:szCs w:val="10"/>
        </w:rPr>
        <w:t xml:space="preserve">, </w:t>
      </w:r>
      <w:proofErr w:type="spellStart"/>
      <w:r>
        <w:rPr>
          <w:sz w:val="10"/>
          <w:szCs w:val="10"/>
        </w:rPr>
        <w:t>Phylogenetic</w:t>
      </w:r>
      <w:proofErr w:type="spellEnd"/>
      <w:r>
        <w:rPr>
          <w:sz w:val="10"/>
          <w:szCs w:val="10"/>
        </w:rPr>
        <w:t xml:space="preserve"> Investigation of Communities by Reconstruction of Unobserved States; KO, KEGG </w:t>
      </w:r>
      <w:proofErr w:type="spellStart"/>
      <w:r>
        <w:rPr>
          <w:sz w:val="10"/>
          <w:szCs w:val="10"/>
        </w:rPr>
        <w:t>Ortholog</w:t>
      </w:r>
      <w:proofErr w:type="spellEnd"/>
      <w:r>
        <w:rPr>
          <w:sz w:val="10"/>
          <w:szCs w:val="10"/>
        </w:rPr>
        <w:t>; SD: standard deviation.</w:t>
      </w:r>
    </w:p>
    <w:p w:rsidR="001E41C0" w:rsidRPr="001E41C0" w:rsidRDefault="001E41C0" w:rsidP="001E41C0">
      <w:pPr>
        <w:rPr>
          <w:rFonts w:hint="eastAsia"/>
          <w:lang w:eastAsia="zh-CN"/>
        </w:rPr>
      </w:pPr>
    </w:p>
    <w:p w:rsidR="00994A3D" w:rsidRPr="001E41C0" w:rsidRDefault="00994A3D" w:rsidP="001E41C0">
      <w:pPr>
        <w:pStyle w:val="1"/>
        <w:rPr>
          <w:rFonts w:eastAsiaTheme="minorEastAsia"/>
          <w:lang w:eastAsia="zh-CN"/>
        </w:rPr>
      </w:pPr>
      <w:r w:rsidRPr="0001436A">
        <w:t>Supplementary</w:t>
      </w:r>
      <w:r w:rsidRPr="001549D3">
        <w:t xml:space="preserve"> Figures</w:t>
      </w:r>
    </w:p>
    <w:p w:rsidR="00994A3D" w:rsidRDefault="00994A3D" w:rsidP="001E41C0">
      <w:pPr>
        <w:keepNext/>
        <w:rPr>
          <w:rFonts w:cs="Times New Roman" w:hint="eastAsia"/>
          <w:szCs w:val="24"/>
          <w:lang w:eastAsia="zh-CN"/>
        </w:rPr>
      </w:pPr>
    </w:p>
    <w:p w:rsidR="001E41C0" w:rsidRPr="001549D3" w:rsidRDefault="001E41C0" w:rsidP="001E41C0">
      <w:pPr>
        <w:keepNext/>
        <w:jc w:val="center"/>
        <w:rPr>
          <w:rFonts w:cs="Times New Roman" w:hint="eastAsia"/>
          <w:szCs w:val="24"/>
          <w:lang w:eastAsia="zh-CN"/>
        </w:rPr>
      </w:pPr>
      <w:r>
        <w:rPr>
          <w:rFonts w:cs="Times New Roman" w:hint="eastAsia"/>
          <w:noProof/>
          <w:szCs w:val="24"/>
          <w:lang w:eastAsia="zh-CN"/>
        </w:rPr>
        <w:drawing>
          <wp:inline distT="0" distB="0" distL="0" distR="0">
            <wp:extent cx="4050000" cy="1317275"/>
            <wp:effectExtent l="19050" t="0" r="7650" b="0"/>
            <wp:docPr id="2" name="图片 1" descr="Figure.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13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3D" w:rsidRDefault="00994A3D" w:rsidP="002B4A57">
      <w:pPr>
        <w:keepNext/>
        <w:rPr>
          <w:rFonts w:hint="eastAsia"/>
          <w:color w:val="000000"/>
          <w:szCs w:val="21"/>
          <w:lang w:eastAsia="zh-CN"/>
        </w:rPr>
      </w:pPr>
      <w:proofErr w:type="gramStart"/>
      <w:r w:rsidRPr="0001436A">
        <w:rPr>
          <w:rFonts w:cs="Times New Roman"/>
          <w:b/>
          <w:szCs w:val="24"/>
        </w:rPr>
        <w:t xml:space="preserve">Supplementary Figure </w:t>
      </w:r>
      <w:r w:rsidR="001E41C0">
        <w:rPr>
          <w:rFonts w:cs="Times New Roman" w:hint="eastAsia"/>
          <w:b/>
          <w:szCs w:val="24"/>
          <w:lang w:eastAsia="zh-CN"/>
        </w:rPr>
        <w:t>S</w:t>
      </w:r>
      <w:r w:rsidR="00205D4F"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="00205D4F"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="00205D4F"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proofErr w:type="gramEnd"/>
      <w:r w:rsidRPr="001549D3">
        <w:rPr>
          <w:rFonts w:cs="Times New Roman"/>
          <w:szCs w:val="24"/>
        </w:rPr>
        <w:t xml:space="preserve"> </w:t>
      </w:r>
      <w:proofErr w:type="gramStart"/>
      <w:r w:rsidR="001E41C0">
        <w:rPr>
          <w:rFonts w:hint="eastAsia"/>
          <w:color w:val="000000"/>
          <w:szCs w:val="21"/>
        </w:rPr>
        <w:t xml:space="preserve">Correlation analysis between bone mineral density and species richness at the </w:t>
      </w:r>
      <w:r w:rsidR="001E41C0">
        <w:rPr>
          <w:rFonts w:hint="eastAsia"/>
          <w:color w:val="000000"/>
          <w:szCs w:val="21"/>
          <w:lang w:eastAsia="zh-CN"/>
        </w:rPr>
        <w:t>genus</w:t>
      </w:r>
      <w:r w:rsidR="001E41C0">
        <w:rPr>
          <w:rFonts w:hint="eastAsia"/>
          <w:color w:val="000000"/>
          <w:szCs w:val="21"/>
        </w:rPr>
        <w:t xml:space="preserve"> level</w:t>
      </w:r>
      <w:r w:rsidR="001E41C0">
        <w:rPr>
          <w:color w:val="000000"/>
          <w:szCs w:val="21"/>
        </w:rPr>
        <w:t>.</w:t>
      </w:r>
      <w:proofErr w:type="gramEnd"/>
      <w:r w:rsidR="001E41C0">
        <w:rPr>
          <w:rFonts w:hint="eastAsia"/>
          <w:color w:val="000000"/>
          <w:szCs w:val="21"/>
        </w:rPr>
        <w:t xml:space="preserve"> Note:</w:t>
      </w:r>
      <w:r w:rsidR="001E41C0">
        <w:t xml:space="preserve"> </w:t>
      </w:r>
      <w:r w:rsidR="001E41C0">
        <w:rPr>
          <w:color w:val="000000"/>
          <w:szCs w:val="21"/>
        </w:rPr>
        <w:t>The longitudinal information is environmental factor information and the horizontal is species information. The corresponding value of intermediate heat map is Spearman correlation coefficient r, between-1, 1, r</w:t>
      </w:r>
      <w:r w:rsidR="001E41C0">
        <w:rPr>
          <w:color w:val="000000"/>
          <w:szCs w:val="21"/>
        </w:rPr>
        <w:t>&lt;0 is negative correlation, r&gt;</w:t>
      </w:r>
      <w:r w:rsidR="001E41C0">
        <w:rPr>
          <w:color w:val="000000"/>
          <w:szCs w:val="21"/>
        </w:rPr>
        <w:t xml:space="preserve">0 is positive correlation, marked </w:t>
      </w:r>
      <w:r w:rsidR="001E41C0">
        <w:rPr>
          <w:rFonts w:hint="eastAsia"/>
          <w:color w:val="000000"/>
          <w:szCs w:val="21"/>
        </w:rPr>
        <w:t>*</w:t>
      </w:r>
      <w:r w:rsidR="001E41C0">
        <w:rPr>
          <w:color w:val="000000"/>
          <w:szCs w:val="21"/>
        </w:rPr>
        <w:t xml:space="preserve"> means significance test p</w:t>
      </w:r>
      <w:r w:rsidR="001E41C0">
        <w:rPr>
          <w:color w:val="000000"/>
          <w:szCs w:val="21"/>
        </w:rPr>
        <w:t>&lt;</w:t>
      </w:r>
      <w:r w:rsidR="001E41C0">
        <w:rPr>
          <w:color w:val="000000"/>
          <w:szCs w:val="21"/>
        </w:rPr>
        <w:t xml:space="preserve">0. </w:t>
      </w:r>
      <w:proofErr w:type="gramStart"/>
      <w:r w:rsidR="001E41C0">
        <w:rPr>
          <w:color w:val="000000"/>
          <w:szCs w:val="21"/>
        </w:rPr>
        <w:t>05</w:t>
      </w:r>
      <w:r w:rsidR="001E41C0">
        <w:rPr>
          <w:rFonts w:hint="eastAsia"/>
          <w:color w:val="000000"/>
          <w:szCs w:val="21"/>
        </w:rPr>
        <w:t xml:space="preserve">, and </w:t>
      </w:r>
      <w:r w:rsidR="001E41C0">
        <w:rPr>
          <w:color w:val="000000"/>
          <w:szCs w:val="21"/>
        </w:rPr>
        <w:t xml:space="preserve">marked </w:t>
      </w:r>
      <w:r w:rsidR="001E41C0">
        <w:rPr>
          <w:rFonts w:hint="eastAsia"/>
          <w:color w:val="000000"/>
          <w:szCs w:val="21"/>
        </w:rPr>
        <w:t>**</w:t>
      </w:r>
      <w:r w:rsidR="001E41C0">
        <w:rPr>
          <w:color w:val="000000"/>
          <w:szCs w:val="21"/>
        </w:rPr>
        <w:t xml:space="preserve"> means significance test p&lt;</w:t>
      </w:r>
      <w:r w:rsidR="001E41C0">
        <w:rPr>
          <w:color w:val="000000"/>
          <w:szCs w:val="21"/>
        </w:rPr>
        <w:t>0.</w:t>
      </w:r>
      <w:proofErr w:type="gramEnd"/>
      <w:r w:rsidR="001E41C0">
        <w:rPr>
          <w:color w:val="000000"/>
          <w:szCs w:val="21"/>
        </w:rPr>
        <w:t xml:space="preserve"> 0</w:t>
      </w:r>
      <w:r w:rsidR="001E41C0">
        <w:rPr>
          <w:rFonts w:hint="eastAsia"/>
          <w:color w:val="000000"/>
          <w:szCs w:val="21"/>
        </w:rPr>
        <w:t>1</w:t>
      </w:r>
      <w:r w:rsidR="001E41C0">
        <w:rPr>
          <w:color w:val="000000"/>
          <w:szCs w:val="21"/>
        </w:rPr>
        <w:t>.</w:t>
      </w:r>
    </w:p>
    <w:p w:rsidR="001E41C0" w:rsidRPr="002B4A57" w:rsidRDefault="001E41C0" w:rsidP="002B4A57">
      <w:pPr>
        <w:keepNext/>
        <w:rPr>
          <w:rFonts w:cs="Times New Roman" w:hint="eastAsia"/>
          <w:b/>
          <w:szCs w:val="24"/>
          <w:lang w:eastAsia="zh-CN"/>
        </w:rPr>
      </w:pPr>
    </w:p>
    <w:p w:rsidR="00DE23E8" w:rsidRDefault="001E41C0" w:rsidP="001E41C0">
      <w:pPr>
        <w:spacing w:before="240"/>
        <w:jc w:val="center"/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4050000" cy="2087757"/>
            <wp:effectExtent l="19050" t="0" r="7650" b="0"/>
            <wp:docPr id="3" name="图片 2" descr="Figure.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208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1C0" w:rsidRPr="001549D3" w:rsidRDefault="001E41C0" w:rsidP="001E41C0">
      <w:pPr>
        <w:spacing w:before="240"/>
        <w:rPr>
          <w:rFonts w:hint="eastAsia"/>
          <w:lang w:eastAsia="zh-CN"/>
        </w:rPr>
      </w:pPr>
      <w:proofErr w:type="gramStart"/>
      <w:r>
        <w:rPr>
          <w:b/>
          <w:szCs w:val="21"/>
        </w:rPr>
        <w:lastRenderedPageBreak/>
        <w:t>Supplementary Fig</w:t>
      </w:r>
      <w:r>
        <w:rPr>
          <w:rFonts w:hint="eastAsia"/>
          <w:b/>
          <w:szCs w:val="21"/>
          <w:lang w:eastAsia="zh-CN"/>
        </w:rPr>
        <w:t>ure</w:t>
      </w:r>
      <w:r>
        <w:rPr>
          <w:rFonts w:hint="eastAsia"/>
          <w:b/>
          <w:szCs w:val="21"/>
          <w:lang w:eastAsia="zh-CN"/>
        </w:rPr>
        <w:t xml:space="preserve"> </w:t>
      </w:r>
      <w:r>
        <w:rPr>
          <w:rFonts w:hint="eastAsia"/>
          <w:b/>
          <w:szCs w:val="21"/>
        </w:rPr>
        <w:t>S</w:t>
      </w:r>
      <w:r>
        <w:rPr>
          <w:rFonts w:hint="eastAsia"/>
          <w:b/>
          <w:szCs w:val="21"/>
        </w:rPr>
        <w:t>2.</w:t>
      </w:r>
      <w:proofErr w:type="gramEnd"/>
      <w:r>
        <w:rPr>
          <w:rFonts w:hint="eastAsia"/>
          <w:b/>
          <w:szCs w:val="21"/>
        </w:rPr>
        <w:t xml:space="preserve"> </w:t>
      </w:r>
      <w:proofErr w:type="gramStart"/>
      <w:r>
        <w:rPr>
          <w:szCs w:val="21"/>
        </w:rPr>
        <w:t>Species importance ranking chart</w:t>
      </w:r>
      <w:r>
        <w:rPr>
          <w:rFonts w:hint="eastAsia"/>
          <w:szCs w:val="21"/>
        </w:rPr>
        <w:t>.</w:t>
      </w:r>
      <w:proofErr w:type="gramEnd"/>
      <w:r>
        <w:t xml:space="preserve"> </w:t>
      </w:r>
      <w:proofErr w:type="spellStart"/>
      <w:r>
        <w:rPr>
          <w:szCs w:val="21"/>
        </w:rPr>
        <w:t>MeanDecreaseAccuracy</w:t>
      </w:r>
      <w:proofErr w:type="spellEnd"/>
      <w:r>
        <w:rPr>
          <w:rFonts w:hint="eastAsia"/>
          <w:szCs w:val="21"/>
          <w:lang w:eastAsia="zh-CN"/>
        </w:rPr>
        <w:t xml:space="preserve"> </w:t>
      </w:r>
      <w:r>
        <w:rPr>
          <w:szCs w:val="21"/>
        </w:rPr>
        <w:t xml:space="preserve">(left) measures the reduction in the accuracy of random forest prediction by changing the value of a variable into a random number. The higher the value, the more important the variable is. Abscissa: average decline accuracy, longitudinal coordinates: ranked </w:t>
      </w:r>
      <w:r>
        <w:rPr>
          <w:rFonts w:hint="eastAsia"/>
          <w:szCs w:val="21"/>
          <w:lang w:eastAsia="zh-CN"/>
        </w:rPr>
        <w:t>at</w:t>
      </w:r>
      <w:r>
        <w:rPr>
          <w:szCs w:val="21"/>
        </w:rPr>
        <w:t xml:space="preserve"> the top 50 important species; </w:t>
      </w:r>
      <w:proofErr w:type="spellStart"/>
      <w:r>
        <w:rPr>
          <w:szCs w:val="21"/>
        </w:rPr>
        <w:t>MeanDecreaseGini</w:t>
      </w:r>
      <w:proofErr w:type="spellEnd"/>
      <w:r>
        <w:rPr>
          <w:szCs w:val="21"/>
        </w:rPr>
        <w:t xml:space="preserve"> (right) calculates the influence of each variable on the heterogeneity of the observed values on each node of the classification tree through the </w:t>
      </w:r>
      <w:proofErr w:type="spellStart"/>
      <w:r>
        <w:rPr>
          <w:szCs w:val="21"/>
        </w:rPr>
        <w:t>Gini</w:t>
      </w:r>
      <w:proofErr w:type="spellEnd"/>
      <w:r>
        <w:rPr>
          <w:szCs w:val="21"/>
        </w:rPr>
        <w:t xml:space="preserve"> index, thus comparing the importance of the variables. The higher the value, the greater the importance of the variable</w:t>
      </w:r>
      <w:r>
        <w:rPr>
          <w:rFonts w:hint="eastAsia"/>
          <w:szCs w:val="21"/>
          <w:lang w:eastAsia="zh-CN"/>
        </w:rPr>
        <w:t xml:space="preserve"> is</w:t>
      </w:r>
      <w:r>
        <w:rPr>
          <w:szCs w:val="21"/>
        </w:rPr>
        <w:t xml:space="preserve">. Abscissa: average decline </w:t>
      </w:r>
      <w:proofErr w:type="spellStart"/>
      <w:r>
        <w:rPr>
          <w:szCs w:val="21"/>
        </w:rPr>
        <w:t>Gini</w:t>
      </w:r>
      <w:proofErr w:type="spellEnd"/>
      <w:r>
        <w:rPr>
          <w:szCs w:val="21"/>
        </w:rPr>
        <w:t xml:space="preserve"> index, ordinate: ranked </w:t>
      </w:r>
      <w:r>
        <w:rPr>
          <w:rFonts w:hint="eastAsia"/>
          <w:szCs w:val="21"/>
          <w:lang w:eastAsia="zh-CN"/>
        </w:rPr>
        <w:t>at</w:t>
      </w:r>
      <w:r>
        <w:rPr>
          <w:szCs w:val="21"/>
        </w:rPr>
        <w:t xml:space="preserve"> the top 50 important species.</w:t>
      </w:r>
    </w:p>
    <w:sectPr w:rsidR="001E41C0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63" w:rsidRDefault="00CE4E63" w:rsidP="00117666">
      <w:pPr>
        <w:spacing w:after="0"/>
      </w:pPr>
      <w:r>
        <w:separator/>
      </w:r>
    </w:p>
  </w:endnote>
  <w:endnote w:type="continuationSeparator" w:id="0">
    <w:p w:rsidR="00CE4E63" w:rsidRDefault="00CE4E63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7fb33346.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596495f2+f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596495f2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205D4F">
    <w:pPr>
      <w:rPr>
        <w:color w:val="C00000"/>
        <w:szCs w:val="24"/>
      </w:rPr>
    </w:pPr>
    <w:r w:rsidRPr="00205D4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46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205D4F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1E41C0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205D4F">
    <w:pPr>
      <w:rPr>
        <w:b/>
        <w:sz w:val="20"/>
        <w:szCs w:val="24"/>
      </w:rPr>
    </w:pPr>
    <w:r w:rsidRPr="00205D4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146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205D4F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1E41C0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63" w:rsidRDefault="00CE4E63" w:rsidP="00117666">
      <w:pPr>
        <w:spacing w:after="0"/>
      </w:pPr>
      <w:r>
        <w:separator/>
      </w:r>
    </w:p>
  </w:footnote>
  <w:footnote w:type="continuationSeparator" w:id="0">
    <w:p w:rsidR="00CE4E63" w:rsidRDefault="00CE4E63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0B5"/>
    <w:rsid w:val="0001436A"/>
    <w:rsid w:val="00032DD1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E41C0"/>
    <w:rsid w:val="00205D4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E63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character" w:customStyle="1" w:styleId="Char9">
    <w:name w:val="日期 Char"/>
    <w:basedOn w:val="a1"/>
    <w:link w:val="afe"/>
    <w:uiPriority w:val="99"/>
    <w:rsid w:val="001E41C0"/>
    <w:rPr>
      <w:rFonts w:ascii="Calibri" w:eastAsia="宋体" w:hAnsi="Calibri" w:cs="Times New Roman"/>
      <w:kern w:val="2"/>
      <w:sz w:val="21"/>
      <w:lang w:eastAsia="zh-CN"/>
    </w:rPr>
  </w:style>
  <w:style w:type="character" w:customStyle="1" w:styleId="Char10">
    <w:name w:val="日期 Char1"/>
    <w:basedOn w:val="a1"/>
    <w:uiPriority w:val="99"/>
    <w:semiHidden/>
    <w:rsid w:val="001E41C0"/>
    <w:rPr>
      <w:rFonts w:ascii="Calibri" w:eastAsia="宋体" w:hAnsi="Calibri" w:cs="Times New Roman"/>
    </w:rPr>
  </w:style>
  <w:style w:type="paragraph" w:styleId="afe">
    <w:name w:val="Date"/>
    <w:basedOn w:val="a0"/>
    <w:next w:val="a0"/>
    <w:link w:val="Char9"/>
    <w:uiPriority w:val="99"/>
    <w:unhideWhenUsed/>
    <w:rsid w:val="001E41C0"/>
    <w:pPr>
      <w:spacing w:before="0" w:after="0"/>
      <w:ind w:leftChars="2500" w:left="100"/>
    </w:pPr>
    <w:rPr>
      <w:rFonts w:ascii="Calibri" w:eastAsia="宋体" w:hAnsi="Calibri" w:cs="Times New Roman"/>
      <w:kern w:val="2"/>
      <w:sz w:val="21"/>
      <w:lang w:eastAsia="zh-CN"/>
    </w:rPr>
  </w:style>
  <w:style w:type="character" w:customStyle="1" w:styleId="Char20">
    <w:name w:val="日期 Char2"/>
    <w:basedOn w:val="a1"/>
    <w:link w:val="afe"/>
    <w:uiPriority w:val="99"/>
    <w:semiHidden/>
    <w:rsid w:val="001E41C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A96385-B1EB-45D8-AECE-0374541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15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Sky123.Org</cp:lastModifiedBy>
  <cp:revision>3</cp:revision>
  <cp:lastPrinted>2013-10-03T12:51:00Z</cp:lastPrinted>
  <dcterms:created xsi:type="dcterms:W3CDTF">2018-11-23T08:58:00Z</dcterms:created>
  <dcterms:modified xsi:type="dcterms:W3CDTF">2020-01-17T19:26:00Z</dcterms:modified>
</cp:coreProperties>
</file>