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AA3C6" w14:textId="77777777" w:rsidR="00320A11" w:rsidRDefault="00320A11" w:rsidP="00320A11">
      <w:pPr>
        <w:pStyle w:val="AuthorList"/>
      </w:pPr>
      <w:bookmarkStart w:id="0" w:name="_Toc9263493"/>
      <w:bookmarkStart w:id="1" w:name="_Toc9263501"/>
      <w:r>
        <w:t>Supplementary Methods</w:t>
      </w:r>
    </w:p>
    <w:p w14:paraId="472AA3C7" w14:textId="77777777" w:rsidR="00320A11" w:rsidRPr="00E71E04" w:rsidRDefault="00320A11" w:rsidP="00320A11">
      <w:pPr>
        <w:pStyle w:val="Kop3"/>
        <w:numPr>
          <w:ilvl w:val="0"/>
          <w:numId w:val="0"/>
        </w:numPr>
        <w:ind w:left="567" w:hanging="567"/>
        <w:rPr>
          <w:rFonts w:cs="Times New Roman"/>
        </w:rPr>
      </w:pPr>
      <w:r w:rsidRPr="00E71E04">
        <w:rPr>
          <w:rFonts w:cs="Times New Roman"/>
        </w:rPr>
        <w:t>Construction of CRISPR vectors and generation of ArathEULS3 knock-out transgenic lines</w:t>
      </w:r>
      <w:bookmarkEnd w:id="0"/>
    </w:p>
    <w:p w14:paraId="472AA3C8" w14:textId="1BCBE172" w:rsidR="00320A11" w:rsidRPr="00E71E04" w:rsidRDefault="00320A11" w:rsidP="00320A11">
      <w:pPr>
        <w:rPr>
          <w:rFonts w:cs="Times New Roman"/>
        </w:rPr>
      </w:pPr>
      <w:r w:rsidRPr="00E71E04">
        <w:rPr>
          <w:rFonts w:cs="Times New Roman"/>
        </w:rPr>
        <w:t>CRISPR vectors (</w:t>
      </w:r>
      <w:proofErr w:type="spellStart"/>
      <w:r w:rsidRPr="00E71E04">
        <w:rPr>
          <w:rFonts w:cs="Times New Roman"/>
        </w:rPr>
        <w:t>pEN</w:t>
      </w:r>
      <w:proofErr w:type="spellEnd"/>
      <w:r w:rsidRPr="00E71E04">
        <w:rPr>
          <w:rFonts w:cs="Times New Roman"/>
        </w:rPr>
        <w:t xml:space="preserve">-Chimera and pDe-CAS9) were kindly supplied by Prof. dr. Holger </w:t>
      </w:r>
      <w:proofErr w:type="spellStart"/>
      <w:r w:rsidRPr="00E71E04">
        <w:rPr>
          <w:rFonts w:cs="Times New Roman"/>
        </w:rPr>
        <w:t>Puchta</w:t>
      </w:r>
      <w:proofErr w:type="spellEnd"/>
      <w:r w:rsidRPr="00E71E04">
        <w:rPr>
          <w:rFonts w:cs="Times New Roman"/>
        </w:rPr>
        <w:t xml:space="preserve"> (Botanical Institute II, Karlsruhe Institute of Technology, Karlsruhe, Germany). Design of spacer sequences and cloning was performed according to the protocol provided by </w:t>
      </w:r>
      <w:proofErr w:type="spellStart"/>
      <w:r w:rsidRPr="00E71E04">
        <w:rPr>
          <w:rFonts w:cs="Times New Roman"/>
        </w:rPr>
        <w:t>Schiml</w:t>
      </w:r>
      <w:proofErr w:type="spellEnd"/>
      <w:r w:rsidRPr="00E71E04">
        <w:rPr>
          <w:rFonts w:cs="Times New Roman"/>
        </w:rPr>
        <w:t xml:space="preserve"> </w:t>
      </w:r>
      <w:r>
        <w:rPr>
          <w:rStyle w:val="Voetnootmarkering"/>
          <w:rFonts w:cs="Times New Roman"/>
        </w:rPr>
        <w:fldChar w:fldCharType="begin" w:fldLock="1"/>
      </w:r>
      <w:r w:rsidR="00686122">
        <w:rPr>
          <w:rFonts w:cs="Times New Roman"/>
        </w:rPr>
        <w:instrText>ADDIN CSL_CITATION {"citationItems":[{"id":"ITEM-1","itemData":{"DOI":"DOI 10.1007/978-1-4939-4931-1_8","abstract":"The CRISPR/Cas system has recently become the most important tool for genome engineering due to its simple architecture that allows for rapidly changing the target sequence and its applicability to organisms throughout all kingdoms of life. The need for an easy-to-use and reliable nuclease is especially high in plant research, as precise genome modifi cations are almost impossible to achieve by Agrobacterium -mediated transformation and the regeneration of plants from protoplast cultures is very labor intensive. Here, we describe the application of the Cas9 nuclease to Arabidopsis thaliana for the induction of heritable targeted mutations, which may also be used for other plant species. To cover the concern for off-target activity, we also describe the generation of stable mutants using paired Cas9 nickases.","author":[{"dropping-particle":"","family":"Schiml","given":"Simon","non-dropping-particle":"","parse-names":false,"suffix":""},{"dropping-particle":"","family":"Fauser","given":"Friedrich","non-dropping-particle":"","parse-names":false,"suffix":""},{"dropping-particle":"","family":"Puchta","given":"Holger","non-dropping-particle":"","parse-names":false,"suffix":""}],"chapter-number":"8","container-title":"Methods in Molecular Biology","id":"ITEM-1","issued":{"date-parts":[["2016"]]},"page":"110-122","title":"CRISPR/Cas-Mediated Site-Specifi c Mutagenesis in Arabidopsis thaliana Using Cas9 Nucleases and Paired Nickases","type":"chapter","volume":"1469"},"uris":["http://www.mendeley.com/documents/?uuid=805ee687-a6e3-4ae8-a964-6ac7cba66728"]}],"mendeley":{"formattedCitation":"(Schiml et al., 2016)","manualFormatting":"et al. (2016)","plainTextFormattedCitation":"(Schiml et al., 2016)","previouslyFormattedCitation":"(Schiml &lt;i&gt;et al.&lt;/i&gt;, 2016)"},"properties":{"noteIndex":0},"schema":"https://github.com/citation-style-language/schema/raw/master/csl-citation.json"}</w:instrText>
      </w:r>
      <w:r>
        <w:rPr>
          <w:rStyle w:val="Voetnootmarkering"/>
          <w:rFonts w:cs="Times New Roman"/>
        </w:rPr>
        <w:fldChar w:fldCharType="separate"/>
      </w:r>
      <w:r>
        <w:rPr>
          <w:rFonts w:cs="Times New Roman"/>
          <w:noProof/>
        </w:rPr>
        <w:t>et al. (2016)</w:t>
      </w:r>
      <w:r>
        <w:rPr>
          <w:rStyle w:val="Voetnootmarkering"/>
          <w:rFonts w:cs="Times New Roman"/>
        </w:rPr>
        <w:fldChar w:fldCharType="end"/>
      </w:r>
      <w:r w:rsidRPr="00E71E04">
        <w:rPr>
          <w:rFonts w:cs="Times New Roman"/>
        </w:rPr>
        <w:t xml:space="preserve">. </w:t>
      </w:r>
      <w:r>
        <w:rPr>
          <w:rFonts w:cs="Times New Roman"/>
        </w:rPr>
        <w:t>T</w:t>
      </w:r>
      <w:r w:rsidRPr="00E71E04">
        <w:rPr>
          <w:rFonts w:cs="Times New Roman"/>
        </w:rPr>
        <w:t xml:space="preserve">hree 20-nucleotide CRISPR spacer sequences targeting three sites within the ArathEULS3 coding sequence referred to as CRISPR1, CRISPR2 and CRISPR3 (Supplementary Figure S1) were designed using CRISPR-PLANT tool </w:t>
      </w:r>
      <w:r>
        <w:rPr>
          <w:rStyle w:val="Voetnootmarkering"/>
          <w:rFonts w:cs="Times New Roman"/>
        </w:rPr>
        <w:fldChar w:fldCharType="begin" w:fldLock="1"/>
      </w:r>
      <w:r w:rsidR="00686122">
        <w:rPr>
          <w:rFonts w:cs="Times New Roman"/>
        </w:rPr>
        <w:instrText>ADDIN CSL_CITATION {"citationItems":[{"id":"ITEM-1","itemData":{"DOI":"10.1093/mp/ssu009","ISSN":"16742052","abstract":"RNA-guided genome editing (RGE) using the Streptococcus pyogenes CRISPR–Cas9 system (Jinek et al., 2012; Cong et al., 2013; Mali et al., 2013b) is emerging as a simple and highly efficient tool for genome editing in many organisms. The Cas9 nuclease can be programmed by dual or single guide RNA (gRNA) to cut target DNA at specific sites, thereby introducing precise mutations by error-prone non-homologous-end-joining repairing or by incorporating foreign DNAs via homologous recombination between target site and donor DNA. The gRNA–Cas9 complex recognizes targets based on the complementarity between one strand of targeted DNA (referred as protospacer) and the 5′-end leading sequence of gRNA (referred to as gRNA spacer) that is approximately 20 base pairs (bp) long (Figure 1A). Besides gRNA–DNA pairing, a protospacer-adjacent motif (PAM) following the paired region in the DNA is also required for Cas9 cleavage. Recent studies reveal that Cas9 could cut the PAM-containing DNA sites that imperfectly match gRNA spacer sequences, resulting in genome editing at undesired positions. This off-target editing of engineered gRNA–Cas9 has been extensively examined recently (Hsu et al., 2013; Mali et al., 2013a). Thus, gRNA–Cas9 specificity becomes a major concern for RGE application, and it is very important to evaluate the potential constraint of Cas9 specificity and develop straightforward bioinformatic tools to facilitate the design of highly specific gRNAs to minimize off-target effects.","author":[{"dropping-particle":"","family":"Xie","given":"Kabin","non-dropping-particle":"","parse-names":false,"suffix":""},{"dropping-particle":"","family":"Zhang","given":"Jianwei","non-dropping-particle":"","parse-names":false,"suffix":""},{"dropping-particle":"","family":"Yang","given":"Yinong","non-dropping-particle":"","parse-names":false,"suffix":""}],"container-title":"Molecular Plant","id":"ITEM-1","issue":"5","issued":{"date-parts":[["2014"]]},"page":"923-926","title":"Genome-Wide Prediction of Highly Specific Guide RNA Spacers for CRISPR–Cas9-Mediated Genome Editing in Model Plants and Major Crops","type":"article-journal","volume":"7"},"uris":["http://www.mendeley.com/documents/?uuid=51748a9c-6753-4de3-8c3f-abfd7ec63698"]}],"mendeley":{"formattedCitation":"(Xie et al., 2014)","manualFormatting":"(Xie et al., 2014)","plainTextFormattedCitation":"(Xie et al., 2014)","previouslyFormattedCitation":"(Xie &lt;i&gt;et al.&lt;/i&gt;, 2014)"},"properties":{"noteIndex":0},"schema":"https://github.com/citation-style-language/schema/raw/master/csl-citation.json"}</w:instrText>
      </w:r>
      <w:r>
        <w:rPr>
          <w:rStyle w:val="Voetnootmarkering"/>
          <w:rFonts w:cs="Times New Roman"/>
        </w:rPr>
        <w:fldChar w:fldCharType="separate"/>
      </w:r>
      <w:r>
        <w:rPr>
          <w:rFonts w:cs="Times New Roman"/>
          <w:noProof/>
        </w:rPr>
        <w:t>(Xie et al., 2014)</w:t>
      </w:r>
      <w:r>
        <w:rPr>
          <w:rStyle w:val="Voetnootmarkering"/>
          <w:rFonts w:cs="Times New Roman"/>
        </w:rPr>
        <w:fldChar w:fldCharType="end"/>
      </w:r>
      <w:r>
        <w:rPr>
          <w:rFonts w:cs="Times New Roman"/>
        </w:rPr>
        <w:t xml:space="preserve">. </w:t>
      </w:r>
      <w:r w:rsidRPr="00284EAB">
        <w:rPr>
          <w:rFonts w:cs="Times New Roman"/>
        </w:rPr>
        <w:t xml:space="preserve">The </w:t>
      </w:r>
      <w:r w:rsidRPr="00E71E04">
        <w:rPr>
          <w:rFonts w:cs="Times New Roman"/>
        </w:rPr>
        <w:t xml:space="preserve">expression clones were transformed via electroporation to </w:t>
      </w:r>
      <w:r w:rsidRPr="00E71E04">
        <w:rPr>
          <w:rFonts w:cs="Times New Roman"/>
          <w:i/>
        </w:rPr>
        <w:t xml:space="preserve">Agrobacterium </w:t>
      </w:r>
      <w:proofErr w:type="spellStart"/>
      <w:r w:rsidRPr="00E71E04">
        <w:rPr>
          <w:rFonts w:cs="Times New Roman"/>
          <w:i/>
        </w:rPr>
        <w:t>tumefaciens</w:t>
      </w:r>
      <w:proofErr w:type="spellEnd"/>
      <w:r w:rsidRPr="00E71E04">
        <w:rPr>
          <w:rFonts w:cs="Times New Roman"/>
        </w:rPr>
        <w:t xml:space="preserve"> strain C58C1 pMP90. </w:t>
      </w:r>
      <w:r w:rsidRPr="00E71E04">
        <w:rPr>
          <w:rFonts w:cs="Times New Roman"/>
          <w:i/>
        </w:rPr>
        <w:t>Arabidopsis thaliana</w:t>
      </w:r>
      <w:r w:rsidRPr="00E71E04">
        <w:rPr>
          <w:rFonts w:cs="Times New Roman"/>
        </w:rPr>
        <w:t xml:space="preserve"> plants, ecotype Col-0 were transformed using the floral dip method </w:t>
      </w:r>
      <w:r>
        <w:rPr>
          <w:rStyle w:val="Voetnootmarkering"/>
          <w:rFonts w:cs="Times New Roman"/>
        </w:rPr>
        <w:fldChar w:fldCharType="begin" w:fldLock="1"/>
      </w:r>
      <w:r w:rsidR="00686122">
        <w:rPr>
          <w:rFonts w:cs="Times New Roman"/>
        </w:rPr>
        <w:instrText>ADDIN CSL_CITATION {"citationItems":[{"id":"ITEM-1","itemData":{"DOI":"10.1046/j.1365-313X.1998.00343.x","ISSN":"09607412","abstract":"The Agrobacterium vacuum infiltration method has made it possible to transform Arabidopsis thaliana without plant tissue culture or regeneration. In the present study, this method was evaluated and a substantially modified transformation method was developed. The labor-intensive vacuum infiltration process was eliminated in favor of simple dipping of developing floral tissues into a solution containing Agrobacterium tumefaciens, 5% sucrose and 500 microliters per litre of surfactant Silwet L-77. Sucrose and surfactant were critical to the success of the floral dip method. Plants inoculated when numerous immature floral buds and few siliques were present produced transformed progeny at the highest rate. Plant tissue culture media, the hormone benzylamino purine and pH adjustment were unnecessary, and Agrobacterium could be applied to plants at a range of cell densities. Repeated application of Agrobacterium improved transformation rates and overall yield of transformants approximately twofold. Covering plants for 1 day to retain humidity after inoculation also raised transformation rates twofold. Multiple ecotypes were transformable by this method. The modified method should facilitate high-throughput transformation of Arabidopsis for efforts such as T-DNA gene tagging, positional cloning, or attempts at targeted gene replacement.","author":[{"dropping-particle":"","family":"Clough","given":"Steven J.","non-dropping-particle":"","parse-names":false,"suffix":""},{"dropping-particle":"","family":"Bent","given":"Andrew F.","non-dropping-particle":"","parse-names":false,"suffix":""}],"container-title":"Plant Journal","id":"ITEM-1","issue":"6","issued":{"date-parts":[["1998"]]},"page":"735-743","title":"Floral dip: A simplified method for Agrobacterium-mediated transformation of Arabidopsis thaliana","type":"article-journal","volume":"16"},"uris":["http://www.mendeley.com/documents/?uuid=6860ae6b-7aaa-43fa-b25b-3dd7f5f8f47a"]}],"mendeley":{"formattedCitation":"(Clough and Bent, 1998)","plainTextFormattedCitation":"(Clough and Bent, 1998)","previouslyFormattedCitation":"(Clough and Bent, 1998)"},"properties":{"noteIndex":0},"schema":"https://github.com/citation-style-language/schema/raw/master/csl-citation.json"}</w:instrText>
      </w:r>
      <w:r>
        <w:rPr>
          <w:rStyle w:val="Voetnootmarkering"/>
          <w:rFonts w:cs="Times New Roman"/>
        </w:rPr>
        <w:fldChar w:fldCharType="separate"/>
      </w:r>
      <w:r w:rsidR="002579FB" w:rsidRPr="002579FB">
        <w:rPr>
          <w:rFonts w:cs="Times New Roman"/>
          <w:noProof/>
        </w:rPr>
        <w:t>(Clough and Bent, 1998)</w:t>
      </w:r>
      <w:r>
        <w:rPr>
          <w:rStyle w:val="Voetnootmarkering"/>
          <w:rFonts w:cs="Times New Roman"/>
        </w:rPr>
        <w:fldChar w:fldCharType="end"/>
      </w:r>
      <w:r w:rsidRPr="00E71E04">
        <w:rPr>
          <w:rFonts w:cs="Times New Roman"/>
        </w:rPr>
        <w:t xml:space="preserve">. </w:t>
      </w:r>
    </w:p>
    <w:p w14:paraId="472AA3C9" w14:textId="7751FAC8" w:rsidR="00320A11" w:rsidRPr="00E71E04" w:rsidRDefault="00320A11" w:rsidP="00320A11">
      <w:pPr>
        <w:rPr>
          <w:rFonts w:cs="Times New Roman"/>
        </w:rPr>
      </w:pPr>
      <w:r w:rsidRPr="00E71E04">
        <w:rPr>
          <w:rFonts w:cs="Times New Roman"/>
        </w:rPr>
        <w:t xml:space="preserve">Primary </w:t>
      </w:r>
      <w:proofErr w:type="spellStart"/>
      <w:r w:rsidRPr="00E71E04">
        <w:rPr>
          <w:rFonts w:cs="Times New Roman"/>
        </w:rPr>
        <w:t>transformants</w:t>
      </w:r>
      <w:proofErr w:type="spellEnd"/>
      <w:r w:rsidRPr="00E71E04">
        <w:rPr>
          <w:rFonts w:cs="Times New Roman"/>
        </w:rPr>
        <w:t xml:space="preserve"> (T1) were selected on ½ MS medium supplemented with 10 mg/L PPT. After 7 days in the growth chamber, putative mutants were transferred to artificial soil – Jiffy-7® for another 11 days. 18-day-old plants were subjected to continuous heat stress for 5 days in a plant cabinet (37 °C 16/8 h light/dark photoperiod) and then moved back to the growth chamber (22 °C 16/8 h light/dark photoperiod).</w:t>
      </w:r>
      <w:r>
        <w:rPr>
          <w:rFonts w:cs="Times New Roman"/>
        </w:rPr>
        <w:t xml:space="preserve"> </w:t>
      </w:r>
      <w:r w:rsidRPr="00E71E04">
        <w:rPr>
          <w:rFonts w:cs="Times New Roman"/>
        </w:rPr>
        <w:t>Total genomic DNA (</w:t>
      </w:r>
      <w:proofErr w:type="spellStart"/>
      <w:r w:rsidRPr="00E71E04">
        <w:rPr>
          <w:rFonts w:cs="Times New Roman"/>
        </w:rPr>
        <w:t>gDNA</w:t>
      </w:r>
      <w:proofErr w:type="spellEnd"/>
      <w:r w:rsidRPr="00284EAB">
        <w:rPr>
          <w:rFonts w:cs="Times New Roman"/>
        </w:rPr>
        <w:t xml:space="preserve">) was extracted from rosette leaves using the slightly adapted Edwards protocol. The integration of the T-DNA was checked by PCR on </w:t>
      </w:r>
      <w:proofErr w:type="spellStart"/>
      <w:r w:rsidRPr="00284EAB">
        <w:rPr>
          <w:rFonts w:cs="Times New Roman"/>
        </w:rPr>
        <w:t>gDNA</w:t>
      </w:r>
      <w:proofErr w:type="spellEnd"/>
      <w:r w:rsidRPr="00284EAB">
        <w:rPr>
          <w:rFonts w:cs="Times New Roman"/>
        </w:rPr>
        <w:t xml:space="preserve"> using primers which amplify a 501 </w:t>
      </w:r>
      <w:proofErr w:type="spellStart"/>
      <w:r w:rsidRPr="00284EAB">
        <w:rPr>
          <w:rFonts w:cs="Times New Roman"/>
        </w:rPr>
        <w:t>bp</w:t>
      </w:r>
      <w:proofErr w:type="spellEnd"/>
      <w:r w:rsidRPr="00284EAB">
        <w:rPr>
          <w:rFonts w:cs="Times New Roman"/>
        </w:rPr>
        <w:t xml:space="preserve"> fragment within </w:t>
      </w:r>
      <w:r w:rsidRPr="00E71E04">
        <w:rPr>
          <w:rFonts w:cs="Times New Roman"/>
        </w:rPr>
        <w:t>the Cas9 gene (p688 and p689, Supplementary Table S1) with the following PCR program: 10’ – 95 °</w:t>
      </w:r>
      <w:r w:rsidR="00C81C3E">
        <w:rPr>
          <w:rFonts w:cs="Times New Roman"/>
        </w:rPr>
        <w:t>C, 35x (30’’ – 95 °C, 30’’ – 54 </w:t>
      </w:r>
      <w:r w:rsidRPr="00E71E04">
        <w:rPr>
          <w:rFonts w:cs="Times New Roman"/>
        </w:rPr>
        <w:t xml:space="preserve">°C, 45’’ – 72 °C), 5’ – 72 °C. The region around the target mutation in samples containing Cas9 gene was amplified using p690 and p691 primers for CRISPR1 and p694 and p695 for CRISPR2 (Supplementary Table S1) using the same PCR program. Amplicons of the latter PCR were sequenced with primers p692 and p696 (Supplementary Table S1) for CRISPR1 and CRISPR2, respectively (LGC Genomics GmbH 12459 Berlin-Germany). Obtained results were analyzed using </w:t>
      </w:r>
      <w:proofErr w:type="spellStart"/>
      <w:r w:rsidRPr="00E71E04">
        <w:rPr>
          <w:rFonts w:cs="Times New Roman"/>
        </w:rPr>
        <w:t>BioEdit</w:t>
      </w:r>
      <w:proofErr w:type="spellEnd"/>
      <w:r w:rsidRPr="00E71E04">
        <w:rPr>
          <w:rFonts w:cs="Times New Roman"/>
        </w:rPr>
        <w:t xml:space="preserve">® software </w:t>
      </w:r>
      <w:r>
        <w:rPr>
          <w:rFonts w:cs="Times New Roman"/>
        </w:rPr>
        <w:t xml:space="preserve">site </w:t>
      </w:r>
      <w:r w:rsidRPr="00E71E04">
        <w:rPr>
          <w:rFonts w:cs="Times New Roman"/>
        </w:rPr>
        <w:t>in order to confirm the activity of the Cas9 enzyme in the first generation (T1).</w:t>
      </w:r>
      <w:r>
        <w:rPr>
          <w:rFonts w:cs="Times New Roman"/>
        </w:rPr>
        <w:t xml:space="preserve"> </w:t>
      </w:r>
      <w:r w:rsidRPr="00E71E04">
        <w:rPr>
          <w:rFonts w:cs="Times New Roman"/>
        </w:rPr>
        <w:t xml:space="preserve">Progeny (T2) seeds were germinated </w:t>
      </w:r>
      <w:r w:rsidRPr="00E71E04">
        <w:rPr>
          <w:rFonts w:cs="Times New Roman"/>
          <w:i/>
        </w:rPr>
        <w:t>in vitro</w:t>
      </w:r>
      <w:r w:rsidRPr="00E71E04">
        <w:rPr>
          <w:rFonts w:cs="Times New Roman"/>
        </w:rPr>
        <w:t xml:space="preserve"> for 1.5 weeks and grown individually in artificial soil (Jiffy-7, 44 mm Ø). Cas9-free mutants were selected by means of PCR as mentioned above. The region around the mutation in those plants was amplified and sequenced (LGC Genomics). Obtained results were analyzed using </w:t>
      </w:r>
      <w:proofErr w:type="spellStart"/>
      <w:r w:rsidRPr="00E71E04">
        <w:rPr>
          <w:rFonts w:cs="Times New Roman"/>
        </w:rPr>
        <w:t>BioEdit</w:t>
      </w:r>
      <w:proofErr w:type="spellEnd"/>
      <w:r w:rsidRPr="00E71E04">
        <w:rPr>
          <w:rFonts w:cs="Times New Roman"/>
        </w:rPr>
        <w:t xml:space="preserve">® software for the presence of double peaks and </w:t>
      </w:r>
      <w:r w:rsidRPr="00E71E04">
        <w:rPr>
          <w:rFonts w:cs="Times New Roman"/>
          <w:color w:val="000000" w:themeColor="text1"/>
        </w:rPr>
        <w:t xml:space="preserve">TIDE (tracking of </w:t>
      </w:r>
      <w:proofErr w:type="spellStart"/>
      <w:r w:rsidRPr="00E71E04">
        <w:rPr>
          <w:rFonts w:cs="Times New Roman"/>
          <w:color w:val="000000" w:themeColor="text1"/>
        </w:rPr>
        <w:t>indels</w:t>
      </w:r>
      <w:proofErr w:type="spellEnd"/>
      <w:r w:rsidRPr="00E71E04">
        <w:rPr>
          <w:rFonts w:cs="Times New Roman"/>
          <w:color w:val="000000" w:themeColor="text1"/>
        </w:rPr>
        <w:t xml:space="preserve"> by decomposition) </w:t>
      </w:r>
      <w:r>
        <w:rPr>
          <w:rStyle w:val="Voetnootmarkering"/>
          <w:rFonts w:cs="Times New Roman"/>
        </w:rPr>
        <w:fldChar w:fldCharType="begin" w:fldLock="1"/>
      </w:r>
      <w:r w:rsidR="00686122">
        <w:rPr>
          <w:rFonts w:cs="Times New Roman"/>
        </w:rPr>
        <w:instrText>ADDIN CSL_CITATION {"citationItems":[{"id":"ITEM-1","itemData":{"DOI":"10.1093/nar/gku936","ISSN":"1362-4962","PMID":"25300484","abstract":"The efficacy and the mutation spectrum of genome editing methods can vary substantially depending on the targeted sequence. A simple, quick assay to accurately characterize and quantify the induced mutations is therefore needed. Here we present TIDE, a method for this purpose that requires only a pair of PCR reactions and two standard capillary sequencing runs. The sequence traces are then analyzed by a specially developed decomposition algorithm that identifies the major induced mutations in the projected editing site and accurately determines their frequency in a cell population. This method is cost-effective and quick, and it provides much more detailed information than current enzyme-based assays. An interactive web tool for automated decomposition of the sequence traces is available. TIDE greatly facilitates the testing and rational design of genome editing strategies.","author":[{"dropping-particle":"","family":"Brinkman","given":"Eva K","non-dropping-particle":"","parse-names":false,"suffix":""},{"dropping-particle":"","family":"Chen","given":"Tao","non-dropping-particle":"","parse-names":false,"suffix":""},{"dropping-particle":"","family":"Amendola","given":"Mario","non-dropping-particle":"","parse-names":false,"suffix":""},{"dropping-particle":"","family":"Steensel","given":"Bas","non-dropping-particle":"van","parse-names":false,"suffix":""}],"container-title":"Nucleic acids research","id":"ITEM-1","issue":"22","issued":{"date-parts":[["2014"]]},"page":"e168","title":"Easy quantitative assessment of genome editing by sequence trace decomposition.","type":"article-journal","volume":"42"},"uris":["http://www.mendeley.com/documents/?uuid=7ae95dec-d1a1-4065-a0e1-f4a0a4d1972e"]}],"mendeley":{"formattedCitation":"(Brinkman et al., 2014)","manualFormatting":"(Brinkman et al., 2014)","plainTextFormattedCitation":"(Brinkman et al., 2014)","previouslyFormattedCitation":"(Brinkman &lt;i&gt;et al.&lt;/i&gt;, 2014)"},"properties":{"noteIndex":0},"schema":"https://github.com/citation-style-language/schema/raw/master/csl-citation.json"}</w:instrText>
      </w:r>
      <w:r>
        <w:rPr>
          <w:rStyle w:val="Voetnootmarkering"/>
          <w:rFonts w:cs="Times New Roman"/>
        </w:rPr>
        <w:fldChar w:fldCharType="separate"/>
      </w:r>
      <w:r>
        <w:rPr>
          <w:rFonts w:cs="Times New Roman"/>
          <w:noProof/>
        </w:rPr>
        <w:t>(Brinkman et al., 2014)</w:t>
      </w:r>
      <w:r>
        <w:rPr>
          <w:rStyle w:val="Voetnootmarkering"/>
          <w:rFonts w:cs="Times New Roman"/>
        </w:rPr>
        <w:fldChar w:fldCharType="end"/>
      </w:r>
      <w:r w:rsidRPr="00E71E04">
        <w:rPr>
          <w:rFonts w:cs="Times New Roman"/>
        </w:rPr>
        <w:t xml:space="preserve"> in order to verify the </w:t>
      </w:r>
      <w:proofErr w:type="spellStart"/>
      <w:r w:rsidRPr="00E71E04">
        <w:rPr>
          <w:rFonts w:cs="Times New Roman"/>
        </w:rPr>
        <w:t>indel</w:t>
      </w:r>
      <w:proofErr w:type="spellEnd"/>
      <w:r w:rsidRPr="00E71E04">
        <w:rPr>
          <w:rFonts w:cs="Times New Roman"/>
        </w:rPr>
        <w:t xml:space="preserve"> frequencies. Homozygous mutation identified in T2 plants was confirmed in the T3 generation by sequencing </w:t>
      </w:r>
      <w:proofErr w:type="spellStart"/>
      <w:r w:rsidRPr="00E71E04">
        <w:rPr>
          <w:rFonts w:cs="Times New Roman"/>
        </w:rPr>
        <w:t>gDNA</w:t>
      </w:r>
      <w:proofErr w:type="spellEnd"/>
      <w:r w:rsidRPr="00E71E04">
        <w:rPr>
          <w:rFonts w:cs="Times New Roman"/>
        </w:rPr>
        <w:t xml:space="preserve"> extracted from 5 plants. Plants recognized as heterozygous were screened for homozygous mutants in the T3 generation.</w:t>
      </w:r>
    </w:p>
    <w:p w14:paraId="472AA3CA" w14:textId="77777777" w:rsidR="00320A11" w:rsidRPr="00E71E04" w:rsidRDefault="00320A11" w:rsidP="00320A11">
      <w:pPr>
        <w:pStyle w:val="Kop3"/>
        <w:numPr>
          <w:ilvl w:val="0"/>
          <w:numId w:val="0"/>
        </w:numPr>
        <w:ind w:left="567" w:hanging="567"/>
        <w:rPr>
          <w:rFonts w:cs="Times New Roman"/>
        </w:rPr>
      </w:pPr>
      <w:r w:rsidRPr="00E71E04">
        <w:rPr>
          <w:rFonts w:cs="Times New Roman"/>
        </w:rPr>
        <w:t xml:space="preserve">Construction of pArathEULS3:GUS fusions </w:t>
      </w:r>
    </w:p>
    <w:p w14:paraId="472AA3CB" w14:textId="4A6EFB82" w:rsidR="00320A11" w:rsidRDefault="00320A11" w:rsidP="00320A11">
      <w:pPr>
        <w:rPr>
          <w:rFonts w:cs="Times New Roman"/>
        </w:rPr>
      </w:pPr>
      <w:r w:rsidRPr="00E71E04">
        <w:rPr>
          <w:rFonts w:cs="Times New Roman"/>
        </w:rPr>
        <w:t xml:space="preserve">The promoter sequence of ArathEULS3 gene was cloned using the Gateway® Technology (Life Technologies, Carlsbad, CA, USA). In the first PCR reaction a fragment bigger than the promoter region was amplified using Platinum </w:t>
      </w:r>
      <w:proofErr w:type="spellStart"/>
      <w:r w:rsidRPr="00E71E04">
        <w:rPr>
          <w:rFonts w:cs="Times New Roman"/>
          <w:i/>
        </w:rPr>
        <w:t>Pfx</w:t>
      </w:r>
      <w:proofErr w:type="spellEnd"/>
      <w:r w:rsidRPr="00E71E04">
        <w:rPr>
          <w:rFonts w:cs="Times New Roman"/>
        </w:rPr>
        <w:t xml:space="preserve"> DNA Polymerase (Life Technologies) using primer</w:t>
      </w:r>
      <w:r>
        <w:rPr>
          <w:rFonts w:cs="Times New Roman"/>
        </w:rPr>
        <w:t>s p395 and p396 (Supplementary T</w:t>
      </w:r>
      <w:r w:rsidRPr="00E71E04">
        <w:rPr>
          <w:rFonts w:cs="Times New Roman"/>
        </w:rPr>
        <w:t xml:space="preserve">able S1) and the following conditions: 96 °C – 7’, 40 x (96 °C </w:t>
      </w:r>
      <w:r w:rsidR="00F05739" w:rsidRPr="00E71E04">
        <w:rPr>
          <w:rFonts w:cs="Times New Roman"/>
        </w:rPr>
        <w:t>–</w:t>
      </w:r>
      <w:r w:rsidR="00C81C3E">
        <w:rPr>
          <w:rFonts w:cs="Times New Roman"/>
        </w:rPr>
        <w:t xml:space="preserve"> 30’’, 54 </w:t>
      </w:r>
      <w:r w:rsidRPr="00E71E04">
        <w:rPr>
          <w:rFonts w:cs="Times New Roman"/>
        </w:rPr>
        <w:t xml:space="preserve">°C – 30’’, 66 °C – 3’) – 66 °C </w:t>
      </w:r>
      <w:r w:rsidR="00F05739" w:rsidRPr="00E71E04">
        <w:rPr>
          <w:rFonts w:cs="Times New Roman"/>
        </w:rPr>
        <w:t>–</w:t>
      </w:r>
      <w:r w:rsidRPr="00E71E04">
        <w:rPr>
          <w:rFonts w:cs="Times New Roman"/>
        </w:rPr>
        <w:t xml:space="preserve"> 10’’. </w:t>
      </w:r>
      <w:r>
        <w:rPr>
          <w:rFonts w:cs="Times New Roman"/>
        </w:rPr>
        <w:t>T</w:t>
      </w:r>
      <w:r w:rsidRPr="00E71E04">
        <w:rPr>
          <w:rFonts w:cs="Times New Roman"/>
        </w:rPr>
        <w:t xml:space="preserve">he product with a correct size was extracted from the gel using </w:t>
      </w:r>
      <w:proofErr w:type="spellStart"/>
      <w:r w:rsidRPr="00420DE7">
        <w:rPr>
          <w:rFonts w:cs="Times New Roman"/>
        </w:rPr>
        <w:t>Qiaquick</w:t>
      </w:r>
      <w:proofErr w:type="spellEnd"/>
      <w:r w:rsidRPr="00420DE7">
        <w:rPr>
          <w:rFonts w:cs="Times New Roman"/>
        </w:rPr>
        <w:t xml:space="preserve"> gel extraction kit (Hilden, Germany)</w:t>
      </w:r>
      <w:r w:rsidRPr="00E71E04">
        <w:rPr>
          <w:rFonts w:cs="Times New Roman"/>
        </w:rPr>
        <w:t xml:space="preserve"> and used as a template to amplify an 5’ upstream fragment of 2</w:t>
      </w:r>
      <w:r>
        <w:rPr>
          <w:rFonts w:cs="Times New Roman"/>
        </w:rPr>
        <w:t>,</w:t>
      </w:r>
      <w:r w:rsidRPr="00E71E04">
        <w:rPr>
          <w:rFonts w:cs="Times New Roman"/>
        </w:rPr>
        <w:t xml:space="preserve">252 </w:t>
      </w:r>
      <w:proofErr w:type="spellStart"/>
      <w:r w:rsidRPr="00E71E04">
        <w:rPr>
          <w:rFonts w:cs="Times New Roman"/>
        </w:rPr>
        <w:t>bp</w:t>
      </w:r>
      <w:proofErr w:type="spellEnd"/>
      <w:r w:rsidRPr="00E71E04">
        <w:rPr>
          <w:rFonts w:cs="Times New Roman"/>
        </w:rPr>
        <w:t xml:space="preserve"> including the 5’UTR region of ArathEULS3 gene. In the second PCR the </w:t>
      </w:r>
      <w:proofErr w:type="spellStart"/>
      <w:r w:rsidRPr="00E71E04">
        <w:rPr>
          <w:rFonts w:cs="Times New Roman"/>
          <w:i/>
        </w:rPr>
        <w:t>attB</w:t>
      </w:r>
      <w:proofErr w:type="spellEnd"/>
      <w:r w:rsidRPr="00E71E04">
        <w:rPr>
          <w:rFonts w:cs="Times New Roman"/>
        </w:rPr>
        <w:t xml:space="preserve"> sites were added using </w:t>
      </w:r>
      <w:r>
        <w:rPr>
          <w:rFonts w:cs="Times New Roman"/>
        </w:rPr>
        <w:t>the</w:t>
      </w:r>
      <w:r w:rsidRPr="00E71E04">
        <w:rPr>
          <w:rFonts w:cs="Times New Roman"/>
        </w:rPr>
        <w:t xml:space="preserve"> following program: 96 °C – 7’, 40 x (96 °C </w:t>
      </w:r>
      <w:r w:rsidR="00F05739" w:rsidRPr="00E71E04">
        <w:rPr>
          <w:rFonts w:cs="Times New Roman"/>
        </w:rPr>
        <w:t>–</w:t>
      </w:r>
      <w:r w:rsidRPr="00E71E04">
        <w:rPr>
          <w:rFonts w:cs="Times New Roman"/>
        </w:rPr>
        <w:t xml:space="preserve"> 30’’, 47 °C – 30’’, 66 °C – 3’) – 66 °C </w:t>
      </w:r>
      <w:r w:rsidR="00F05739" w:rsidRPr="00E71E04">
        <w:rPr>
          <w:rFonts w:cs="Times New Roman"/>
        </w:rPr>
        <w:t>–</w:t>
      </w:r>
      <w:r w:rsidRPr="00E71E04">
        <w:rPr>
          <w:rFonts w:cs="Times New Roman"/>
        </w:rPr>
        <w:t xml:space="preserve"> 10’’. The PCR product of a correct size was extracted from the gel and was ligated in the pJET2.1 vector with the </w:t>
      </w:r>
      <w:proofErr w:type="spellStart"/>
      <w:r w:rsidRPr="00E71E04">
        <w:rPr>
          <w:rFonts w:cs="Times New Roman"/>
        </w:rPr>
        <w:t>CloneJET</w:t>
      </w:r>
      <w:proofErr w:type="spellEnd"/>
      <w:r w:rsidRPr="00E71E04">
        <w:rPr>
          <w:rFonts w:cs="Times New Roman"/>
        </w:rPr>
        <w:t xml:space="preserve"> PCR Cloning kit according to the manufacturer’s instructions (Life </w:t>
      </w:r>
      <w:r w:rsidRPr="00E71E04">
        <w:rPr>
          <w:rFonts w:cs="Times New Roman"/>
        </w:rPr>
        <w:lastRenderedPageBreak/>
        <w:t>Technologies) and the promoter sequence was confirmed by sequencing with prim</w:t>
      </w:r>
      <w:r>
        <w:rPr>
          <w:rFonts w:cs="Times New Roman"/>
        </w:rPr>
        <w:t>ers p425 and p426 (LGC Genomics</w:t>
      </w:r>
      <w:r w:rsidRPr="00E71E04">
        <w:rPr>
          <w:rFonts w:cs="Times New Roman"/>
        </w:rPr>
        <w:t xml:space="preserve">). The obtained </w:t>
      </w:r>
      <w:r w:rsidRPr="00284EAB">
        <w:rPr>
          <w:rFonts w:cs="Times New Roman"/>
        </w:rPr>
        <w:t xml:space="preserve">by BP Gateway® reaction </w:t>
      </w:r>
      <w:r w:rsidRPr="00E71E04">
        <w:rPr>
          <w:rFonts w:cs="Times New Roman"/>
        </w:rPr>
        <w:t xml:space="preserve">entry clones were subsequently recombined with the destination vector pKGWFS7 to create an expression clone which was transformed via electroporation to </w:t>
      </w:r>
      <w:r w:rsidRPr="00E71E04">
        <w:rPr>
          <w:rFonts w:cs="Times New Roman"/>
          <w:i/>
        </w:rPr>
        <w:t xml:space="preserve">Agrobacterium </w:t>
      </w:r>
      <w:proofErr w:type="spellStart"/>
      <w:r w:rsidRPr="00E71E04">
        <w:rPr>
          <w:rFonts w:cs="Times New Roman"/>
          <w:i/>
        </w:rPr>
        <w:t>tumefaciens</w:t>
      </w:r>
      <w:proofErr w:type="spellEnd"/>
      <w:r w:rsidRPr="00E71E04">
        <w:rPr>
          <w:rFonts w:cs="Times New Roman"/>
        </w:rPr>
        <w:t xml:space="preserve"> strain C58C1 pMP90. The transgenic plants were made using the floral dip method described above. Transformed seeds were selected on ½ MS medium contain</w:t>
      </w:r>
      <w:r>
        <w:rPr>
          <w:rFonts w:cs="Times New Roman"/>
        </w:rPr>
        <w:t>ing 75 µg/ml kanamycin (</w:t>
      </w:r>
      <w:proofErr w:type="spellStart"/>
      <w:r>
        <w:rPr>
          <w:rFonts w:cs="Times New Roman"/>
        </w:rPr>
        <w:t>Duchefa</w:t>
      </w:r>
      <w:proofErr w:type="spellEnd"/>
      <w:r w:rsidRPr="00E71E04">
        <w:rPr>
          <w:rFonts w:cs="Times New Roman"/>
        </w:rPr>
        <w:t xml:space="preserve">). Green seedlings were transferred to soil and then the integration of the T-DNA was checked by PCR using </w:t>
      </w:r>
      <w:proofErr w:type="spellStart"/>
      <w:r w:rsidRPr="00E71E04">
        <w:rPr>
          <w:rFonts w:cs="Times New Roman"/>
        </w:rPr>
        <w:t>gDNA</w:t>
      </w:r>
      <w:proofErr w:type="spellEnd"/>
      <w:r w:rsidRPr="00E71E04">
        <w:rPr>
          <w:rFonts w:cs="Times New Roman"/>
        </w:rPr>
        <w:t xml:space="preserve"> as a template and kanamycin-specific primers (evd261 and evd463) with the following PCR progr</w:t>
      </w:r>
      <w:r w:rsidR="00C81C3E">
        <w:rPr>
          <w:rFonts w:cs="Times New Roman"/>
        </w:rPr>
        <w:t>am: 94 </w:t>
      </w:r>
      <w:r w:rsidR="00F05739">
        <w:rPr>
          <w:rFonts w:cs="Times New Roman"/>
        </w:rPr>
        <w:t xml:space="preserve">°C </w:t>
      </w:r>
      <w:r w:rsidR="00F05739" w:rsidRPr="00E71E04">
        <w:rPr>
          <w:rFonts w:cs="Times New Roman"/>
        </w:rPr>
        <w:t>–</w:t>
      </w:r>
      <w:r w:rsidR="00F05739">
        <w:rPr>
          <w:rFonts w:cs="Times New Roman"/>
        </w:rPr>
        <w:t xml:space="preserve"> 10', 45 x (94 °C </w:t>
      </w:r>
      <w:r w:rsidR="00F05739" w:rsidRPr="00E71E04">
        <w:rPr>
          <w:rFonts w:cs="Times New Roman"/>
        </w:rPr>
        <w:t>–</w:t>
      </w:r>
      <w:r w:rsidR="00F05739">
        <w:rPr>
          <w:rFonts w:cs="Times New Roman"/>
        </w:rPr>
        <w:t xml:space="preserve"> </w:t>
      </w:r>
      <w:r w:rsidRPr="00E71E04">
        <w:rPr>
          <w:rFonts w:cs="Times New Roman"/>
        </w:rPr>
        <w:t xml:space="preserve">30’’, 48 °C – 30’’, 1’ 72 °C) – 72 °C </w:t>
      </w:r>
      <w:r w:rsidR="00F05739" w:rsidRPr="00E71E04">
        <w:rPr>
          <w:rFonts w:cs="Times New Roman"/>
        </w:rPr>
        <w:t>–</w:t>
      </w:r>
      <w:r w:rsidRPr="00E71E04">
        <w:rPr>
          <w:rFonts w:cs="Times New Roman"/>
        </w:rPr>
        <w:t xml:space="preserve"> 5’. Two independent, homozygous, transgenic GUS lines were selected (G1C and G1D), the seeds were multiplied and T4 generation seeds were used in all experiments. </w:t>
      </w:r>
    </w:p>
    <w:p w14:paraId="472AA3CC" w14:textId="77777777" w:rsidR="00320A11" w:rsidRPr="00E71E04" w:rsidRDefault="00320A11" w:rsidP="00320A11">
      <w:pPr>
        <w:pStyle w:val="AuthorList"/>
      </w:pPr>
      <w:r>
        <w:t>Supplementary Results</w:t>
      </w:r>
    </w:p>
    <w:p w14:paraId="472AA3CD" w14:textId="77777777" w:rsidR="00320A11" w:rsidRPr="00E71E04" w:rsidRDefault="00320A11" w:rsidP="00320A11">
      <w:pPr>
        <w:pStyle w:val="Kop3"/>
        <w:numPr>
          <w:ilvl w:val="0"/>
          <w:numId w:val="0"/>
        </w:numPr>
        <w:ind w:left="567" w:hanging="567"/>
      </w:pPr>
      <w:r w:rsidRPr="00E71E04">
        <w:t>Heat-stress increases efficiency of targeted mutagenesis by CRISPR/Cas9</w:t>
      </w:r>
      <w:bookmarkEnd w:id="1"/>
    </w:p>
    <w:p w14:paraId="472AA3CE" w14:textId="594B13A9" w:rsidR="00320A11" w:rsidRDefault="00320A11" w:rsidP="00320A11">
      <w:pPr>
        <w:rPr>
          <w:rFonts w:cs="Times New Roman"/>
        </w:rPr>
      </w:pPr>
      <w:r w:rsidRPr="00E71E04">
        <w:rPr>
          <w:rFonts w:cs="Times New Roman"/>
        </w:rPr>
        <w:t xml:space="preserve">To construct the ArathEULS3 </w:t>
      </w:r>
      <w:r>
        <w:rPr>
          <w:rFonts w:cs="Times New Roman"/>
        </w:rPr>
        <w:t>KO</w:t>
      </w:r>
      <w:r w:rsidR="00524502">
        <w:rPr>
          <w:rFonts w:cs="Times New Roman"/>
        </w:rPr>
        <w:t xml:space="preserve"> (knockout)</w:t>
      </w:r>
      <w:r w:rsidRPr="00E71E04">
        <w:rPr>
          <w:rFonts w:cs="Times New Roman"/>
        </w:rPr>
        <w:t xml:space="preserve"> lines, the </w:t>
      </w:r>
      <w:proofErr w:type="spellStart"/>
      <w:r w:rsidRPr="00E71E04">
        <w:rPr>
          <w:rFonts w:cs="Times New Roman"/>
        </w:rPr>
        <w:t>pEN</w:t>
      </w:r>
      <w:proofErr w:type="spellEnd"/>
      <w:r w:rsidRPr="00E71E04">
        <w:rPr>
          <w:rFonts w:cs="Times New Roman"/>
        </w:rPr>
        <w:t xml:space="preserve"> Chimera vector carrying the chimeric </w:t>
      </w:r>
      <w:proofErr w:type="spellStart"/>
      <w:r w:rsidRPr="00E71E04">
        <w:rPr>
          <w:rFonts w:cs="Times New Roman"/>
        </w:rPr>
        <w:t>sgRNA</w:t>
      </w:r>
      <w:proofErr w:type="spellEnd"/>
      <w:r w:rsidRPr="00E71E04">
        <w:rPr>
          <w:rFonts w:cs="Times New Roman"/>
        </w:rPr>
        <w:t xml:space="preserve"> sequence was recombined with pDE-CAS9 vector harboring </w:t>
      </w:r>
      <w:r w:rsidRPr="00E71E04">
        <w:rPr>
          <w:rFonts w:cs="Times New Roman"/>
          <w:i/>
        </w:rPr>
        <w:t xml:space="preserve">Staphylococcus </w:t>
      </w:r>
      <w:proofErr w:type="spellStart"/>
      <w:r w:rsidRPr="00E71E04">
        <w:rPr>
          <w:rFonts w:cs="Times New Roman"/>
          <w:i/>
        </w:rPr>
        <w:t>pyogenes</w:t>
      </w:r>
      <w:proofErr w:type="spellEnd"/>
      <w:r w:rsidRPr="00E71E04">
        <w:rPr>
          <w:rFonts w:cs="Times New Roman"/>
        </w:rPr>
        <w:t xml:space="preserve"> Cas9 driven under the control of Ubiquitin promoter from parsley and the PPT selection cassette. After transformation of </w:t>
      </w:r>
      <w:r w:rsidRPr="00E71E04">
        <w:rPr>
          <w:rFonts w:cs="Times New Roman"/>
          <w:i/>
        </w:rPr>
        <w:t>Arabidopsis thaliana</w:t>
      </w:r>
      <w:r w:rsidRPr="00E71E04">
        <w:rPr>
          <w:rFonts w:cs="Times New Roman"/>
        </w:rPr>
        <w:t xml:space="preserve"> plants with CRISPR vectors via </w:t>
      </w:r>
      <w:r w:rsidRPr="00E71E04">
        <w:rPr>
          <w:rFonts w:cs="Times New Roman"/>
          <w:i/>
        </w:rPr>
        <w:t>Agrobacterium</w:t>
      </w:r>
      <w:r w:rsidRPr="00E71E04">
        <w:rPr>
          <w:rFonts w:cs="Times New Roman"/>
        </w:rPr>
        <w:t>-mediated floral dip, T1 plants were selected on ½ MS medium supplemented with PPT. The mutation regions of all plants that contained Cas9 gene were sequenced. In the first selection, in total twenty seven T1 plants (15 CRISPR1 and 12 CRISPR2) containing the Cas9 cassette were screened for mutations. Only three plants (20 %) of CRISPR1 and none of CRISPR2 lines showed double peaks</w:t>
      </w:r>
      <w:r>
        <w:rPr>
          <w:rFonts w:cs="Times New Roman"/>
        </w:rPr>
        <w:t xml:space="preserve"> on the sequencing chromatogram suggesting that no mutations were introduced</w:t>
      </w:r>
      <w:r w:rsidRPr="00E71E04">
        <w:rPr>
          <w:rFonts w:cs="Times New Roman"/>
        </w:rPr>
        <w:t xml:space="preserve">. In total, 261 T2 plants were analyzed, of which mutation regions of </w:t>
      </w:r>
      <w:proofErr w:type="spellStart"/>
      <w:r w:rsidRPr="00E71E04">
        <w:rPr>
          <w:rFonts w:cs="Times New Roman"/>
        </w:rPr>
        <w:t>gDNA</w:t>
      </w:r>
      <w:proofErr w:type="spellEnd"/>
      <w:r w:rsidRPr="00E71E04">
        <w:rPr>
          <w:rFonts w:cs="Times New Roman"/>
        </w:rPr>
        <w:t xml:space="preserve"> samples from 35 Cas9 negative and 7 Cas9 positive plants were sequenced. All tested samples contained WT sequences, which indicated that no heritable mutations occurred in the T1 generation. Moreover in all tested T2 plants still containing the Cas9 gene, the nuclease was not active (no double peaks observed). </w:t>
      </w:r>
    </w:p>
    <w:p w14:paraId="472AA3CF" w14:textId="58D98C9C" w:rsidR="00320A11" w:rsidRPr="00E71E04" w:rsidRDefault="00320A11" w:rsidP="00320A11">
      <w:pPr>
        <w:rPr>
          <w:rFonts w:cs="Times New Roman"/>
        </w:rPr>
      </w:pPr>
      <w:r w:rsidRPr="00E71E04">
        <w:rPr>
          <w:rFonts w:cs="Times New Roman"/>
        </w:rPr>
        <w:t>Since Cas9 used in this study comes from a bacterial organism (</w:t>
      </w:r>
      <w:r w:rsidRPr="00E71E04">
        <w:rPr>
          <w:rFonts w:cs="Times New Roman"/>
          <w:i/>
        </w:rPr>
        <w:t xml:space="preserve">Streptococcus </w:t>
      </w:r>
      <w:proofErr w:type="spellStart"/>
      <w:r w:rsidRPr="00E71E04">
        <w:rPr>
          <w:rFonts w:cs="Times New Roman"/>
          <w:i/>
        </w:rPr>
        <w:t>pyogenes</w:t>
      </w:r>
      <w:proofErr w:type="spellEnd"/>
      <w:r w:rsidRPr="00E71E04">
        <w:rPr>
          <w:rFonts w:cs="Times New Roman"/>
        </w:rPr>
        <w:t xml:space="preserve">), with an optimal growth temperature of 40°C, there is a possibility that Cas9 enzyme efficiency might be lower at 21°C – the temperature used for growing Arabidopsis plants. </w:t>
      </w:r>
      <w:r w:rsidR="00524502">
        <w:rPr>
          <w:rFonts w:cs="Times New Roman"/>
        </w:rPr>
        <w:t>After selection on medium containing PPT</w:t>
      </w:r>
      <w:r w:rsidRPr="00E71E04">
        <w:rPr>
          <w:rFonts w:cs="Times New Roman"/>
        </w:rPr>
        <w:t xml:space="preserve"> T1 plants were subjected to heat stress. Eighteen CRISPR1 and ten CRISPR2 plants containing the Cas9 gene were selected on ½ MS medium supplemented with PPT. After 7 days, the putative mutants were transferred individually to artificial soil for 11 days (soil acclimation) and then subjected to 5 days of continuous heat treatment (37°C). Afterwards the plants were grown continuously at 21°C. Genomic DNA was extracted from rosette leaves of 28-day-old plants and the </w:t>
      </w:r>
      <w:r w:rsidR="00524502">
        <w:rPr>
          <w:rFonts w:cs="Times New Roman"/>
        </w:rPr>
        <w:t>absence of Cas9 was</w:t>
      </w:r>
      <w:r w:rsidRPr="00E71E04">
        <w:rPr>
          <w:rFonts w:cs="Times New Roman"/>
        </w:rPr>
        <w:t xml:space="preserve"> confirmed by PCR with gene-specific primers targeting a sequence within the Cas9 gene. The mutation regions were amplified and sequenced. The analysis revealed that 39 % of CRISPR1 samples showed double peaks on the sequencing chromatogram. However none of CRISPR2 plants revealed double peaks after sequencing. 22 % of all CRISPR1 sequences screened (coming from plants C1.7, C1.9, C1.13, and C1.21) were different from the one of the WT, which indicates high efficiency of the Cas9 enzyme. The remaining 17% of sequences (coming from plants C1.1, C1.3, and C1.5) were identical to the WT sequence, meaning that the efficiency of Cas9 was most likely lower in those samples</w:t>
      </w:r>
      <w:r>
        <w:rPr>
          <w:rFonts w:cs="Times New Roman"/>
        </w:rPr>
        <w:t>.</w:t>
      </w:r>
    </w:p>
    <w:p w14:paraId="472AA3D0" w14:textId="77777777" w:rsidR="00320A11" w:rsidRPr="00E71E04" w:rsidRDefault="00320A11" w:rsidP="00320A11">
      <w:pPr>
        <w:pStyle w:val="Kop3"/>
        <w:numPr>
          <w:ilvl w:val="0"/>
          <w:numId w:val="0"/>
        </w:numPr>
        <w:ind w:left="567" w:hanging="567"/>
        <w:rPr>
          <w:rFonts w:cs="Times New Roman"/>
        </w:rPr>
      </w:pPr>
      <w:bookmarkStart w:id="2" w:name="_Toc9263502"/>
      <w:r w:rsidRPr="00E71E04">
        <w:rPr>
          <w:rFonts w:cs="Times New Roman"/>
        </w:rPr>
        <w:t>Selection of homozygous ArathEULS3 knock-out mutants</w:t>
      </w:r>
      <w:bookmarkEnd w:id="2"/>
    </w:p>
    <w:p w14:paraId="472AA3D1" w14:textId="77777777" w:rsidR="00320A11" w:rsidRPr="00E71E04" w:rsidRDefault="00320A11" w:rsidP="00320A11">
      <w:pPr>
        <w:rPr>
          <w:rFonts w:cs="Times New Roman"/>
          <w:color w:val="FF0000"/>
        </w:rPr>
      </w:pPr>
      <w:r w:rsidRPr="00E71E04">
        <w:rPr>
          <w:rFonts w:cs="Times New Roman"/>
        </w:rPr>
        <w:t xml:space="preserve">Promising CRISPR1 mutants (C1.1, C1.3, C1.5, C1.7, C1.9, C1.13, and C1.21) were grown until maturity and the seeds were collected. In total 136 plants from five transgenic lines were screened for the absence of Cas9 gene. The analysis revealed that only three (C1.3, C1.9 and C1.13) out of five </w:t>
      </w:r>
      <w:r w:rsidRPr="00E71E04">
        <w:rPr>
          <w:rFonts w:cs="Times New Roman"/>
        </w:rPr>
        <w:lastRenderedPageBreak/>
        <w:t>mutant lines segregated in a Mendelian fashion (</w:t>
      </w:r>
      <w:r>
        <w:rPr>
          <w:rFonts w:cs="Times New Roman"/>
        </w:rPr>
        <w:t xml:space="preserve">Supplementary </w:t>
      </w:r>
      <w:r w:rsidRPr="00E71E04">
        <w:rPr>
          <w:rFonts w:cs="Times New Roman"/>
        </w:rPr>
        <w:t xml:space="preserve">Table 1) and only those plants were used in the following analyses. The segregation ratios in two remaining lines (C1.7 and C1.21) </w:t>
      </w:r>
      <w:r>
        <w:rPr>
          <w:rFonts w:cs="Times New Roman"/>
        </w:rPr>
        <w:t>can</w:t>
      </w:r>
      <w:r w:rsidRPr="00E71E04">
        <w:rPr>
          <w:rFonts w:cs="Times New Roman"/>
        </w:rPr>
        <w:t xml:space="preserve"> be explained as Mendelian inheritance of more than one independent loci. If more than one T-DNA is integrated in the genome, plants will segregate in a different manner (two insertions will give 15:1 segregation, three – 63:1 and so on).</w:t>
      </w:r>
    </w:p>
    <w:p w14:paraId="472AA3D2" w14:textId="77777777" w:rsidR="00320A11" w:rsidRPr="00E71E04" w:rsidRDefault="00320A11" w:rsidP="00320A11">
      <w:pPr>
        <w:pStyle w:val="Bijschrift"/>
      </w:pPr>
      <w:r>
        <w:t xml:space="preserve">Supplementary </w:t>
      </w:r>
      <w:r w:rsidRPr="00E71E04">
        <w:t xml:space="preserve">Table </w:t>
      </w:r>
      <w:r w:rsidR="00996881">
        <w:t>S</w:t>
      </w:r>
      <w:r>
        <w:fldChar w:fldCharType="begin"/>
      </w:r>
      <w:r>
        <w:instrText xml:space="preserve"> SEQ Table \* ARABIC </w:instrText>
      </w:r>
      <w:r>
        <w:fldChar w:fldCharType="separate"/>
      </w:r>
      <w:r>
        <w:rPr>
          <w:noProof/>
        </w:rPr>
        <w:t>1</w:t>
      </w:r>
      <w:r>
        <w:rPr>
          <w:noProof/>
        </w:rPr>
        <w:fldChar w:fldCharType="end"/>
      </w:r>
      <w:r w:rsidRPr="00E71E04">
        <w:t xml:space="preserve"> </w:t>
      </w:r>
      <w:r w:rsidRPr="00C916A3">
        <w:rPr>
          <w:b w:val="0"/>
        </w:rPr>
        <w:t>Segregation of Cas9 gene in T2 generation CRISPR mutants. P</w:t>
      </w:r>
      <w:r w:rsidRPr="00E71E04">
        <w:rPr>
          <w:b w:val="0"/>
        </w:rPr>
        <w:t>lants segregating in Mendelian fashion are shown in bold</w:t>
      </w:r>
    </w:p>
    <w:tbl>
      <w:tblPr>
        <w:tblStyle w:val="Lichtearcering"/>
        <w:tblW w:w="0" w:type="auto"/>
        <w:jc w:val="center"/>
        <w:tblLook w:val="04A0" w:firstRow="1" w:lastRow="0" w:firstColumn="1" w:lastColumn="0" w:noHBand="0" w:noVBand="1"/>
      </w:tblPr>
      <w:tblGrid>
        <w:gridCol w:w="1923"/>
        <w:gridCol w:w="2457"/>
        <w:gridCol w:w="1080"/>
        <w:gridCol w:w="1023"/>
      </w:tblGrid>
      <w:tr w:rsidR="00320A11" w:rsidRPr="004857D6" w14:paraId="472AA3D7" w14:textId="77777777" w:rsidTr="006B7A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AA3D3" w14:textId="77777777" w:rsidR="00320A11" w:rsidRPr="00524502" w:rsidRDefault="00320A11" w:rsidP="006B7A4F">
            <w:pPr>
              <w:jc w:val="center"/>
              <w:rPr>
                <w:lang w:val="en-GB"/>
              </w:rPr>
            </w:pPr>
            <w:r w:rsidRPr="00524502">
              <w:rPr>
                <w:lang w:val="en-GB"/>
              </w:rPr>
              <w:t>Mother T1 plant</w:t>
            </w:r>
          </w:p>
        </w:tc>
        <w:tc>
          <w:tcPr>
            <w:tcW w:w="0" w:type="auto"/>
            <w:shd w:val="clear" w:color="auto" w:fill="auto"/>
          </w:tcPr>
          <w:p w14:paraId="472AA3D4" w14:textId="77777777" w:rsidR="00320A11" w:rsidRPr="00515406" w:rsidRDefault="00320A11" w:rsidP="006B7A4F">
            <w:pPr>
              <w:jc w:val="center"/>
              <w:cnfStyle w:val="100000000000" w:firstRow="1" w:lastRow="0" w:firstColumn="0" w:lastColumn="0" w:oddVBand="0" w:evenVBand="0" w:oddHBand="0" w:evenHBand="0" w:firstRowFirstColumn="0" w:firstRowLastColumn="0" w:lastRowFirstColumn="0" w:lastRowLastColumn="0"/>
              <w:rPr>
                <w:lang w:val="en-GB"/>
              </w:rPr>
            </w:pPr>
            <w:r w:rsidRPr="00515406">
              <w:rPr>
                <w:lang w:val="en-GB"/>
              </w:rPr>
              <w:t>No of T2 plants tested</w:t>
            </w:r>
          </w:p>
        </w:tc>
        <w:tc>
          <w:tcPr>
            <w:tcW w:w="0" w:type="auto"/>
            <w:shd w:val="clear" w:color="auto" w:fill="auto"/>
          </w:tcPr>
          <w:p w14:paraId="472AA3D5" w14:textId="77777777" w:rsidR="00320A11" w:rsidRPr="00524502" w:rsidRDefault="00320A11" w:rsidP="006B7A4F">
            <w:pPr>
              <w:jc w:val="center"/>
              <w:cnfStyle w:val="100000000000" w:firstRow="1" w:lastRow="0" w:firstColumn="0" w:lastColumn="0" w:oddVBand="0" w:evenVBand="0" w:oddHBand="0" w:evenHBand="0" w:firstRowFirstColumn="0" w:firstRowLastColumn="0" w:lastRowFirstColumn="0" w:lastRowLastColumn="0"/>
              <w:rPr>
                <w:lang w:val="en-GB"/>
              </w:rPr>
            </w:pPr>
            <w:r w:rsidRPr="00524502">
              <w:rPr>
                <w:lang w:val="en-GB"/>
              </w:rPr>
              <w:t>Cas9 (+)</w:t>
            </w:r>
          </w:p>
        </w:tc>
        <w:tc>
          <w:tcPr>
            <w:tcW w:w="0" w:type="auto"/>
            <w:shd w:val="clear" w:color="auto" w:fill="auto"/>
          </w:tcPr>
          <w:p w14:paraId="472AA3D6" w14:textId="77777777" w:rsidR="00320A11" w:rsidRPr="00524502" w:rsidRDefault="00320A11" w:rsidP="006B7A4F">
            <w:pPr>
              <w:jc w:val="center"/>
              <w:cnfStyle w:val="100000000000" w:firstRow="1" w:lastRow="0" w:firstColumn="0" w:lastColumn="0" w:oddVBand="0" w:evenVBand="0" w:oddHBand="0" w:evenHBand="0" w:firstRowFirstColumn="0" w:firstRowLastColumn="0" w:lastRowFirstColumn="0" w:lastRowLastColumn="0"/>
              <w:rPr>
                <w:lang w:val="en-GB"/>
              </w:rPr>
            </w:pPr>
            <w:r w:rsidRPr="00524502">
              <w:rPr>
                <w:lang w:val="en-GB"/>
              </w:rPr>
              <w:t>Cas9 (-)</w:t>
            </w:r>
          </w:p>
        </w:tc>
      </w:tr>
      <w:tr w:rsidR="00320A11" w:rsidRPr="004857D6" w14:paraId="472AA3DC" w14:textId="77777777" w:rsidTr="006B7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AA3D8" w14:textId="77777777" w:rsidR="00320A11" w:rsidRPr="001C7AE4" w:rsidRDefault="00320A11" w:rsidP="006B7A4F">
            <w:pPr>
              <w:jc w:val="center"/>
              <w:rPr>
                <w:sz w:val="20"/>
                <w:szCs w:val="20"/>
                <w:lang w:val="en-GB"/>
              </w:rPr>
            </w:pPr>
            <w:r w:rsidRPr="001C7AE4">
              <w:rPr>
                <w:sz w:val="20"/>
                <w:szCs w:val="20"/>
                <w:lang w:val="en-GB"/>
              </w:rPr>
              <w:t>C1.3</w:t>
            </w:r>
          </w:p>
        </w:tc>
        <w:tc>
          <w:tcPr>
            <w:tcW w:w="0" w:type="auto"/>
            <w:shd w:val="clear" w:color="auto" w:fill="auto"/>
          </w:tcPr>
          <w:p w14:paraId="472AA3D9" w14:textId="77777777" w:rsidR="00320A11" w:rsidRPr="004857D6" w:rsidRDefault="00320A11" w:rsidP="006B7A4F">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857D6">
              <w:rPr>
                <w:sz w:val="20"/>
                <w:szCs w:val="20"/>
                <w:lang w:val="en-GB"/>
              </w:rPr>
              <w:t>17</w:t>
            </w:r>
          </w:p>
        </w:tc>
        <w:tc>
          <w:tcPr>
            <w:tcW w:w="0" w:type="auto"/>
            <w:shd w:val="clear" w:color="auto" w:fill="auto"/>
          </w:tcPr>
          <w:p w14:paraId="472AA3DA" w14:textId="77777777" w:rsidR="00320A11" w:rsidRPr="004857D6" w:rsidRDefault="00320A11" w:rsidP="006B7A4F">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857D6">
              <w:rPr>
                <w:sz w:val="20"/>
                <w:szCs w:val="20"/>
                <w:lang w:val="en-GB"/>
              </w:rPr>
              <w:t>82 %</w:t>
            </w:r>
          </w:p>
        </w:tc>
        <w:tc>
          <w:tcPr>
            <w:tcW w:w="0" w:type="auto"/>
            <w:shd w:val="clear" w:color="auto" w:fill="auto"/>
          </w:tcPr>
          <w:p w14:paraId="472AA3DB" w14:textId="77777777" w:rsidR="00320A11" w:rsidRPr="004857D6" w:rsidRDefault="00320A11" w:rsidP="006B7A4F">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857D6">
              <w:rPr>
                <w:sz w:val="20"/>
                <w:szCs w:val="20"/>
                <w:lang w:val="en-GB"/>
              </w:rPr>
              <w:t>18 %</w:t>
            </w:r>
          </w:p>
        </w:tc>
      </w:tr>
      <w:tr w:rsidR="00320A11" w:rsidRPr="004857D6" w14:paraId="472AA3E1" w14:textId="77777777" w:rsidTr="006B7A4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AA3DD" w14:textId="77777777" w:rsidR="00320A11" w:rsidRPr="00AC507B" w:rsidRDefault="00320A11" w:rsidP="006B7A4F">
            <w:pPr>
              <w:jc w:val="center"/>
              <w:rPr>
                <w:b w:val="0"/>
                <w:sz w:val="20"/>
                <w:szCs w:val="20"/>
                <w:lang w:val="en-GB"/>
              </w:rPr>
            </w:pPr>
            <w:r w:rsidRPr="00AC507B">
              <w:rPr>
                <w:b w:val="0"/>
                <w:sz w:val="20"/>
                <w:szCs w:val="20"/>
                <w:lang w:val="en-GB"/>
              </w:rPr>
              <w:t>C1.7</w:t>
            </w:r>
          </w:p>
        </w:tc>
        <w:tc>
          <w:tcPr>
            <w:tcW w:w="0" w:type="auto"/>
            <w:shd w:val="clear" w:color="auto" w:fill="auto"/>
          </w:tcPr>
          <w:p w14:paraId="472AA3DE" w14:textId="77777777" w:rsidR="00320A11" w:rsidRPr="004857D6" w:rsidRDefault="00320A11" w:rsidP="006B7A4F">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857D6">
              <w:rPr>
                <w:sz w:val="20"/>
                <w:szCs w:val="20"/>
                <w:lang w:val="en-GB"/>
              </w:rPr>
              <w:t>16</w:t>
            </w:r>
          </w:p>
        </w:tc>
        <w:tc>
          <w:tcPr>
            <w:tcW w:w="0" w:type="auto"/>
            <w:shd w:val="clear" w:color="auto" w:fill="auto"/>
          </w:tcPr>
          <w:p w14:paraId="472AA3DF" w14:textId="77777777" w:rsidR="00320A11" w:rsidRPr="004857D6" w:rsidRDefault="00320A11" w:rsidP="006B7A4F">
            <w:pPr>
              <w:tabs>
                <w:tab w:val="left" w:pos="240"/>
                <w:tab w:val="center" w:pos="523"/>
              </w:tabs>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857D6">
              <w:rPr>
                <w:sz w:val="20"/>
                <w:szCs w:val="20"/>
                <w:lang w:val="en-GB"/>
              </w:rPr>
              <w:t>100 %</w:t>
            </w:r>
          </w:p>
        </w:tc>
        <w:tc>
          <w:tcPr>
            <w:tcW w:w="0" w:type="auto"/>
            <w:shd w:val="clear" w:color="auto" w:fill="auto"/>
          </w:tcPr>
          <w:p w14:paraId="472AA3E0" w14:textId="77777777" w:rsidR="00320A11" w:rsidRPr="004857D6" w:rsidRDefault="00320A11" w:rsidP="006B7A4F">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857D6">
              <w:rPr>
                <w:sz w:val="20"/>
                <w:szCs w:val="20"/>
                <w:lang w:val="en-GB"/>
              </w:rPr>
              <w:t>0 %</w:t>
            </w:r>
          </w:p>
        </w:tc>
      </w:tr>
      <w:tr w:rsidR="00320A11" w:rsidRPr="004857D6" w14:paraId="472AA3E6" w14:textId="77777777" w:rsidTr="006B7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AA3E2" w14:textId="77777777" w:rsidR="00320A11" w:rsidRPr="001C7AE4" w:rsidRDefault="00320A11" w:rsidP="006B7A4F">
            <w:pPr>
              <w:jc w:val="center"/>
              <w:rPr>
                <w:sz w:val="20"/>
                <w:szCs w:val="20"/>
                <w:lang w:val="en-GB"/>
              </w:rPr>
            </w:pPr>
            <w:r w:rsidRPr="001C7AE4">
              <w:rPr>
                <w:sz w:val="20"/>
                <w:szCs w:val="20"/>
                <w:lang w:val="en-GB"/>
              </w:rPr>
              <w:t>C1.9</w:t>
            </w:r>
          </w:p>
        </w:tc>
        <w:tc>
          <w:tcPr>
            <w:tcW w:w="0" w:type="auto"/>
            <w:shd w:val="clear" w:color="auto" w:fill="auto"/>
          </w:tcPr>
          <w:p w14:paraId="472AA3E3" w14:textId="77777777" w:rsidR="00320A11" w:rsidRPr="004857D6" w:rsidRDefault="00320A11" w:rsidP="006B7A4F">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857D6">
              <w:rPr>
                <w:sz w:val="20"/>
                <w:szCs w:val="20"/>
                <w:lang w:val="en-GB"/>
              </w:rPr>
              <w:t>62</w:t>
            </w:r>
          </w:p>
        </w:tc>
        <w:tc>
          <w:tcPr>
            <w:tcW w:w="0" w:type="auto"/>
            <w:shd w:val="clear" w:color="auto" w:fill="auto"/>
          </w:tcPr>
          <w:p w14:paraId="472AA3E4" w14:textId="77777777" w:rsidR="00320A11" w:rsidRPr="004857D6" w:rsidRDefault="00320A11" w:rsidP="006B7A4F">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857D6">
              <w:rPr>
                <w:sz w:val="20"/>
                <w:szCs w:val="20"/>
                <w:lang w:val="en-GB"/>
              </w:rPr>
              <w:t>69 %</w:t>
            </w:r>
          </w:p>
        </w:tc>
        <w:tc>
          <w:tcPr>
            <w:tcW w:w="0" w:type="auto"/>
            <w:shd w:val="clear" w:color="auto" w:fill="auto"/>
          </w:tcPr>
          <w:p w14:paraId="472AA3E5" w14:textId="77777777" w:rsidR="00320A11" w:rsidRPr="004857D6" w:rsidRDefault="00320A11" w:rsidP="006B7A4F">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857D6">
              <w:rPr>
                <w:sz w:val="20"/>
                <w:szCs w:val="20"/>
                <w:lang w:val="en-GB"/>
              </w:rPr>
              <w:t>31 %</w:t>
            </w:r>
          </w:p>
        </w:tc>
      </w:tr>
      <w:tr w:rsidR="00320A11" w:rsidRPr="004857D6" w14:paraId="472AA3EB" w14:textId="77777777" w:rsidTr="006B7A4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AA3E7" w14:textId="77777777" w:rsidR="00320A11" w:rsidRPr="001C7AE4" w:rsidRDefault="00320A11" w:rsidP="006B7A4F">
            <w:pPr>
              <w:jc w:val="center"/>
              <w:rPr>
                <w:sz w:val="20"/>
                <w:szCs w:val="20"/>
                <w:lang w:val="en-GB"/>
              </w:rPr>
            </w:pPr>
            <w:r w:rsidRPr="001C7AE4">
              <w:rPr>
                <w:sz w:val="20"/>
                <w:szCs w:val="20"/>
                <w:lang w:val="en-GB"/>
              </w:rPr>
              <w:t>C1.13</w:t>
            </w:r>
          </w:p>
        </w:tc>
        <w:tc>
          <w:tcPr>
            <w:tcW w:w="0" w:type="auto"/>
            <w:shd w:val="clear" w:color="auto" w:fill="auto"/>
          </w:tcPr>
          <w:p w14:paraId="472AA3E8" w14:textId="77777777" w:rsidR="00320A11" w:rsidRPr="004857D6" w:rsidRDefault="00320A11" w:rsidP="006B7A4F">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857D6">
              <w:rPr>
                <w:sz w:val="20"/>
                <w:szCs w:val="20"/>
                <w:lang w:val="en-GB"/>
              </w:rPr>
              <w:t>32</w:t>
            </w:r>
          </w:p>
        </w:tc>
        <w:tc>
          <w:tcPr>
            <w:tcW w:w="0" w:type="auto"/>
            <w:shd w:val="clear" w:color="auto" w:fill="auto"/>
          </w:tcPr>
          <w:p w14:paraId="472AA3E9" w14:textId="77777777" w:rsidR="00320A11" w:rsidRPr="004857D6" w:rsidRDefault="00320A11" w:rsidP="006B7A4F">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857D6">
              <w:rPr>
                <w:sz w:val="20"/>
                <w:szCs w:val="20"/>
                <w:lang w:val="en-GB"/>
              </w:rPr>
              <w:t>84 %</w:t>
            </w:r>
          </w:p>
        </w:tc>
        <w:tc>
          <w:tcPr>
            <w:tcW w:w="0" w:type="auto"/>
            <w:shd w:val="clear" w:color="auto" w:fill="auto"/>
          </w:tcPr>
          <w:p w14:paraId="472AA3EA" w14:textId="77777777" w:rsidR="00320A11" w:rsidRPr="004857D6" w:rsidRDefault="00320A11" w:rsidP="006B7A4F">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857D6">
              <w:rPr>
                <w:sz w:val="20"/>
                <w:szCs w:val="20"/>
                <w:lang w:val="en-GB"/>
              </w:rPr>
              <w:t>16 %</w:t>
            </w:r>
          </w:p>
        </w:tc>
      </w:tr>
      <w:tr w:rsidR="00320A11" w:rsidRPr="004857D6" w14:paraId="472AA3F0" w14:textId="77777777" w:rsidTr="006B7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shd w:val="clear" w:color="auto" w:fill="auto"/>
          </w:tcPr>
          <w:p w14:paraId="472AA3EC" w14:textId="77777777" w:rsidR="00320A11" w:rsidRPr="00AC507B" w:rsidRDefault="00320A11" w:rsidP="006B7A4F">
            <w:pPr>
              <w:jc w:val="center"/>
              <w:rPr>
                <w:b w:val="0"/>
                <w:sz w:val="20"/>
                <w:szCs w:val="20"/>
                <w:lang w:val="en-GB"/>
              </w:rPr>
            </w:pPr>
            <w:r w:rsidRPr="00AC507B">
              <w:rPr>
                <w:b w:val="0"/>
                <w:sz w:val="20"/>
                <w:szCs w:val="20"/>
                <w:lang w:val="en-GB"/>
              </w:rPr>
              <w:t>C1.21</w:t>
            </w:r>
          </w:p>
        </w:tc>
        <w:tc>
          <w:tcPr>
            <w:tcW w:w="0" w:type="auto"/>
            <w:tcBorders>
              <w:bottom w:val="single" w:sz="8" w:space="0" w:color="000000" w:themeColor="text1"/>
            </w:tcBorders>
            <w:shd w:val="clear" w:color="auto" w:fill="auto"/>
          </w:tcPr>
          <w:p w14:paraId="472AA3ED" w14:textId="77777777" w:rsidR="00320A11" w:rsidRPr="004857D6" w:rsidRDefault="00320A11" w:rsidP="006B7A4F">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857D6">
              <w:rPr>
                <w:sz w:val="20"/>
                <w:szCs w:val="20"/>
                <w:lang w:val="en-GB"/>
              </w:rPr>
              <w:t>9</w:t>
            </w:r>
          </w:p>
        </w:tc>
        <w:tc>
          <w:tcPr>
            <w:tcW w:w="0" w:type="auto"/>
            <w:tcBorders>
              <w:bottom w:val="single" w:sz="8" w:space="0" w:color="000000" w:themeColor="text1"/>
            </w:tcBorders>
            <w:shd w:val="clear" w:color="auto" w:fill="auto"/>
          </w:tcPr>
          <w:p w14:paraId="472AA3EE" w14:textId="77777777" w:rsidR="00320A11" w:rsidRPr="004857D6" w:rsidRDefault="00320A11" w:rsidP="006B7A4F">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857D6">
              <w:rPr>
                <w:sz w:val="20"/>
                <w:szCs w:val="20"/>
                <w:lang w:val="en-GB"/>
              </w:rPr>
              <w:t>100 %</w:t>
            </w:r>
          </w:p>
        </w:tc>
        <w:tc>
          <w:tcPr>
            <w:tcW w:w="0" w:type="auto"/>
            <w:tcBorders>
              <w:bottom w:val="single" w:sz="8" w:space="0" w:color="000000" w:themeColor="text1"/>
            </w:tcBorders>
            <w:shd w:val="clear" w:color="auto" w:fill="auto"/>
          </w:tcPr>
          <w:p w14:paraId="472AA3EF" w14:textId="77777777" w:rsidR="00320A11" w:rsidRPr="004857D6" w:rsidRDefault="00320A11" w:rsidP="006B7A4F">
            <w:pPr>
              <w:keepNext/>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857D6">
              <w:rPr>
                <w:sz w:val="20"/>
                <w:szCs w:val="20"/>
                <w:lang w:val="en-GB"/>
              </w:rPr>
              <w:t>0 %</w:t>
            </w:r>
          </w:p>
        </w:tc>
      </w:tr>
    </w:tbl>
    <w:p w14:paraId="68B450F2" w14:textId="77777777" w:rsidR="007C7EF7" w:rsidRDefault="00320A11" w:rsidP="00524502">
      <w:pPr>
        <w:rPr>
          <w:rFonts w:cs="Times New Roman"/>
        </w:rPr>
      </w:pPr>
      <w:r w:rsidRPr="00E71E04">
        <w:rPr>
          <w:rFonts w:cs="Times New Roman"/>
        </w:rPr>
        <w:t xml:space="preserve">After amplification of the target mutation region, twenty-four Cas9-free samples were sequenced in order to confirm the presence of mutations and plant genotype. Sequencing results were analyzed by observation of double peaks at the cleavage site on the sequencing chromatogram, multiple sequence alignment and analysis of </w:t>
      </w:r>
      <w:proofErr w:type="spellStart"/>
      <w:r w:rsidRPr="00E71E04">
        <w:rPr>
          <w:rFonts w:cs="Times New Roman"/>
        </w:rPr>
        <w:t>indel</w:t>
      </w:r>
      <w:proofErr w:type="spellEnd"/>
      <w:r w:rsidRPr="00E71E04">
        <w:rPr>
          <w:rFonts w:cs="Times New Roman"/>
        </w:rPr>
        <w:t xml:space="preserve"> sizes and types with TIDE (tracking of </w:t>
      </w:r>
      <w:proofErr w:type="spellStart"/>
      <w:r w:rsidRPr="00E71E04">
        <w:rPr>
          <w:rFonts w:cs="Times New Roman"/>
        </w:rPr>
        <w:t>indels</w:t>
      </w:r>
      <w:proofErr w:type="spellEnd"/>
      <w:r w:rsidRPr="00E71E04">
        <w:rPr>
          <w:rFonts w:cs="Times New Roman"/>
        </w:rPr>
        <w:t xml:space="preserve"> by decomposition) analysis. Mutations were found in 56 % and 60 % of C1.9 and C1.13 progeny plants (T2) respectively, but in none of C1.3 progeny plants, giving an overall efficiency of 38 % in the T2 generation. Plant genotypes can be found in the</w:t>
      </w:r>
      <w:r>
        <w:rPr>
          <w:rFonts w:cs="Times New Roman"/>
        </w:rPr>
        <w:t xml:space="preserve"> Supplementary</w:t>
      </w:r>
      <w:r w:rsidRPr="00E71E04">
        <w:rPr>
          <w:rFonts w:cs="Times New Roman"/>
        </w:rPr>
        <w:t xml:space="preserve"> Table 2. According to TIDE analysis, the most commonly occurring mutation in the C1.9 progeny was one </w:t>
      </w:r>
      <w:proofErr w:type="spellStart"/>
      <w:r w:rsidRPr="00E71E04">
        <w:rPr>
          <w:rFonts w:cs="Times New Roman"/>
        </w:rPr>
        <w:t>bp</w:t>
      </w:r>
      <w:proofErr w:type="spellEnd"/>
      <w:r w:rsidRPr="00E71E04">
        <w:rPr>
          <w:rFonts w:cs="Times New Roman"/>
        </w:rPr>
        <w:t xml:space="preserve"> insertion (including one homozygous plant C1.9-C, KO-1) with two exceptions; in one heterozygous </w:t>
      </w:r>
      <w:proofErr w:type="spellStart"/>
      <w:r w:rsidRPr="00E71E04">
        <w:rPr>
          <w:rFonts w:cs="Times New Roman"/>
        </w:rPr>
        <w:t>monoallelic</w:t>
      </w:r>
      <w:proofErr w:type="spellEnd"/>
      <w:r w:rsidRPr="00E71E04">
        <w:rPr>
          <w:rFonts w:cs="Times New Roman"/>
        </w:rPr>
        <w:t xml:space="preserve"> plant a seven </w:t>
      </w:r>
      <w:proofErr w:type="spellStart"/>
      <w:r w:rsidRPr="00E71E04">
        <w:rPr>
          <w:rFonts w:cs="Times New Roman"/>
        </w:rPr>
        <w:t>bp</w:t>
      </w:r>
      <w:proofErr w:type="spellEnd"/>
      <w:r w:rsidRPr="00E71E04">
        <w:rPr>
          <w:rFonts w:cs="Times New Roman"/>
        </w:rPr>
        <w:t xml:space="preserve"> deletion was found (C1.9-H), and one </w:t>
      </w:r>
      <w:proofErr w:type="spellStart"/>
      <w:r w:rsidRPr="00E71E04">
        <w:rPr>
          <w:rFonts w:cs="Times New Roman"/>
        </w:rPr>
        <w:t>biallelic</w:t>
      </w:r>
      <w:proofErr w:type="spellEnd"/>
      <w:r w:rsidRPr="00E71E04">
        <w:rPr>
          <w:rFonts w:cs="Times New Roman"/>
        </w:rPr>
        <w:t xml:space="preserve"> plant which showed a one </w:t>
      </w:r>
      <w:proofErr w:type="spellStart"/>
      <w:r w:rsidRPr="00E71E04">
        <w:rPr>
          <w:rFonts w:cs="Times New Roman"/>
        </w:rPr>
        <w:t>bp</w:t>
      </w:r>
      <w:proofErr w:type="spellEnd"/>
      <w:r w:rsidRPr="00E71E04">
        <w:rPr>
          <w:rFonts w:cs="Times New Roman"/>
        </w:rPr>
        <w:t xml:space="preserve"> insertion and one </w:t>
      </w:r>
      <w:proofErr w:type="spellStart"/>
      <w:r w:rsidRPr="00E71E04">
        <w:rPr>
          <w:rFonts w:cs="Times New Roman"/>
        </w:rPr>
        <w:t>bp</w:t>
      </w:r>
      <w:proofErr w:type="spellEnd"/>
      <w:r w:rsidRPr="00E71E04">
        <w:rPr>
          <w:rFonts w:cs="Times New Roman"/>
        </w:rPr>
        <w:t xml:space="preserve"> deletion (C1.9-D). The progeny of the C1.13 plant showed mostly mutations of three or six </w:t>
      </w:r>
      <w:proofErr w:type="spellStart"/>
      <w:r w:rsidRPr="00E71E04">
        <w:rPr>
          <w:rFonts w:cs="Times New Roman"/>
        </w:rPr>
        <w:t>bp</w:t>
      </w:r>
      <w:proofErr w:type="spellEnd"/>
      <w:r w:rsidRPr="00E71E04">
        <w:rPr>
          <w:rFonts w:cs="Times New Roman"/>
        </w:rPr>
        <w:t xml:space="preserve"> deletions. </w:t>
      </w:r>
    </w:p>
    <w:p w14:paraId="472AA3F2" w14:textId="1CC26549" w:rsidR="00320A11" w:rsidRPr="007C7EF7" w:rsidRDefault="00524502" w:rsidP="00524502">
      <w:pPr>
        <w:rPr>
          <w:rFonts w:cs="Times New Roman"/>
        </w:rPr>
      </w:pPr>
      <w:bookmarkStart w:id="3" w:name="_GoBack"/>
      <w:bookmarkEnd w:id="3"/>
      <w:r w:rsidRPr="007C7EF7">
        <w:t>When searching for plants with a</w:t>
      </w:r>
      <w:r w:rsidR="007608AA" w:rsidRPr="007C7EF7">
        <w:t xml:space="preserve"> </w:t>
      </w:r>
      <w:r w:rsidRPr="007C7EF7">
        <w:t>gene KO</w:t>
      </w:r>
      <w:r w:rsidR="00515406" w:rsidRPr="007C7EF7">
        <w:t xml:space="preserve"> for ArathEULS3</w:t>
      </w:r>
      <w:r w:rsidRPr="007C7EF7">
        <w:t>, plants with insertions or deletions of 3n nucleotides are not considered interesting due to the insertion or deletion of whole codon sequences, causing insertions or deletion</w:t>
      </w:r>
      <w:r w:rsidR="00515406" w:rsidRPr="007C7EF7">
        <w:t>s of full amino acids, but not the</w:t>
      </w:r>
      <w:r w:rsidRPr="007C7EF7">
        <w:t xml:space="preserve"> desired frameshift. Therefore, after transcription and translation of such sequence, there is still a possibility that a protein might fold correctly and retain its function.</w:t>
      </w:r>
      <w:r w:rsidR="00320A11">
        <w:br w:type="page"/>
      </w:r>
    </w:p>
    <w:p w14:paraId="472AA3F3" w14:textId="63C7A400" w:rsidR="00320A11" w:rsidRPr="00E71E04" w:rsidRDefault="00320A11" w:rsidP="00320A11">
      <w:pPr>
        <w:pStyle w:val="Bijschrift"/>
      </w:pPr>
      <w:r>
        <w:lastRenderedPageBreak/>
        <w:t>Suppleme</w:t>
      </w:r>
      <w:r w:rsidR="00577810">
        <w:t>n</w:t>
      </w:r>
      <w:r>
        <w:t xml:space="preserve">tary </w:t>
      </w:r>
      <w:r w:rsidRPr="00E71E04">
        <w:t xml:space="preserve">Table </w:t>
      </w:r>
      <w:r w:rsidR="00996881">
        <w:t>S</w:t>
      </w:r>
      <w:r>
        <w:fldChar w:fldCharType="begin"/>
      </w:r>
      <w:r>
        <w:instrText xml:space="preserve"> SEQ Table \* ARABIC </w:instrText>
      </w:r>
      <w:r>
        <w:fldChar w:fldCharType="separate"/>
      </w:r>
      <w:r>
        <w:rPr>
          <w:noProof/>
        </w:rPr>
        <w:t>2</w:t>
      </w:r>
      <w:r>
        <w:rPr>
          <w:noProof/>
        </w:rPr>
        <w:fldChar w:fldCharType="end"/>
      </w:r>
      <w:r w:rsidRPr="00E71E04">
        <w:t xml:space="preserve"> </w:t>
      </w:r>
      <w:r w:rsidRPr="00C916A3">
        <w:rPr>
          <w:b w:val="0"/>
        </w:rPr>
        <w:t>Genotypes found in T2 generation of Cas9-free plants</w:t>
      </w:r>
    </w:p>
    <w:tbl>
      <w:tblPr>
        <w:tblStyle w:val="Lichtearcering"/>
        <w:tblW w:w="0" w:type="auto"/>
        <w:jc w:val="center"/>
        <w:tblLook w:val="04A0" w:firstRow="1" w:lastRow="0" w:firstColumn="1" w:lastColumn="0" w:noHBand="0" w:noVBand="1"/>
      </w:tblPr>
      <w:tblGrid>
        <w:gridCol w:w="711"/>
        <w:gridCol w:w="1303"/>
        <w:gridCol w:w="1616"/>
        <w:gridCol w:w="1616"/>
        <w:gridCol w:w="1536"/>
      </w:tblGrid>
      <w:tr w:rsidR="00320A11" w:rsidRPr="00E71E04" w14:paraId="472AA3FB" w14:textId="77777777" w:rsidTr="006B7A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AA3F4" w14:textId="77777777" w:rsidR="00320A11" w:rsidRPr="00E71E04" w:rsidRDefault="00320A11" w:rsidP="006B7A4F">
            <w:pPr>
              <w:jc w:val="center"/>
              <w:rPr>
                <w:rFonts w:cs="Times New Roman"/>
                <w:lang w:val="en-GB"/>
              </w:rPr>
            </w:pPr>
          </w:p>
        </w:tc>
        <w:tc>
          <w:tcPr>
            <w:tcW w:w="0" w:type="auto"/>
            <w:shd w:val="clear" w:color="auto" w:fill="auto"/>
          </w:tcPr>
          <w:p w14:paraId="472AA3F5" w14:textId="77777777" w:rsidR="00320A11" w:rsidRPr="00E71E04" w:rsidRDefault="00320A11" w:rsidP="006B7A4F">
            <w:pPr>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E71E04">
              <w:rPr>
                <w:rFonts w:cs="Times New Roman"/>
                <w:lang w:val="en-GB"/>
              </w:rPr>
              <w:t>Wild Type</w:t>
            </w:r>
          </w:p>
        </w:tc>
        <w:tc>
          <w:tcPr>
            <w:tcW w:w="0" w:type="auto"/>
            <w:shd w:val="clear" w:color="auto" w:fill="auto"/>
          </w:tcPr>
          <w:p w14:paraId="472AA3F6" w14:textId="77777777" w:rsidR="00320A11" w:rsidRPr="00E71E04" w:rsidRDefault="00320A11" w:rsidP="006B7A4F">
            <w:pPr>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E71E04">
              <w:rPr>
                <w:rFonts w:cs="Times New Roman"/>
                <w:lang w:val="en-GB"/>
              </w:rPr>
              <w:t>Heterozygous</w:t>
            </w:r>
          </w:p>
          <w:p w14:paraId="472AA3F7" w14:textId="77777777" w:rsidR="00320A11" w:rsidRPr="00E71E04" w:rsidRDefault="00320A11" w:rsidP="006B7A4F">
            <w:pPr>
              <w:jc w:val="center"/>
              <w:cnfStyle w:val="100000000000" w:firstRow="1" w:lastRow="0" w:firstColumn="0" w:lastColumn="0" w:oddVBand="0" w:evenVBand="0" w:oddHBand="0" w:evenHBand="0" w:firstRowFirstColumn="0" w:firstRowLastColumn="0" w:lastRowFirstColumn="0" w:lastRowLastColumn="0"/>
              <w:rPr>
                <w:rFonts w:cs="Times New Roman"/>
                <w:lang w:val="en-GB"/>
              </w:rPr>
            </w:pPr>
            <w:proofErr w:type="spellStart"/>
            <w:r w:rsidRPr="00E71E04">
              <w:rPr>
                <w:rFonts w:cs="Times New Roman"/>
                <w:lang w:val="en-GB"/>
              </w:rPr>
              <w:t>monoallelic</w:t>
            </w:r>
            <w:proofErr w:type="spellEnd"/>
          </w:p>
        </w:tc>
        <w:tc>
          <w:tcPr>
            <w:tcW w:w="0" w:type="auto"/>
            <w:shd w:val="clear" w:color="auto" w:fill="auto"/>
          </w:tcPr>
          <w:p w14:paraId="472AA3F8" w14:textId="77777777" w:rsidR="00320A11" w:rsidRPr="00E71E04" w:rsidRDefault="00320A11" w:rsidP="006B7A4F">
            <w:pPr>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E71E04">
              <w:rPr>
                <w:rFonts w:cs="Times New Roman"/>
                <w:lang w:val="en-GB"/>
              </w:rPr>
              <w:t xml:space="preserve">Heterozygous </w:t>
            </w:r>
          </w:p>
          <w:p w14:paraId="472AA3F9" w14:textId="77777777" w:rsidR="00320A11" w:rsidRPr="00E71E04" w:rsidRDefault="00320A11" w:rsidP="006B7A4F">
            <w:pPr>
              <w:jc w:val="center"/>
              <w:cnfStyle w:val="100000000000" w:firstRow="1" w:lastRow="0" w:firstColumn="0" w:lastColumn="0" w:oddVBand="0" w:evenVBand="0" w:oddHBand="0" w:evenHBand="0" w:firstRowFirstColumn="0" w:firstRowLastColumn="0" w:lastRowFirstColumn="0" w:lastRowLastColumn="0"/>
              <w:rPr>
                <w:rFonts w:cs="Times New Roman"/>
                <w:lang w:val="en-GB"/>
              </w:rPr>
            </w:pPr>
            <w:proofErr w:type="spellStart"/>
            <w:r w:rsidRPr="00E71E04">
              <w:rPr>
                <w:rFonts w:cs="Times New Roman"/>
                <w:lang w:val="en-GB"/>
              </w:rPr>
              <w:t>biallelic</w:t>
            </w:r>
            <w:proofErr w:type="spellEnd"/>
          </w:p>
        </w:tc>
        <w:tc>
          <w:tcPr>
            <w:tcW w:w="0" w:type="auto"/>
            <w:shd w:val="clear" w:color="auto" w:fill="auto"/>
          </w:tcPr>
          <w:p w14:paraId="472AA3FA" w14:textId="77777777" w:rsidR="00320A11" w:rsidRPr="00E71E04" w:rsidRDefault="00320A11" w:rsidP="006B7A4F">
            <w:pPr>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E71E04">
              <w:rPr>
                <w:rFonts w:cs="Times New Roman"/>
                <w:lang w:val="en-GB"/>
              </w:rPr>
              <w:t>Homozygous</w:t>
            </w:r>
          </w:p>
        </w:tc>
      </w:tr>
      <w:tr w:rsidR="00320A11" w:rsidRPr="00E71E04" w14:paraId="472AA401" w14:textId="77777777" w:rsidTr="006B7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AA3FC" w14:textId="77777777" w:rsidR="00320A11" w:rsidRPr="00E71E04" w:rsidRDefault="00320A11" w:rsidP="006B7A4F">
            <w:pPr>
              <w:jc w:val="center"/>
              <w:rPr>
                <w:rFonts w:cs="Times New Roman"/>
                <w:sz w:val="20"/>
                <w:szCs w:val="20"/>
                <w:lang w:val="en-GB"/>
              </w:rPr>
            </w:pPr>
            <w:r w:rsidRPr="00E71E04">
              <w:rPr>
                <w:rFonts w:cs="Times New Roman"/>
                <w:sz w:val="20"/>
                <w:szCs w:val="20"/>
                <w:lang w:val="en-GB"/>
              </w:rPr>
              <w:t>C1.3</w:t>
            </w:r>
          </w:p>
        </w:tc>
        <w:tc>
          <w:tcPr>
            <w:tcW w:w="0" w:type="auto"/>
            <w:shd w:val="clear" w:color="auto" w:fill="auto"/>
          </w:tcPr>
          <w:p w14:paraId="472AA3FD" w14:textId="77777777" w:rsidR="00320A11" w:rsidRPr="00E71E04" w:rsidRDefault="00320A11" w:rsidP="006B7A4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71E04">
              <w:rPr>
                <w:rFonts w:cs="Times New Roman"/>
                <w:sz w:val="20"/>
                <w:szCs w:val="20"/>
                <w:lang w:val="en-GB"/>
              </w:rPr>
              <w:t>100 %</w:t>
            </w:r>
          </w:p>
        </w:tc>
        <w:tc>
          <w:tcPr>
            <w:tcW w:w="0" w:type="auto"/>
            <w:shd w:val="clear" w:color="auto" w:fill="auto"/>
          </w:tcPr>
          <w:p w14:paraId="472AA3FE" w14:textId="77777777" w:rsidR="00320A11" w:rsidRPr="00E71E04" w:rsidRDefault="00320A11" w:rsidP="006B7A4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71E04">
              <w:rPr>
                <w:rFonts w:cs="Times New Roman"/>
                <w:sz w:val="20"/>
                <w:szCs w:val="20"/>
                <w:lang w:val="en-GB"/>
              </w:rPr>
              <w:t>0 %</w:t>
            </w:r>
          </w:p>
        </w:tc>
        <w:tc>
          <w:tcPr>
            <w:tcW w:w="0" w:type="auto"/>
            <w:shd w:val="clear" w:color="auto" w:fill="auto"/>
          </w:tcPr>
          <w:p w14:paraId="472AA3FF" w14:textId="77777777" w:rsidR="00320A11" w:rsidRPr="00E71E04" w:rsidRDefault="00320A11" w:rsidP="006B7A4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71E04">
              <w:rPr>
                <w:rFonts w:cs="Times New Roman"/>
                <w:sz w:val="20"/>
                <w:szCs w:val="20"/>
                <w:lang w:val="en-GB"/>
              </w:rPr>
              <w:t>0 %</w:t>
            </w:r>
          </w:p>
        </w:tc>
        <w:tc>
          <w:tcPr>
            <w:tcW w:w="0" w:type="auto"/>
            <w:shd w:val="clear" w:color="auto" w:fill="auto"/>
          </w:tcPr>
          <w:p w14:paraId="472AA400" w14:textId="77777777" w:rsidR="00320A11" w:rsidRPr="00E71E04" w:rsidRDefault="00320A11" w:rsidP="006B7A4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71E04">
              <w:rPr>
                <w:rFonts w:cs="Times New Roman"/>
                <w:sz w:val="20"/>
                <w:szCs w:val="20"/>
                <w:lang w:val="en-GB"/>
              </w:rPr>
              <w:t>0 %</w:t>
            </w:r>
          </w:p>
        </w:tc>
      </w:tr>
      <w:tr w:rsidR="00320A11" w:rsidRPr="00E71E04" w14:paraId="472AA407" w14:textId="77777777" w:rsidTr="006B7A4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AA402" w14:textId="77777777" w:rsidR="00320A11" w:rsidRPr="00E71E04" w:rsidRDefault="00320A11" w:rsidP="006B7A4F">
            <w:pPr>
              <w:jc w:val="center"/>
              <w:rPr>
                <w:rFonts w:cs="Times New Roman"/>
                <w:sz w:val="20"/>
                <w:szCs w:val="20"/>
                <w:lang w:val="en-GB"/>
              </w:rPr>
            </w:pPr>
            <w:r w:rsidRPr="00E71E04">
              <w:rPr>
                <w:rFonts w:cs="Times New Roman"/>
                <w:sz w:val="20"/>
                <w:szCs w:val="20"/>
                <w:lang w:val="en-GB"/>
              </w:rPr>
              <w:t>C1.9</w:t>
            </w:r>
          </w:p>
        </w:tc>
        <w:tc>
          <w:tcPr>
            <w:tcW w:w="0" w:type="auto"/>
            <w:shd w:val="clear" w:color="auto" w:fill="auto"/>
          </w:tcPr>
          <w:p w14:paraId="472AA403" w14:textId="77777777" w:rsidR="00320A11" w:rsidRPr="00E71E04" w:rsidRDefault="00320A11" w:rsidP="006B7A4F">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E71E04">
              <w:rPr>
                <w:rFonts w:cs="Times New Roman"/>
                <w:sz w:val="20"/>
                <w:szCs w:val="20"/>
                <w:lang w:val="en-GB"/>
              </w:rPr>
              <w:t>44 %</w:t>
            </w:r>
          </w:p>
        </w:tc>
        <w:tc>
          <w:tcPr>
            <w:tcW w:w="0" w:type="auto"/>
            <w:shd w:val="clear" w:color="auto" w:fill="auto"/>
          </w:tcPr>
          <w:p w14:paraId="472AA404" w14:textId="77777777" w:rsidR="00320A11" w:rsidRPr="00E71E04" w:rsidRDefault="00320A11" w:rsidP="006B7A4F">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E71E04">
              <w:rPr>
                <w:rFonts w:cs="Times New Roman"/>
                <w:sz w:val="20"/>
                <w:szCs w:val="20"/>
                <w:lang w:val="en-GB"/>
              </w:rPr>
              <w:t>44 %</w:t>
            </w:r>
          </w:p>
        </w:tc>
        <w:tc>
          <w:tcPr>
            <w:tcW w:w="0" w:type="auto"/>
            <w:shd w:val="clear" w:color="auto" w:fill="auto"/>
          </w:tcPr>
          <w:p w14:paraId="472AA405" w14:textId="77777777" w:rsidR="00320A11" w:rsidRPr="00E71E04" w:rsidRDefault="00320A11" w:rsidP="006B7A4F">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E71E04">
              <w:rPr>
                <w:rFonts w:cs="Times New Roman"/>
                <w:sz w:val="20"/>
                <w:szCs w:val="20"/>
                <w:lang w:val="en-GB"/>
              </w:rPr>
              <w:t>6 %</w:t>
            </w:r>
          </w:p>
        </w:tc>
        <w:tc>
          <w:tcPr>
            <w:tcW w:w="0" w:type="auto"/>
            <w:shd w:val="clear" w:color="auto" w:fill="auto"/>
          </w:tcPr>
          <w:p w14:paraId="472AA406" w14:textId="77777777" w:rsidR="00320A11" w:rsidRPr="00E71E04" w:rsidRDefault="00320A11" w:rsidP="006B7A4F">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E71E04">
              <w:rPr>
                <w:rFonts w:cs="Times New Roman"/>
                <w:sz w:val="20"/>
                <w:szCs w:val="20"/>
                <w:lang w:val="en-GB"/>
              </w:rPr>
              <w:t>6 %</w:t>
            </w:r>
          </w:p>
        </w:tc>
      </w:tr>
      <w:tr w:rsidR="00320A11" w:rsidRPr="00E71E04" w14:paraId="472AA40D" w14:textId="77777777" w:rsidTr="006B7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AA408" w14:textId="77777777" w:rsidR="00320A11" w:rsidRPr="00E71E04" w:rsidRDefault="00320A11" w:rsidP="006B7A4F">
            <w:pPr>
              <w:jc w:val="center"/>
              <w:rPr>
                <w:rFonts w:cs="Times New Roman"/>
                <w:sz w:val="20"/>
                <w:szCs w:val="20"/>
                <w:lang w:val="en-GB"/>
              </w:rPr>
            </w:pPr>
            <w:r w:rsidRPr="00E71E04">
              <w:rPr>
                <w:rFonts w:cs="Times New Roman"/>
                <w:sz w:val="20"/>
                <w:szCs w:val="20"/>
                <w:lang w:val="en-GB"/>
              </w:rPr>
              <w:t>C1.13</w:t>
            </w:r>
          </w:p>
        </w:tc>
        <w:tc>
          <w:tcPr>
            <w:tcW w:w="0" w:type="auto"/>
            <w:shd w:val="clear" w:color="auto" w:fill="auto"/>
          </w:tcPr>
          <w:p w14:paraId="472AA409" w14:textId="77777777" w:rsidR="00320A11" w:rsidRPr="00E71E04" w:rsidRDefault="00320A11" w:rsidP="006B7A4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71E04">
              <w:rPr>
                <w:rFonts w:cs="Times New Roman"/>
                <w:sz w:val="20"/>
                <w:szCs w:val="20"/>
                <w:lang w:val="en-GB"/>
              </w:rPr>
              <w:t>40 %</w:t>
            </w:r>
          </w:p>
        </w:tc>
        <w:tc>
          <w:tcPr>
            <w:tcW w:w="0" w:type="auto"/>
            <w:shd w:val="clear" w:color="auto" w:fill="auto"/>
          </w:tcPr>
          <w:p w14:paraId="472AA40A" w14:textId="77777777" w:rsidR="00320A11" w:rsidRPr="00E71E04" w:rsidRDefault="00320A11" w:rsidP="006B7A4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71E04">
              <w:rPr>
                <w:rFonts w:cs="Times New Roman"/>
                <w:sz w:val="20"/>
                <w:szCs w:val="20"/>
                <w:lang w:val="en-GB"/>
              </w:rPr>
              <w:t>20 %</w:t>
            </w:r>
          </w:p>
        </w:tc>
        <w:tc>
          <w:tcPr>
            <w:tcW w:w="0" w:type="auto"/>
            <w:shd w:val="clear" w:color="auto" w:fill="auto"/>
          </w:tcPr>
          <w:p w14:paraId="472AA40B" w14:textId="77777777" w:rsidR="00320A11" w:rsidRPr="00E71E04" w:rsidRDefault="00320A11" w:rsidP="006B7A4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71E04">
              <w:rPr>
                <w:rFonts w:cs="Times New Roman"/>
                <w:sz w:val="20"/>
                <w:szCs w:val="20"/>
                <w:lang w:val="en-GB"/>
              </w:rPr>
              <w:t>40 %</w:t>
            </w:r>
          </w:p>
        </w:tc>
        <w:tc>
          <w:tcPr>
            <w:tcW w:w="0" w:type="auto"/>
            <w:shd w:val="clear" w:color="auto" w:fill="auto"/>
          </w:tcPr>
          <w:p w14:paraId="472AA40C" w14:textId="77777777" w:rsidR="00320A11" w:rsidRPr="00E71E04" w:rsidRDefault="00320A11" w:rsidP="006B7A4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71E04">
              <w:rPr>
                <w:rFonts w:cs="Times New Roman"/>
                <w:sz w:val="20"/>
                <w:szCs w:val="20"/>
                <w:lang w:val="en-GB"/>
              </w:rPr>
              <w:t>0 %</w:t>
            </w:r>
          </w:p>
        </w:tc>
      </w:tr>
    </w:tbl>
    <w:p w14:paraId="472AA40E" w14:textId="77777777" w:rsidR="00320A11" w:rsidRDefault="00320A11" w:rsidP="00320A11">
      <w:pPr>
        <w:rPr>
          <w:rFonts w:cs="Times New Roman"/>
        </w:rPr>
      </w:pPr>
      <w:r w:rsidRPr="00E71E04">
        <w:rPr>
          <w:rFonts w:cs="Times New Roman"/>
        </w:rPr>
        <w:t xml:space="preserve">The homozygosity of the C1.9-C (KO1) mutant (1 </w:t>
      </w:r>
      <w:proofErr w:type="spellStart"/>
      <w:r w:rsidRPr="00E71E04">
        <w:rPr>
          <w:rFonts w:cs="Times New Roman"/>
        </w:rPr>
        <w:t>bp</w:t>
      </w:r>
      <w:proofErr w:type="spellEnd"/>
      <w:r w:rsidRPr="00E71E04">
        <w:rPr>
          <w:rFonts w:cs="Times New Roman"/>
        </w:rPr>
        <w:t xml:space="preserve"> insertion) was confirmed in the T3 generation by sequencing the target mutation region from five independent plants, the absence of double peaks on the chromatogram and additional TIDE analysis.</w:t>
      </w:r>
      <w:r>
        <w:rPr>
          <w:rFonts w:cs="Times New Roman"/>
        </w:rPr>
        <w:t xml:space="preserve"> </w:t>
      </w:r>
      <w:r w:rsidRPr="00E71E04">
        <w:rPr>
          <w:rFonts w:cs="Times New Roman"/>
        </w:rPr>
        <w:t xml:space="preserve">Another homozygous mutant with a 1 </w:t>
      </w:r>
      <w:proofErr w:type="spellStart"/>
      <w:r w:rsidRPr="00E71E04">
        <w:rPr>
          <w:rFonts w:cs="Times New Roman"/>
        </w:rPr>
        <w:t>bp</w:t>
      </w:r>
      <w:proofErr w:type="spellEnd"/>
      <w:r w:rsidRPr="00E71E04">
        <w:rPr>
          <w:rFonts w:cs="Times New Roman"/>
        </w:rPr>
        <w:t xml:space="preserve"> deletion was selected by sequencing DNA of the </w:t>
      </w:r>
      <w:proofErr w:type="spellStart"/>
      <w:r w:rsidRPr="00E71E04">
        <w:rPr>
          <w:rFonts w:cs="Times New Roman"/>
        </w:rPr>
        <w:t>biallelic</w:t>
      </w:r>
      <w:proofErr w:type="spellEnd"/>
      <w:r w:rsidRPr="00E71E04">
        <w:rPr>
          <w:rFonts w:cs="Times New Roman"/>
        </w:rPr>
        <w:t xml:space="preserve"> C1.9-D progeny plants</w:t>
      </w:r>
      <w:r w:rsidR="00952AEC">
        <w:rPr>
          <w:rFonts w:cs="Times New Roman"/>
        </w:rPr>
        <w:t xml:space="preserve"> (Supplementary Figure S2)</w:t>
      </w:r>
      <w:r w:rsidRPr="00E71E04">
        <w:rPr>
          <w:rFonts w:cs="Times New Roman"/>
        </w:rPr>
        <w:t xml:space="preserve">. Out of seven sequenced samples, four were homozygous with one </w:t>
      </w:r>
      <w:proofErr w:type="spellStart"/>
      <w:r w:rsidRPr="00E71E04">
        <w:rPr>
          <w:rFonts w:cs="Times New Roman"/>
        </w:rPr>
        <w:t>bp</w:t>
      </w:r>
      <w:proofErr w:type="spellEnd"/>
      <w:r w:rsidRPr="00E71E04">
        <w:rPr>
          <w:rFonts w:cs="Times New Roman"/>
        </w:rPr>
        <w:t xml:space="preserve"> insertion, one was again </w:t>
      </w:r>
      <w:proofErr w:type="spellStart"/>
      <w:r w:rsidRPr="00E71E04">
        <w:rPr>
          <w:rFonts w:cs="Times New Roman"/>
        </w:rPr>
        <w:t>biallelic</w:t>
      </w:r>
      <w:proofErr w:type="spellEnd"/>
      <w:r w:rsidRPr="00E71E04">
        <w:rPr>
          <w:rFonts w:cs="Times New Roman"/>
        </w:rPr>
        <w:t xml:space="preserve"> and two were homozygous with one </w:t>
      </w:r>
      <w:proofErr w:type="spellStart"/>
      <w:r w:rsidRPr="00E71E04">
        <w:rPr>
          <w:rFonts w:cs="Times New Roman"/>
        </w:rPr>
        <w:t>bp</w:t>
      </w:r>
      <w:proofErr w:type="spellEnd"/>
      <w:r w:rsidRPr="00E71E04">
        <w:rPr>
          <w:rFonts w:cs="Times New Roman"/>
        </w:rPr>
        <w:t xml:space="preserve"> deletion (C1.9-D-6 and C1.9-D-7, KO2).</w:t>
      </w:r>
      <w:r>
        <w:rPr>
          <w:rFonts w:cs="Times New Roman"/>
        </w:rPr>
        <w:t xml:space="preserve"> Taken together those results suggest that by using heat stress we managed to improve the efficiency of the CRISPR mediated gene KO and successfully select two independent homozygous ArathEULS3 KO lines.</w:t>
      </w:r>
    </w:p>
    <w:p w14:paraId="472AA40F" w14:textId="77777777" w:rsidR="00320A11" w:rsidRDefault="00320A11" w:rsidP="00320A11"/>
    <w:p w14:paraId="472AA410" w14:textId="77777777" w:rsidR="00320A11" w:rsidRDefault="00320A11" w:rsidP="00320A11">
      <w:pPr>
        <w:keepNext/>
        <w:rPr>
          <w:rFonts w:cs="Times New Roman"/>
          <w:lang w:val="nl-BE"/>
        </w:rPr>
      </w:pPr>
      <w:r>
        <w:rPr>
          <w:rFonts w:cs="Times New Roman"/>
          <w:noProof/>
        </w:rPr>
        <w:drawing>
          <wp:inline distT="0" distB="0" distL="0" distR="0" wp14:anchorId="472AA414" wp14:editId="472AA415">
            <wp:extent cx="6030270" cy="317071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2916" cy="3172103"/>
                    </a:xfrm>
                    <a:prstGeom prst="rect">
                      <a:avLst/>
                    </a:prstGeom>
                    <a:noFill/>
                    <a:ln>
                      <a:noFill/>
                    </a:ln>
                  </pic:spPr>
                </pic:pic>
              </a:graphicData>
            </a:graphic>
          </wp:inline>
        </w:drawing>
      </w:r>
    </w:p>
    <w:p w14:paraId="472AA411" w14:textId="77777777" w:rsidR="00320A11" w:rsidRPr="003F2DD7" w:rsidRDefault="00320A11" w:rsidP="00320A11">
      <w:pPr>
        <w:pStyle w:val="Ondertitel"/>
        <w:rPr>
          <w:b w:val="0"/>
        </w:rPr>
      </w:pPr>
      <w:r w:rsidRPr="003F2DD7">
        <w:t xml:space="preserve">Supplementary Figure </w:t>
      </w:r>
      <w:r>
        <w:t>S</w:t>
      </w:r>
      <w:r w:rsidRPr="003F2DD7">
        <w:t>1:</w:t>
      </w:r>
      <w:r>
        <w:t xml:space="preserve"> </w:t>
      </w:r>
      <w:r w:rsidRPr="00793B1B">
        <w:rPr>
          <w:b w:val="0"/>
        </w:rPr>
        <w:t>CDS of ArathEULS3.</w:t>
      </w:r>
      <w:r w:rsidRPr="003F2DD7">
        <w:rPr>
          <w:b w:val="0"/>
        </w:rPr>
        <w:t xml:space="preserve"> Three 20-nucleotide CRISPR spacer sequences (CRISPR1, CRISPR2 and CRISPR3</w:t>
      </w:r>
      <w:r>
        <w:rPr>
          <w:b w:val="0"/>
        </w:rPr>
        <w:t xml:space="preserve"> are indicated</w:t>
      </w:r>
      <w:r w:rsidRPr="00793B1B">
        <w:rPr>
          <w:b w:val="0"/>
        </w:rPr>
        <w:t xml:space="preserve"> </w:t>
      </w:r>
      <w:r>
        <w:rPr>
          <w:b w:val="0"/>
        </w:rPr>
        <w:t>in y</w:t>
      </w:r>
      <w:r w:rsidRPr="003F2DD7">
        <w:rPr>
          <w:b w:val="0"/>
        </w:rPr>
        <w:t>ellow</w:t>
      </w:r>
      <w:r>
        <w:rPr>
          <w:b w:val="0"/>
        </w:rPr>
        <w:t>)</w:t>
      </w:r>
      <w:r w:rsidRPr="003F2DD7">
        <w:rPr>
          <w:b w:val="0"/>
        </w:rPr>
        <w:t xml:space="preserve">. </w:t>
      </w:r>
      <w:proofErr w:type="spellStart"/>
      <w:r w:rsidRPr="003F2DD7">
        <w:rPr>
          <w:b w:val="0"/>
        </w:rPr>
        <w:t>Protospacer</w:t>
      </w:r>
      <w:proofErr w:type="spellEnd"/>
      <w:r w:rsidRPr="003F2DD7">
        <w:rPr>
          <w:b w:val="0"/>
        </w:rPr>
        <w:t xml:space="preserve"> adjacent motifs (PAM) are </w:t>
      </w:r>
      <w:r>
        <w:rPr>
          <w:b w:val="0"/>
        </w:rPr>
        <w:t>shown</w:t>
      </w:r>
      <w:r w:rsidRPr="003F2DD7">
        <w:rPr>
          <w:b w:val="0"/>
        </w:rPr>
        <w:t xml:space="preserve"> in blue, predicted cleavage sites in red</w:t>
      </w:r>
      <w:r>
        <w:rPr>
          <w:b w:val="0"/>
        </w:rPr>
        <w:t>. T</w:t>
      </w:r>
      <w:r w:rsidRPr="003F2DD7">
        <w:rPr>
          <w:b w:val="0"/>
        </w:rPr>
        <w:t xml:space="preserve">he EUL lectin domain </w:t>
      </w:r>
      <w:r>
        <w:rPr>
          <w:b w:val="0"/>
        </w:rPr>
        <w:t xml:space="preserve">is highlighted </w:t>
      </w:r>
      <w:r w:rsidRPr="003F2DD7">
        <w:rPr>
          <w:b w:val="0"/>
        </w:rPr>
        <w:t>in green.</w:t>
      </w:r>
    </w:p>
    <w:p w14:paraId="472AA412" w14:textId="77777777" w:rsidR="00952AEC" w:rsidRDefault="00952AEC" w:rsidP="00952AEC">
      <w:pPr>
        <w:keepNext/>
      </w:pPr>
      <w:r>
        <w:rPr>
          <w:noProof/>
        </w:rPr>
        <w:lastRenderedPageBreak/>
        <w:drawing>
          <wp:inline distT="0" distB="0" distL="0" distR="0" wp14:anchorId="472AA416" wp14:editId="472AA417">
            <wp:extent cx="4311249" cy="7429500"/>
            <wp:effectExtent l="0" t="0" r="0" b="0"/>
            <wp:docPr id="2" name="Picture 2" descr="C:\Users\Gosia\OneDrive - UGent\PhD\Chapter 3 roots\Figures\figures paper\extra supplementary fig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ia\OneDrive - UGent\PhD\Chapter 3 roots\Figures\figures paper\extra supplementary figure.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1249" cy="7429500"/>
                    </a:xfrm>
                    <a:prstGeom prst="rect">
                      <a:avLst/>
                    </a:prstGeom>
                    <a:noFill/>
                    <a:ln>
                      <a:noFill/>
                    </a:ln>
                  </pic:spPr>
                </pic:pic>
              </a:graphicData>
            </a:graphic>
          </wp:inline>
        </w:drawing>
      </w:r>
    </w:p>
    <w:p w14:paraId="472AA413" w14:textId="68796C4A" w:rsidR="00952AEC" w:rsidRDefault="00952AEC" w:rsidP="00952AEC">
      <w:pPr>
        <w:pStyle w:val="Bijschrift"/>
        <w:rPr>
          <w:b w:val="0"/>
        </w:rPr>
      </w:pPr>
      <w:r>
        <w:t>Supplementary Figure S2</w:t>
      </w:r>
      <w:r w:rsidRPr="00952AEC">
        <w:rPr>
          <w:b w:val="0"/>
        </w:rPr>
        <w:t xml:space="preserve">: Results of selection of ArathEULS3 KO lines. Figures (A) and (C) </w:t>
      </w:r>
      <w:r>
        <w:rPr>
          <w:b w:val="0"/>
        </w:rPr>
        <w:t xml:space="preserve">represent sequence alignments of the ArathEULS3 gene sequence from WT plants with ArathEULS3 gene sequences from KO1 and KO2 mutants. 20 nucleotide target sequences are shown in yellow and </w:t>
      </w:r>
      <w:r w:rsidRPr="003F2DD7">
        <w:rPr>
          <w:b w:val="0"/>
        </w:rPr>
        <w:lastRenderedPageBreak/>
        <w:t>predicted cleavage sites in red</w:t>
      </w:r>
      <w:r>
        <w:rPr>
          <w:b w:val="0"/>
        </w:rPr>
        <w:t>. Figures (B) and (D) represent sequencing chromatograms of ArathEULS3 gene sequences from KO1 and KO2 mutants, respectively.</w:t>
      </w:r>
    </w:p>
    <w:p w14:paraId="312FD7CC" w14:textId="2D3EF1A4" w:rsidR="002579FB" w:rsidRDefault="002579FB" w:rsidP="002579FB">
      <w:pPr>
        <w:pStyle w:val="AuthorList"/>
      </w:pPr>
      <w:r>
        <w:t>References</w:t>
      </w:r>
    </w:p>
    <w:p w14:paraId="2961F9AE" w14:textId="7DA30C88" w:rsidR="00686122" w:rsidRPr="00686122" w:rsidRDefault="002579FB" w:rsidP="00686122">
      <w:pPr>
        <w:widowControl w:val="0"/>
        <w:autoSpaceDE w:val="0"/>
        <w:autoSpaceDN w:val="0"/>
        <w:adjustRightInd w:val="0"/>
        <w:ind w:left="480" w:hanging="480"/>
        <w:rPr>
          <w:rFonts w:cs="Times New Roman"/>
          <w:noProof/>
          <w:szCs w:val="24"/>
        </w:rPr>
      </w:pPr>
      <w:r>
        <w:fldChar w:fldCharType="begin" w:fldLock="1"/>
      </w:r>
      <w:r>
        <w:instrText xml:space="preserve">ADDIN Mendeley Bibliography CSL_BIBLIOGRAPHY </w:instrText>
      </w:r>
      <w:r>
        <w:fldChar w:fldCharType="separate"/>
      </w:r>
      <w:r w:rsidR="00686122" w:rsidRPr="00686122">
        <w:rPr>
          <w:rFonts w:cs="Times New Roman"/>
          <w:noProof/>
          <w:szCs w:val="24"/>
        </w:rPr>
        <w:t xml:space="preserve">Brinkman, E. K., Chen, T., Amendola, M., and van Steensel, B. (2014). Easy quantitative assessment of genome editing by sequence trace decomposition. </w:t>
      </w:r>
      <w:r w:rsidR="00686122" w:rsidRPr="00686122">
        <w:rPr>
          <w:rFonts w:cs="Times New Roman"/>
          <w:i/>
          <w:iCs/>
          <w:noProof/>
          <w:szCs w:val="24"/>
        </w:rPr>
        <w:t>Nucleic Acids Res.</w:t>
      </w:r>
      <w:r w:rsidR="00686122" w:rsidRPr="00686122">
        <w:rPr>
          <w:rFonts w:cs="Times New Roman"/>
          <w:noProof/>
          <w:szCs w:val="24"/>
        </w:rPr>
        <w:t xml:space="preserve"> 42, e168. doi:10.1093/nar/gku936.</w:t>
      </w:r>
    </w:p>
    <w:p w14:paraId="2EB4510B" w14:textId="77777777" w:rsidR="00686122" w:rsidRPr="00686122" w:rsidRDefault="00686122" w:rsidP="00686122">
      <w:pPr>
        <w:widowControl w:val="0"/>
        <w:autoSpaceDE w:val="0"/>
        <w:autoSpaceDN w:val="0"/>
        <w:adjustRightInd w:val="0"/>
        <w:ind w:left="480" w:hanging="480"/>
        <w:rPr>
          <w:rFonts w:cs="Times New Roman"/>
          <w:noProof/>
          <w:szCs w:val="24"/>
        </w:rPr>
      </w:pPr>
      <w:r w:rsidRPr="00686122">
        <w:rPr>
          <w:rFonts w:cs="Times New Roman"/>
          <w:noProof/>
          <w:szCs w:val="24"/>
        </w:rPr>
        <w:t xml:space="preserve">Clough, S. J., and Bent, A. F. (1998). Floral dip: A simplified method for Agrobacterium-mediated transformation of </w:t>
      </w:r>
      <w:r w:rsidRPr="00686122">
        <w:rPr>
          <w:rFonts w:cs="Times New Roman"/>
          <w:i/>
          <w:iCs/>
          <w:noProof/>
          <w:szCs w:val="24"/>
        </w:rPr>
        <w:t>Arabidopsis thaliana</w:t>
      </w:r>
      <w:r w:rsidRPr="00686122">
        <w:rPr>
          <w:rFonts w:cs="Times New Roman"/>
          <w:noProof/>
          <w:szCs w:val="24"/>
        </w:rPr>
        <w:t xml:space="preserve">. </w:t>
      </w:r>
      <w:r w:rsidRPr="00686122">
        <w:rPr>
          <w:rFonts w:cs="Times New Roman"/>
          <w:i/>
          <w:iCs/>
          <w:noProof/>
          <w:szCs w:val="24"/>
        </w:rPr>
        <w:t>Plant J.</w:t>
      </w:r>
      <w:r w:rsidRPr="00686122">
        <w:rPr>
          <w:rFonts w:cs="Times New Roman"/>
          <w:noProof/>
          <w:szCs w:val="24"/>
        </w:rPr>
        <w:t xml:space="preserve"> 16, 735–743. doi:10.1046/j.1365-313X.1998.00343.x.</w:t>
      </w:r>
    </w:p>
    <w:p w14:paraId="5695DBC0" w14:textId="0199EE12" w:rsidR="00686122" w:rsidRPr="00686122" w:rsidRDefault="00686122" w:rsidP="00686122">
      <w:pPr>
        <w:widowControl w:val="0"/>
        <w:autoSpaceDE w:val="0"/>
        <w:autoSpaceDN w:val="0"/>
        <w:adjustRightInd w:val="0"/>
        <w:ind w:left="480" w:hanging="480"/>
        <w:rPr>
          <w:rFonts w:cs="Times New Roman"/>
          <w:noProof/>
          <w:szCs w:val="24"/>
        </w:rPr>
      </w:pPr>
      <w:r w:rsidRPr="00686122">
        <w:rPr>
          <w:rFonts w:cs="Times New Roman"/>
          <w:noProof/>
          <w:szCs w:val="24"/>
        </w:rPr>
        <w:t xml:space="preserve">Schiml, S., Fauser, F., and Puchta, H. (2016). “CRISPR/Cas-Mediated Site-Specifi c Mutagenesis in </w:t>
      </w:r>
      <w:r w:rsidRPr="00686122">
        <w:rPr>
          <w:rFonts w:cs="Times New Roman"/>
          <w:i/>
          <w:iCs/>
          <w:noProof/>
          <w:szCs w:val="24"/>
        </w:rPr>
        <w:t xml:space="preserve">Arabidopsis thaliana </w:t>
      </w:r>
      <w:r w:rsidRPr="00686122">
        <w:rPr>
          <w:rFonts w:cs="Times New Roman"/>
          <w:noProof/>
          <w:szCs w:val="24"/>
        </w:rPr>
        <w:t xml:space="preserve">Using Cas9 Nucleases and Paired Nickases,” in </w:t>
      </w:r>
      <w:r w:rsidRPr="00686122">
        <w:rPr>
          <w:rFonts w:cs="Times New Roman"/>
          <w:i/>
          <w:iCs/>
          <w:noProof/>
          <w:szCs w:val="24"/>
        </w:rPr>
        <w:t>Methods in Molecular Biology</w:t>
      </w:r>
      <w:r w:rsidR="00577810">
        <w:rPr>
          <w:rFonts w:cs="Times New Roman"/>
          <w:i/>
          <w:iCs/>
          <w:noProof/>
          <w:szCs w:val="24"/>
        </w:rPr>
        <w:t xml:space="preserve"> </w:t>
      </w:r>
      <w:r w:rsidR="00577810">
        <w:rPr>
          <w:rFonts w:cs="Times New Roman"/>
          <w:iCs/>
          <w:noProof/>
          <w:szCs w:val="24"/>
        </w:rPr>
        <w:t>1469</w:t>
      </w:r>
      <w:r w:rsidR="00577810">
        <w:rPr>
          <w:rFonts w:cs="Times New Roman"/>
          <w:noProof/>
          <w:szCs w:val="24"/>
        </w:rPr>
        <w:t>, 110–122. doi:</w:t>
      </w:r>
      <w:r w:rsidRPr="00686122">
        <w:rPr>
          <w:rFonts w:cs="Times New Roman"/>
          <w:noProof/>
          <w:szCs w:val="24"/>
        </w:rPr>
        <w:t xml:space="preserve"> 10.1007/978-1-4939-4931-1_8.</w:t>
      </w:r>
    </w:p>
    <w:p w14:paraId="4E1C3CE6" w14:textId="18BD4D67" w:rsidR="00686122" w:rsidRPr="00686122" w:rsidRDefault="00686122" w:rsidP="00686122">
      <w:pPr>
        <w:widowControl w:val="0"/>
        <w:autoSpaceDE w:val="0"/>
        <w:autoSpaceDN w:val="0"/>
        <w:adjustRightInd w:val="0"/>
        <w:ind w:left="480" w:hanging="480"/>
        <w:rPr>
          <w:rFonts w:cs="Times New Roman"/>
          <w:noProof/>
        </w:rPr>
      </w:pPr>
      <w:r w:rsidRPr="00686122">
        <w:rPr>
          <w:rFonts w:cs="Times New Roman"/>
          <w:noProof/>
          <w:szCs w:val="24"/>
        </w:rPr>
        <w:t>Xie, K., Zhang, J., and Yang, Y. (2014). Genome-</w:t>
      </w:r>
      <w:r>
        <w:rPr>
          <w:rFonts w:cs="Times New Roman"/>
          <w:noProof/>
          <w:szCs w:val="24"/>
        </w:rPr>
        <w:t>w</w:t>
      </w:r>
      <w:r w:rsidRPr="00686122">
        <w:rPr>
          <w:rFonts w:cs="Times New Roman"/>
          <w:noProof/>
          <w:szCs w:val="24"/>
        </w:rPr>
        <w:t xml:space="preserve">ide </w:t>
      </w:r>
      <w:r>
        <w:rPr>
          <w:rFonts w:cs="Times New Roman"/>
          <w:noProof/>
          <w:szCs w:val="24"/>
        </w:rPr>
        <w:t>pr</w:t>
      </w:r>
      <w:r w:rsidRPr="00686122">
        <w:rPr>
          <w:rFonts w:cs="Times New Roman"/>
          <w:noProof/>
          <w:szCs w:val="24"/>
        </w:rPr>
        <w:t xml:space="preserve">ediction of </w:t>
      </w:r>
      <w:r>
        <w:rPr>
          <w:rFonts w:cs="Times New Roman"/>
          <w:noProof/>
          <w:szCs w:val="24"/>
        </w:rPr>
        <w:t>h</w:t>
      </w:r>
      <w:r w:rsidRPr="00686122">
        <w:rPr>
          <w:rFonts w:cs="Times New Roman"/>
          <w:noProof/>
          <w:szCs w:val="24"/>
        </w:rPr>
        <w:t xml:space="preserve">ighly </w:t>
      </w:r>
      <w:r>
        <w:rPr>
          <w:rFonts w:cs="Times New Roman"/>
          <w:noProof/>
          <w:szCs w:val="24"/>
        </w:rPr>
        <w:t>s</w:t>
      </w:r>
      <w:r w:rsidRPr="00686122">
        <w:rPr>
          <w:rFonts w:cs="Times New Roman"/>
          <w:noProof/>
          <w:szCs w:val="24"/>
        </w:rPr>
        <w:t xml:space="preserve">pecific </w:t>
      </w:r>
      <w:r>
        <w:rPr>
          <w:rFonts w:cs="Times New Roman"/>
          <w:noProof/>
          <w:szCs w:val="24"/>
        </w:rPr>
        <w:t>g</w:t>
      </w:r>
      <w:r w:rsidRPr="00686122">
        <w:rPr>
          <w:rFonts w:cs="Times New Roman"/>
          <w:noProof/>
          <w:szCs w:val="24"/>
        </w:rPr>
        <w:t xml:space="preserve">uide RNA </w:t>
      </w:r>
      <w:r>
        <w:rPr>
          <w:rFonts w:cs="Times New Roman"/>
          <w:noProof/>
          <w:szCs w:val="24"/>
        </w:rPr>
        <w:t>s</w:t>
      </w:r>
      <w:r w:rsidRPr="00686122">
        <w:rPr>
          <w:rFonts w:cs="Times New Roman"/>
          <w:noProof/>
          <w:szCs w:val="24"/>
        </w:rPr>
        <w:t>pacers for CRISPR–Cas9-</w:t>
      </w:r>
      <w:r>
        <w:rPr>
          <w:rFonts w:cs="Times New Roman"/>
          <w:noProof/>
          <w:szCs w:val="24"/>
        </w:rPr>
        <w:t>m</w:t>
      </w:r>
      <w:r w:rsidRPr="00686122">
        <w:rPr>
          <w:rFonts w:cs="Times New Roman"/>
          <w:noProof/>
          <w:szCs w:val="24"/>
        </w:rPr>
        <w:t xml:space="preserve">ediated </w:t>
      </w:r>
      <w:r>
        <w:rPr>
          <w:rFonts w:cs="Times New Roman"/>
          <w:noProof/>
          <w:szCs w:val="24"/>
        </w:rPr>
        <w:t>g</w:t>
      </w:r>
      <w:r w:rsidRPr="00686122">
        <w:rPr>
          <w:rFonts w:cs="Times New Roman"/>
          <w:noProof/>
          <w:szCs w:val="24"/>
        </w:rPr>
        <w:t xml:space="preserve">enome </w:t>
      </w:r>
      <w:r>
        <w:rPr>
          <w:rFonts w:cs="Times New Roman"/>
          <w:noProof/>
          <w:szCs w:val="24"/>
        </w:rPr>
        <w:t>e</w:t>
      </w:r>
      <w:r w:rsidRPr="00686122">
        <w:rPr>
          <w:rFonts w:cs="Times New Roman"/>
          <w:noProof/>
          <w:szCs w:val="24"/>
        </w:rPr>
        <w:t xml:space="preserve">diting in </w:t>
      </w:r>
      <w:r>
        <w:rPr>
          <w:rFonts w:cs="Times New Roman"/>
          <w:noProof/>
          <w:szCs w:val="24"/>
        </w:rPr>
        <w:t>m</w:t>
      </w:r>
      <w:r w:rsidRPr="00686122">
        <w:rPr>
          <w:rFonts w:cs="Times New Roman"/>
          <w:noProof/>
          <w:szCs w:val="24"/>
        </w:rPr>
        <w:t xml:space="preserve">odel </w:t>
      </w:r>
      <w:r>
        <w:rPr>
          <w:rFonts w:cs="Times New Roman"/>
          <w:noProof/>
          <w:szCs w:val="24"/>
        </w:rPr>
        <w:t>p</w:t>
      </w:r>
      <w:r w:rsidRPr="00686122">
        <w:rPr>
          <w:rFonts w:cs="Times New Roman"/>
          <w:noProof/>
          <w:szCs w:val="24"/>
        </w:rPr>
        <w:t xml:space="preserve">lants and </w:t>
      </w:r>
      <w:r>
        <w:rPr>
          <w:rFonts w:cs="Times New Roman"/>
          <w:noProof/>
          <w:szCs w:val="24"/>
        </w:rPr>
        <w:t>m</w:t>
      </w:r>
      <w:r w:rsidRPr="00686122">
        <w:rPr>
          <w:rFonts w:cs="Times New Roman"/>
          <w:noProof/>
          <w:szCs w:val="24"/>
        </w:rPr>
        <w:t xml:space="preserve">ajor </w:t>
      </w:r>
      <w:r>
        <w:rPr>
          <w:rFonts w:cs="Times New Roman"/>
          <w:noProof/>
          <w:szCs w:val="24"/>
        </w:rPr>
        <w:t>cr</w:t>
      </w:r>
      <w:r w:rsidRPr="00686122">
        <w:rPr>
          <w:rFonts w:cs="Times New Roman"/>
          <w:noProof/>
          <w:szCs w:val="24"/>
        </w:rPr>
        <w:t xml:space="preserve">ops. </w:t>
      </w:r>
      <w:r w:rsidRPr="00686122">
        <w:rPr>
          <w:rFonts w:cs="Times New Roman"/>
          <w:i/>
          <w:iCs/>
          <w:noProof/>
          <w:szCs w:val="24"/>
        </w:rPr>
        <w:t>Mol. Plant</w:t>
      </w:r>
      <w:r w:rsidRPr="00686122">
        <w:rPr>
          <w:rFonts w:cs="Times New Roman"/>
          <w:noProof/>
          <w:szCs w:val="24"/>
        </w:rPr>
        <w:t xml:space="preserve"> 7, 923–926. doi:10.1093/mp/ssu009.</w:t>
      </w:r>
    </w:p>
    <w:p w14:paraId="62C8F565" w14:textId="51088BE5" w:rsidR="002579FB" w:rsidRPr="002579FB" w:rsidRDefault="002579FB" w:rsidP="002579FB">
      <w:r>
        <w:fldChar w:fldCharType="end"/>
      </w:r>
    </w:p>
    <w:sectPr w:rsidR="002579FB" w:rsidRPr="002579FB"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47412" w16cid:durableId="2236CDBC"/>
  <w16cid:commentId w16cid:paraId="4229CA72" w16cid:durableId="2236CB5C"/>
  <w16cid:commentId w16cid:paraId="114C5936" w16cid:durableId="2236CD8B"/>
  <w16cid:commentId w16cid:paraId="5893973D" w16cid:durableId="2236CB5D"/>
  <w16cid:commentId w16cid:paraId="1973CC8E" w16cid:durableId="2236CD4F"/>
  <w16cid:commentId w16cid:paraId="1951699E" w16cid:durableId="2236CB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C4169" w14:textId="77777777" w:rsidR="009B71A1" w:rsidRDefault="009B71A1">
      <w:pPr>
        <w:spacing w:before="0" w:after="0"/>
      </w:pPr>
      <w:r>
        <w:separator/>
      </w:r>
    </w:p>
  </w:endnote>
  <w:endnote w:type="continuationSeparator" w:id="0">
    <w:p w14:paraId="51009A2E" w14:textId="77777777" w:rsidR="009B71A1" w:rsidRDefault="009B71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AA41D" w14:textId="77777777" w:rsidR="00995F6A" w:rsidRPr="00577C4C" w:rsidRDefault="00320A11">
    <w:pPr>
      <w:rPr>
        <w:color w:val="C00000"/>
        <w:szCs w:val="24"/>
      </w:rPr>
    </w:pPr>
    <w:r>
      <w:rPr>
        <w:noProof/>
      </w:rPr>
      <mc:AlternateContent>
        <mc:Choice Requires="wps">
          <w:drawing>
            <wp:anchor distT="0" distB="0" distL="114300" distR="114300" simplePos="0" relativeHeight="251660288" behindDoc="0" locked="0" layoutInCell="1" allowOverlap="1" wp14:anchorId="472AA420" wp14:editId="472AA42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72AA426" w14:textId="77777777" w:rsidR="00995F6A" w:rsidRPr="00577C4C" w:rsidRDefault="00320A1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72AA420" id="_x0000_t202" coordsize="21600,21600" o:spt="202" path="m,l,21600r21600,l21600,xe">
              <v:stroke joinstyle="miter"/>
              <v:path gradientshapeok="t" o:connecttype="rect"/>
            </v:shapetype>
            <v:shape id="Text Box 1" o:spid="_x0000_s1026" type="#_x0000_t202" style="position:absolute;left:0;text-align:left;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72AA426" w14:textId="77777777" w:rsidR="00995F6A" w:rsidRPr="00577C4C" w:rsidRDefault="00320A1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AA41E" w14:textId="77777777" w:rsidR="00995F6A" w:rsidRPr="00577C4C" w:rsidRDefault="00320A11">
    <w:pPr>
      <w:rPr>
        <w:b/>
        <w:sz w:val="20"/>
        <w:szCs w:val="24"/>
      </w:rPr>
    </w:pPr>
    <w:r>
      <w:rPr>
        <w:noProof/>
      </w:rPr>
      <mc:AlternateContent>
        <mc:Choice Requires="wps">
          <w:drawing>
            <wp:anchor distT="0" distB="0" distL="114300" distR="114300" simplePos="0" relativeHeight="251659264" behindDoc="0" locked="0" layoutInCell="1" allowOverlap="1" wp14:anchorId="472AA422" wp14:editId="472AA423">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72AA427" w14:textId="5D7D513A" w:rsidR="00995F6A" w:rsidRPr="00577C4C" w:rsidRDefault="00320A1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7EF7">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72AA422" id="_x0000_t202" coordsize="21600,21600" o:spt="202" path="m,l,21600r21600,l21600,xe">
              <v:stroke joinstyle="miter"/>
              <v:path gradientshapeok="t" o:connecttype="rect"/>
            </v:shapetype>
            <v:shape id="Text Box 56" o:spid="_x0000_s1027"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472AA427" w14:textId="5D7D513A" w:rsidR="00995F6A" w:rsidRPr="00577C4C" w:rsidRDefault="00320A1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7EF7">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5C413" w14:textId="77777777" w:rsidR="009B71A1" w:rsidRDefault="009B71A1">
      <w:pPr>
        <w:spacing w:before="0" w:after="0"/>
      </w:pPr>
      <w:r>
        <w:separator/>
      </w:r>
    </w:p>
  </w:footnote>
  <w:footnote w:type="continuationSeparator" w:id="0">
    <w:p w14:paraId="44AFE970" w14:textId="77777777" w:rsidR="009B71A1" w:rsidRDefault="009B71A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AA41C" w14:textId="77777777" w:rsidR="00995F6A" w:rsidRPr="009151AA" w:rsidRDefault="00320A1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AA41F" w14:textId="77777777" w:rsidR="00995F6A" w:rsidRDefault="00320A11" w:rsidP="0093429D">
    <w:r w:rsidRPr="005A1D84">
      <w:rPr>
        <w:b/>
        <w:noProof/>
        <w:color w:val="A6A6A6" w:themeColor="background1" w:themeShade="A6"/>
      </w:rPr>
      <w:drawing>
        <wp:inline distT="0" distB="0" distL="0" distR="0" wp14:anchorId="472AA424" wp14:editId="472AA42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0601A"/>
    <w:multiLevelType w:val="multilevel"/>
    <w:tmpl w:val="2D740DBE"/>
    <w:styleLink w:val="Headings"/>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567"/>
        </w:tabs>
        <w:ind w:left="567" w:hanging="567"/>
      </w:pPr>
      <w:rPr>
        <w:rFonts w:hint="default"/>
      </w:rPr>
    </w:lvl>
    <w:lvl w:ilvl="4">
      <w:start w:val="1"/>
      <w:numFmt w:val="decimal"/>
      <w:pStyle w:val="Kop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A11"/>
    <w:rsid w:val="000A6AE3"/>
    <w:rsid w:val="000A6CF4"/>
    <w:rsid w:val="001C7AE4"/>
    <w:rsid w:val="002050E8"/>
    <w:rsid w:val="002579FB"/>
    <w:rsid w:val="002E5BBA"/>
    <w:rsid w:val="00320A11"/>
    <w:rsid w:val="00385114"/>
    <w:rsid w:val="0039300D"/>
    <w:rsid w:val="004163CF"/>
    <w:rsid w:val="00472631"/>
    <w:rsid w:val="004D36FE"/>
    <w:rsid w:val="00515406"/>
    <w:rsid w:val="00524502"/>
    <w:rsid w:val="00542DF6"/>
    <w:rsid w:val="0054796D"/>
    <w:rsid w:val="00577810"/>
    <w:rsid w:val="00686122"/>
    <w:rsid w:val="007608AA"/>
    <w:rsid w:val="007C7EF7"/>
    <w:rsid w:val="007E769C"/>
    <w:rsid w:val="008376AD"/>
    <w:rsid w:val="00952AEC"/>
    <w:rsid w:val="00996881"/>
    <w:rsid w:val="009B71A1"/>
    <w:rsid w:val="00AC507B"/>
    <w:rsid w:val="00BA4753"/>
    <w:rsid w:val="00C81C3E"/>
    <w:rsid w:val="00C86BC7"/>
    <w:rsid w:val="00CA7F33"/>
    <w:rsid w:val="00CB2D30"/>
    <w:rsid w:val="00D45F0A"/>
    <w:rsid w:val="00E250D6"/>
    <w:rsid w:val="00F05739"/>
    <w:rsid w:val="00F70F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AA3C6"/>
  <w15:docId w15:val="{B2794D17-AAC2-4DB3-AC84-BC69DB54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20A11"/>
    <w:pPr>
      <w:spacing w:before="120" w:after="240" w:line="240" w:lineRule="auto"/>
      <w:jc w:val="both"/>
    </w:pPr>
    <w:rPr>
      <w:rFonts w:ascii="Times New Roman" w:hAnsi="Times New Roman"/>
      <w:sz w:val="24"/>
      <w:lang w:val="en-US"/>
    </w:rPr>
  </w:style>
  <w:style w:type="paragraph" w:styleId="Kop1">
    <w:name w:val="heading 1"/>
    <w:basedOn w:val="Lijstalinea"/>
    <w:next w:val="Standaard"/>
    <w:link w:val="Kop1Char"/>
    <w:uiPriority w:val="2"/>
    <w:qFormat/>
    <w:rsid w:val="00320A11"/>
    <w:pPr>
      <w:numPr>
        <w:numId w:val="1"/>
      </w:numPr>
      <w:spacing w:before="240"/>
      <w:contextualSpacing w:val="0"/>
      <w:outlineLvl w:val="0"/>
    </w:pPr>
    <w:rPr>
      <w:rFonts w:eastAsia="Cambria" w:cs="Times New Roman"/>
      <w:b/>
      <w:szCs w:val="24"/>
    </w:rPr>
  </w:style>
  <w:style w:type="paragraph" w:styleId="Kop2">
    <w:name w:val="heading 2"/>
    <w:basedOn w:val="Kop1"/>
    <w:next w:val="Standaard"/>
    <w:link w:val="Kop2Char"/>
    <w:uiPriority w:val="2"/>
    <w:qFormat/>
    <w:rsid w:val="00320A11"/>
    <w:pPr>
      <w:numPr>
        <w:ilvl w:val="1"/>
      </w:numPr>
      <w:spacing w:after="200"/>
      <w:outlineLvl w:val="1"/>
    </w:pPr>
  </w:style>
  <w:style w:type="paragraph" w:styleId="Kop3">
    <w:name w:val="heading 3"/>
    <w:basedOn w:val="Standaard"/>
    <w:next w:val="Standaard"/>
    <w:link w:val="Kop3Char"/>
    <w:uiPriority w:val="2"/>
    <w:qFormat/>
    <w:rsid w:val="00320A11"/>
    <w:pPr>
      <w:keepNext/>
      <w:keepLines/>
      <w:numPr>
        <w:ilvl w:val="2"/>
        <w:numId w:val="1"/>
      </w:numPr>
      <w:spacing w:before="40" w:after="120"/>
      <w:outlineLvl w:val="2"/>
    </w:pPr>
    <w:rPr>
      <w:rFonts w:eastAsiaTheme="majorEastAsia" w:cstheme="majorBidi"/>
      <w:b/>
      <w:szCs w:val="24"/>
    </w:rPr>
  </w:style>
  <w:style w:type="paragraph" w:styleId="Kop4">
    <w:name w:val="heading 4"/>
    <w:basedOn w:val="Kop3"/>
    <w:next w:val="Standaard"/>
    <w:link w:val="Kop4Char"/>
    <w:uiPriority w:val="2"/>
    <w:qFormat/>
    <w:rsid w:val="00320A11"/>
    <w:pPr>
      <w:numPr>
        <w:ilvl w:val="3"/>
      </w:numPr>
      <w:outlineLvl w:val="3"/>
    </w:pPr>
    <w:rPr>
      <w:iCs/>
    </w:rPr>
  </w:style>
  <w:style w:type="paragraph" w:styleId="Kop5">
    <w:name w:val="heading 5"/>
    <w:basedOn w:val="Kop4"/>
    <w:next w:val="Standaard"/>
    <w:link w:val="Kop5Char"/>
    <w:uiPriority w:val="2"/>
    <w:qFormat/>
    <w:rsid w:val="00320A11"/>
    <w:pPr>
      <w:numPr>
        <w:ilvl w:val="4"/>
      </w:numPr>
      <w:outlineLvl w:val="4"/>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2"/>
    <w:rsid w:val="00320A11"/>
    <w:rPr>
      <w:rFonts w:ascii="Times New Roman" w:eastAsia="Cambria" w:hAnsi="Times New Roman" w:cs="Times New Roman"/>
      <w:b/>
      <w:sz w:val="24"/>
      <w:szCs w:val="24"/>
      <w:lang w:val="en-US"/>
    </w:rPr>
  </w:style>
  <w:style w:type="character" w:customStyle="1" w:styleId="Kop2Char">
    <w:name w:val="Kop 2 Char"/>
    <w:basedOn w:val="Standaardalinea-lettertype"/>
    <w:link w:val="Kop2"/>
    <w:uiPriority w:val="2"/>
    <w:rsid w:val="00320A11"/>
    <w:rPr>
      <w:rFonts w:ascii="Times New Roman" w:eastAsia="Cambria" w:hAnsi="Times New Roman" w:cs="Times New Roman"/>
      <w:b/>
      <w:sz w:val="24"/>
      <w:szCs w:val="24"/>
      <w:lang w:val="en-US"/>
    </w:rPr>
  </w:style>
  <w:style w:type="character" w:customStyle="1" w:styleId="Kop3Char">
    <w:name w:val="Kop 3 Char"/>
    <w:basedOn w:val="Standaardalinea-lettertype"/>
    <w:link w:val="Kop3"/>
    <w:uiPriority w:val="2"/>
    <w:rsid w:val="00320A11"/>
    <w:rPr>
      <w:rFonts w:ascii="Times New Roman" w:eastAsiaTheme="majorEastAsia" w:hAnsi="Times New Roman" w:cstheme="majorBidi"/>
      <w:b/>
      <w:sz w:val="24"/>
      <w:szCs w:val="24"/>
      <w:lang w:val="en-US"/>
    </w:rPr>
  </w:style>
  <w:style w:type="character" w:customStyle="1" w:styleId="Kop4Char">
    <w:name w:val="Kop 4 Char"/>
    <w:basedOn w:val="Standaardalinea-lettertype"/>
    <w:link w:val="Kop4"/>
    <w:uiPriority w:val="2"/>
    <w:rsid w:val="00320A11"/>
    <w:rPr>
      <w:rFonts w:ascii="Times New Roman" w:eastAsiaTheme="majorEastAsia" w:hAnsi="Times New Roman" w:cstheme="majorBidi"/>
      <w:b/>
      <w:iCs/>
      <w:sz w:val="24"/>
      <w:szCs w:val="24"/>
      <w:lang w:val="en-US"/>
    </w:rPr>
  </w:style>
  <w:style w:type="character" w:customStyle="1" w:styleId="Kop5Char">
    <w:name w:val="Kop 5 Char"/>
    <w:basedOn w:val="Standaardalinea-lettertype"/>
    <w:link w:val="Kop5"/>
    <w:uiPriority w:val="2"/>
    <w:rsid w:val="00320A11"/>
    <w:rPr>
      <w:rFonts w:ascii="Times New Roman" w:eastAsiaTheme="majorEastAsia" w:hAnsi="Times New Roman" w:cstheme="majorBidi"/>
      <w:b/>
      <w:iCs/>
      <w:sz w:val="24"/>
      <w:szCs w:val="24"/>
      <w:lang w:val="en-US"/>
    </w:rPr>
  </w:style>
  <w:style w:type="paragraph" w:styleId="Ondertitel">
    <w:name w:val="Subtitle"/>
    <w:basedOn w:val="Standaard"/>
    <w:next w:val="Standaard"/>
    <w:link w:val="OndertitelChar"/>
    <w:uiPriority w:val="11"/>
    <w:unhideWhenUsed/>
    <w:qFormat/>
    <w:rsid w:val="00320A11"/>
    <w:pPr>
      <w:spacing w:before="240"/>
    </w:pPr>
    <w:rPr>
      <w:rFonts w:cs="Times New Roman"/>
      <w:b/>
      <w:szCs w:val="24"/>
    </w:rPr>
  </w:style>
  <w:style w:type="character" w:customStyle="1" w:styleId="OndertitelChar">
    <w:name w:val="Ondertitel Char"/>
    <w:basedOn w:val="Standaardalinea-lettertype"/>
    <w:link w:val="Ondertitel"/>
    <w:uiPriority w:val="11"/>
    <w:rsid w:val="00320A11"/>
    <w:rPr>
      <w:rFonts w:ascii="Times New Roman" w:hAnsi="Times New Roman" w:cs="Times New Roman"/>
      <w:b/>
      <w:sz w:val="24"/>
      <w:szCs w:val="24"/>
      <w:lang w:val="en-US"/>
    </w:rPr>
  </w:style>
  <w:style w:type="paragraph" w:styleId="Bijschrift">
    <w:name w:val="caption"/>
    <w:basedOn w:val="Standaard"/>
    <w:next w:val="Geenafstand"/>
    <w:uiPriority w:val="35"/>
    <w:unhideWhenUsed/>
    <w:qFormat/>
    <w:rsid w:val="00320A11"/>
    <w:pPr>
      <w:keepNext/>
    </w:pPr>
    <w:rPr>
      <w:rFonts w:cs="Times New Roman"/>
      <w:b/>
      <w:bCs/>
      <w:szCs w:val="24"/>
    </w:rPr>
  </w:style>
  <w:style w:type="numbering" w:customStyle="1" w:styleId="Headings">
    <w:name w:val="Headings"/>
    <w:uiPriority w:val="99"/>
    <w:rsid w:val="00320A11"/>
    <w:pPr>
      <w:numPr>
        <w:numId w:val="1"/>
      </w:numPr>
    </w:pPr>
  </w:style>
  <w:style w:type="paragraph" w:customStyle="1" w:styleId="SupplementaryMaterial">
    <w:name w:val="Supplementary Material"/>
    <w:basedOn w:val="Titel"/>
    <w:next w:val="Titel"/>
    <w:qFormat/>
    <w:rsid w:val="00320A11"/>
    <w:pPr>
      <w:suppressLineNumbers/>
      <w:pBdr>
        <w:bottom w:val="none" w:sz="0" w:space="0" w:color="auto"/>
      </w:pBdr>
      <w:spacing w:before="240" w:after="120"/>
      <w:contextualSpacing w:val="0"/>
      <w:jc w:val="center"/>
    </w:pPr>
    <w:rPr>
      <w:rFonts w:ascii="Times New Roman" w:eastAsiaTheme="minorHAnsi" w:hAnsi="Times New Roman" w:cs="Times New Roman"/>
      <w:b/>
      <w:i/>
      <w:color w:val="auto"/>
      <w:spacing w:val="0"/>
      <w:kern w:val="0"/>
      <w:sz w:val="32"/>
      <w:szCs w:val="32"/>
    </w:rPr>
  </w:style>
  <w:style w:type="paragraph" w:customStyle="1" w:styleId="Default">
    <w:name w:val="Default"/>
    <w:rsid w:val="00320A11"/>
    <w:pPr>
      <w:autoSpaceDE w:val="0"/>
      <w:autoSpaceDN w:val="0"/>
      <w:adjustRightInd w:val="0"/>
      <w:spacing w:after="0" w:line="240" w:lineRule="auto"/>
    </w:pPr>
    <w:rPr>
      <w:rFonts w:ascii="Calibri" w:hAnsi="Calibri" w:cs="Calibri"/>
      <w:color w:val="000000"/>
      <w:sz w:val="24"/>
      <w:szCs w:val="24"/>
    </w:rPr>
  </w:style>
  <w:style w:type="table" w:styleId="Lichtearcering">
    <w:name w:val="Light Shading"/>
    <w:basedOn w:val="Standaardtabel"/>
    <w:uiPriority w:val="60"/>
    <w:rsid w:val="00320A1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jstalinea">
    <w:name w:val="List Paragraph"/>
    <w:basedOn w:val="Standaard"/>
    <w:uiPriority w:val="34"/>
    <w:qFormat/>
    <w:rsid w:val="00320A11"/>
    <w:pPr>
      <w:ind w:left="720"/>
      <w:contextualSpacing/>
    </w:pPr>
  </w:style>
  <w:style w:type="paragraph" w:styleId="Geenafstand">
    <w:name w:val="No Spacing"/>
    <w:uiPriority w:val="1"/>
    <w:qFormat/>
    <w:rsid w:val="00320A11"/>
    <w:pPr>
      <w:spacing w:after="0" w:line="240" w:lineRule="auto"/>
      <w:jc w:val="both"/>
    </w:pPr>
    <w:rPr>
      <w:rFonts w:ascii="Times New Roman" w:hAnsi="Times New Roman"/>
      <w:sz w:val="24"/>
      <w:lang w:val="en-US"/>
    </w:rPr>
  </w:style>
  <w:style w:type="paragraph" w:styleId="Titel">
    <w:name w:val="Title"/>
    <w:basedOn w:val="Standaard"/>
    <w:next w:val="Standaard"/>
    <w:link w:val="TitelChar"/>
    <w:uiPriority w:val="10"/>
    <w:qFormat/>
    <w:rsid w:val="00320A11"/>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20A11"/>
    <w:rPr>
      <w:rFonts w:asciiTheme="majorHAnsi" w:eastAsiaTheme="majorEastAsia" w:hAnsiTheme="majorHAnsi" w:cstheme="majorBidi"/>
      <w:color w:val="17365D" w:themeColor="text2" w:themeShade="BF"/>
      <w:spacing w:val="5"/>
      <w:kern w:val="28"/>
      <w:sz w:val="52"/>
      <w:szCs w:val="52"/>
      <w:lang w:val="en-US"/>
    </w:rPr>
  </w:style>
  <w:style w:type="paragraph" w:styleId="Ballontekst">
    <w:name w:val="Balloon Text"/>
    <w:basedOn w:val="Standaard"/>
    <w:link w:val="BallontekstChar"/>
    <w:uiPriority w:val="99"/>
    <w:semiHidden/>
    <w:unhideWhenUsed/>
    <w:rsid w:val="00320A11"/>
    <w:pPr>
      <w:spacing w:before="0"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0A11"/>
    <w:rPr>
      <w:rFonts w:ascii="Tahoma" w:hAnsi="Tahoma" w:cs="Tahoma"/>
      <w:sz w:val="16"/>
      <w:szCs w:val="16"/>
      <w:lang w:val="en-US"/>
    </w:rPr>
  </w:style>
  <w:style w:type="paragraph" w:customStyle="1" w:styleId="AuthorList">
    <w:name w:val="Author List"/>
    <w:aliases w:val="Keywords,Abstract"/>
    <w:basedOn w:val="Ondertitel"/>
    <w:next w:val="Standaard"/>
    <w:uiPriority w:val="1"/>
    <w:qFormat/>
    <w:rsid w:val="00320A11"/>
  </w:style>
  <w:style w:type="character" w:styleId="Voetnootmarkering">
    <w:name w:val="footnote reference"/>
    <w:basedOn w:val="Standaardalinea-lettertype"/>
    <w:uiPriority w:val="99"/>
    <w:semiHidden/>
    <w:unhideWhenUsed/>
    <w:rsid w:val="00320A11"/>
    <w:rPr>
      <w:vertAlign w:val="superscript"/>
    </w:rPr>
  </w:style>
  <w:style w:type="character" w:styleId="Verwijzingopmerking">
    <w:name w:val="annotation reference"/>
    <w:basedOn w:val="Standaardalinea-lettertype"/>
    <w:uiPriority w:val="99"/>
    <w:semiHidden/>
    <w:unhideWhenUsed/>
    <w:rsid w:val="00524502"/>
    <w:rPr>
      <w:sz w:val="16"/>
      <w:szCs w:val="16"/>
    </w:rPr>
  </w:style>
  <w:style w:type="paragraph" w:styleId="Tekstopmerking">
    <w:name w:val="annotation text"/>
    <w:basedOn w:val="Standaard"/>
    <w:link w:val="TekstopmerkingChar"/>
    <w:uiPriority w:val="99"/>
    <w:semiHidden/>
    <w:unhideWhenUsed/>
    <w:rsid w:val="00524502"/>
    <w:rPr>
      <w:sz w:val="20"/>
      <w:szCs w:val="20"/>
    </w:rPr>
  </w:style>
  <w:style w:type="character" w:customStyle="1" w:styleId="TekstopmerkingChar">
    <w:name w:val="Tekst opmerking Char"/>
    <w:basedOn w:val="Standaardalinea-lettertype"/>
    <w:link w:val="Tekstopmerking"/>
    <w:uiPriority w:val="99"/>
    <w:semiHidden/>
    <w:rsid w:val="00524502"/>
    <w:rPr>
      <w:rFonts w:ascii="Times New Roman" w:hAnsi="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524502"/>
    <w:rPr>
      <w:b/>
      <w:bCs/>
    </w:rPr>
  </w:style>
  <w:style w:type="character" w:customStyle="1" w:styleId="OnderwerpvanopmerkingChar">
    <w:name w:val="Onderwerp van opmerking Char"/>
    <w:basedOn w:val="TekstopmerkingChar"/>
    <w:link w:val="Onderwerpvanopmerking"/>
    <w:uiPriority w:val="99"/>
    <w:semiHidden/>
    <w:rsid w:val="00524502"/>
    <w:rPr>
      <w:rFonts w:ascii="Times New Roman" w:hAnsi="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CA30E-DAC7-48E3-8623-5627FCA5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3306</Words>
  <Characters>18846</Characters>
  <Application>Microsoft Office Word</Application>
  <DocSecurity>0</DocSecurity>
  <Lines>157</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22108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Gosia</dc:creator>
  <cp:lastModifiedBy>els van damme</cp:lastModifiedBy>
  <cp:revision>3</cp:revision>
  <dcterms:created xsi:type="dcterms:W3CDTF">2020-04-07T08:09:00Z</dcterms:created>
  <dcterms:modified xsi:type="dcterms:W3CDTF">2020-04-08T11:59:00Z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http://www.zotero.org/styles/frontiers-in-plant-science</vt:lpwstr>
  </property>
  <property fmtid="{D5CDD505-2E9C-101B-9397-08002B2CF9AE}" pid="7" name="Mendeley Recent Style Name 2_1">
    <vt:lpwstr>Frontiers in Plant Science</vt:lpwstr>
  </property>
  <property fmtid="{D5CDD505-2E9C-101B-9397-08002B2CF9AE}" pid="8" name="Mendeley Recent Style Id 3_1">
    <vt:lpwstr>http://www.zotero.org/styles/glycoconjugate-journal</vt:lpwstr>
  </property>
  <property fmtid="{D5CDD505-2E9C-101B-9397-08002B2CF9AE}" pid="9" name="Mendeley Recent Style Name 3_1">
    <vt:lpwstr>Glycoconjugate Journal</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http://www.zotero.org/styles/journal-of-experimental-botany</vt:lpwstr>
  </property>
  <property fmtid="{D5CDD505-2E9C-101B-9397-08002B2CF9AE}" pid="15" name="Mendeley Recent Style Name 6_1">
    <vt:lpwstr>Journal of Experimental Botany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cdb85fbe-9487-311b-b1f4-329c5314b2d4</vt:lpwstr>
  </property>
  <property fmtid="{D5CDD505-2E9C-101B-9397-08002B2CF9AE}" pid="24" name="Mendeley Citation Style_1">
    <vt:lpwstr>http://www.zotero.org/styles/frontiers-in-plant-science</vt:lpwstr>
  </property>
</Properties>
</file>