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8825" w:type="dxa"/>
        <w:tblLayout w:type="fixed"/>
        <w:tblCellMar>
          <w:top w:w="28" w:type="dxa"/>
          <w:bottom w:w="28" w:type="dxa"/>
        </w:tblCellMar>
        <w:tblLook w:val="04A0" w:firstRow="1" w:lastRow="0" w:firstColumn="1" w:lastColumn="0" w:noHBand="0" w:noVBand="1"/>
      </w:tblPr>
      <w:tblGrid>
        <w:gridCol w:w="1242"/>
        <w:gridCol w:w="1452"/>
        <w:gridCol w:w="108"/>
        <w:gridCol w:w="1167"/>
        <w:gridCol w:w="142"/>
        <w:gridCol w:w="1276"/>
        <w:gridCol w:w="1276"/>
        <w:gridCol w:w="2162"/>
      </w:tblGrid>
      <w:tr w:rsidR="001B3AFC" w:rsidRPr="002815CC" w14:paraId="06CF0AA1" w14:textId="77777777" w:rsidTr="00515216">
        <w:trPr>
          <w:trHeight w:val="20"/>
        </w:trPr>
        <w:tc>
          <w:tcPr>
            <w:tcW w:w="8825" w:type="dxa"/>
            <w:gridSpan w:val="8"/>
            <w:tcBorders>
              <w:top w:val="nil"/>
              <w:left w:val="nil"/>
              <w:bottom w:val="single" w:sz="4" w:space="0" w:color="auto"/>
              <w:right w:val="nil"/>
            </w:tcBorders>
            <w:shd w:val="pct10" w:color="auto" w:fill="auto"/>
          </w:tcPr>
          <w:p w14:paraId="12C3D342" w14:textId="77777777" w:rsidR="001B3AFC" w:rsidRPr="002815CC" w:rsidRDefault="001B3AFC" w:rsidP="00515216">
            <w:pPr>
              <w:pStyle w:val="NoSpacing"/>
              <w:jc w:val="both"/>
              <w:rPr>
                <w:b/>
                <w:sz w:val="14"/>
                <w:szCs w:val="16"/>
              </w:rPr>
            </w:pPr>
            <w:r w:rsidRPr="002815CC">
              <w:rPr>
                <w:b/>
                <w:sz w:val="14"/>
                <w:szCs w:val="16"/>
              </w:rPr>
              <w:t>Table S1. Interactions found between exocytosis related SNAREs in plants</w:t>
            </w:r>
          </w:p>
          <w:p w14:paraId="7D8C34B5" w14:textId="77777777" w:rsidR="001B3AFC" w:rsidRPr="002815CC" w:rsidRDefault="001B3AFC" w:rsidP="00515216">
            <w:pPr>
              <w:pStyle w:val="NoSpacing"/>
              <w:jc w:val="both"/>
              <w:rPr>
                <w:sz w:val="14"/>
                <w:szCs w:val="16"/>
              </w:rPr>
            </w:pPr>
          </w:p>
        </w:tc>
      </w:tr>
      <w:tr w:rsidR="001B3AFC" w:rsidRPr="002815CC" w14:paraId="133DD19F" w14:textId="77777777" w:rsidTr="00515216">
        <w:trPr>
          <w:trHeight w:val="20"/>
        </w:trPr>
        <w:tc>
          <w:tcPr>
            <w:tcW w:w="1242" w:type="dxa"/>
            <w:tcBorders>
              <w:top w:val="nil"/>
              <w:left w:val="nil"/>
              <w:bottom w:val="single" w:sz="4" w:space="0" w:color="auto"/>
              <w:right w:val="nil"/>
            </w:tcBorders>
          </w:tcPr>
          <w:p w14:paraId="4FD7742A" w14:textId="77777777" w:rsidR="001B3AFC" w:rsidRPr="002815CC" w:rsidRDefault="001B3AFC" w:rsidP="00515216">
            <w:pPr>
              <w:pStyle w:val="NoSpacing"/>
              <w:jc w:val="both"/>
              <w:rPr>
                <w:b/>
                <w:sz w:val="14"/>
                <w:szCs w:val="16"/>
                <w:vertAlign w:val="superscript"/>
              </w:rPr>
            </w:pPr>
            <w:r w:rsidRPr="002815CC">
              <w:rPr>
                <w:b/>
                <w:sz w:val="14"/>
                <w:szCs w:val="16"/>
              </w:rPr>
              <w:br w:type="column"/>
            </w:r>
            <w:r w:rsidRPr="002815CC">
              <w:rPr>
                <w:b/>
                <w:sz w:val="14"/>
                <w:szCs w:val="16"/>
              </w:rPr>
              <w:br w:type="column"/>
            </w:r>
            <w:proofErr w:type="spellStart"/>
            <w:r w:rsidRPr="002815CC">
              <w:rPr>
                <w:b/>
                <w:sz w:val="14"/>
                <w:szCs w:val="16"/>
              </w:rPr>
              <w:t>Syntaxin</w:t>
            </w:r>
            <w:proofErr w:type="spellEnd"/>
            <w:r w:rsidRPr="002815CC">
              <w:rPr>
                <w:b/>
                <w:sz w:val="14"/>
                <w:szCs w:val="16"/>
              </w:rPr>
              <w:t xml:space="preserve"> </w:t>
            </w:r>
            <w:proofErr w:type="spellStart"/>
            <w:r w:rsidRPr="002815CC">
              <w:rPr>
                <w:b/>
                <w:sz w:val="14"/>
                <w:szCs w:val="16"/>
              </w:rPr>
              <w:t>orthogroup</w:t>
            </w:r>
            <w:proofErr w:type="spellEnd"/>
          </w:p>
        </w:tc>
        <w:tc>
          <w:tcPr>
            <w:tcW w:w="1560" w:type="dxa"/>
            <w:gridSpan w:val="2"/>
            <w:tcBorders>
              <w:top w:val="nil"/>
              <w:left w:val="nil"/>
              <w:bottom w:val="single" w:sz="4" w:space="0" w:color="auto"/>
              <w:right w:val="nil"/>
            </w:tcBorders>
          </w:tcPr>
          <w:p w14:paraId="17905982" w14:textId="77777777" w:rsidR="001B3AFC" w:rsidRPr="002815CC" w:rsidRDefault="001B3AFC" w:rsidP="00515216">
            <w:pPr>
              <w:pStyle w:val="NoSpacing"/>
              <w:jc w:val="both"/>
              <w:rPr>
                <w:b/>
                <w:sz w:val="14"/>
                <w:szCs w:val="16"/>
              </w:rPr>
            </w:pPr>
            <w:r w:rsidRPr="002815CC">
              <w:rPr>
                <w:b/>
                <w:sz w:val="14"/>
                <w:szCs w:val="16"/>
              </w:rPr>
              <w:t>VAMP</w:t>
            </w:r>
          </w:p>
          <w:p w14:paraId="17C6996F" w14:textId="77777777" w:rsidR="001B3AFC" w:rsidRPr="002815CC" w:rsidRDefault="001B3AFC" w:rsidP="00515216">
            <w:pPr>
              <w:pStyle w:val="NoSpacing"/>
              <w:jc w:val="both"/>
              <w:rPr>
                <w:b/>
                <w:sz w:val="14"/>
                <w:szCs w:val="16"/>
                <w:vertAlign w:val="superscript"/>
              </w:rPr>
            </w:pPr>
            <w:proofErr w:type="spellStart"/>
            <w:r w:rsidRPr="002815CC">
              <w:rPr>
                <w:b/>
                <w:sz w:val="14"/>
                <w:szCs w:val="16"/>
              </w:rPr>
              <w:t>Orthogroup</w:t>
            </w:r>
            <w:proofErr w:type="spellEnd"/>
          </w:p>
          <w:p w14:paraId="38F8FC8F" w14:textId="77777777" w:rsidR="001B3AFC" w:rsidRPr="002815CC" w:rsidRDefault="001B3AFC" w:rsidP="00515216">
            <w:pPr>
              <w:pStyle w:val="NoSpacing"/>
              <w:jc w:val="both"/>
              <w:rPr>
                <w:b/>
                <w:sz w:val="14"/>
                <w:szCs w:val="16"/>
              </w:rPr>
            </w:pPr>
          </w:p>
        </w:tc>
        <w:tc>
          <w:tcPr>
            <w:tcW w:w="1167" w:type="dxa"/>
            <w:tcBorders>
              <w:top w:val="nil"/>
              <w:left w:val="nil"/>
              <w:bottom w:val="single" w:sz="4" w:space="0" w:color="auto"/>
              <w:right w:val="nil"/>
            </w:tcBorders>
          </w:tcPr>
          <w:p w14:paraId="42FDCD7F" w14:textId="77777777" w:rsidR="001B3AFC" w:rsidRPr="002815CC" w:rsidRDefault="001B3AFC" w:rsidP="00515216">
            <w:pPr>
              <w:pStyle w:val="NoSpacing"/>
              <w:jc w:val="both"/>
              <w:rPr>
                <w:b/>
                <w:sz w:val="14"/>
                <w:szCs w:val="16"/>
              </w:rPr>
            </w:pPr>
            <w:proofErr w:type="spellStart"/>
            <w:r w:rsidRPr="002815CC">
              <w:rPr>
                <w:b/>
                <w:sz w:val="14"/>
                <w:szCs w:val="16"/>
              </w:rPr>
              <w:t>Syntaxin</w:t>
            </w:r>
            <w:proofErr w:type="spellEnd"/>
          </w:p>
        </w:tc>
        <w:tc>
          <w:tcPr>
            <w:tcW w:w="1418" w:type="dxa"/>
            <w:gridSpan w:val="2"/>
            <w:tcBorders>
              <w:top w:val="nil"/>
              <w:left w:val="nil"/>
              <w:bottom w:val="single" w:sz="4" w:space="0" w:color="auto"/>
              <w:right w:val="nil"/>
            </w:tcBorders>
          </w:tcPr>
          <w:p w14:paraId="1DC148EC" w14:textId="77777777" w:rsidR="001B3AFC" w:rsidRPr="002815CC" w:rsidRDefault="001B3AFC" w:rsidP="00515216">
            <w:pPr>
              <w:pStyle w:val="NoSpacing"/>
              <w:jc w:val="both"/>
              <w:rPr>
                <w:b/>
                <w:sz w:val="14"/>
                <w:szCs w:val="16"/>
              </w:rPr>
            </w:pPr>
            <w:r w:rsidRPr="002815CC">
              <w:rPr>
                <w:b/>
                <w:sz w:val="14"/>
                <w:szCs w:val="16"/>
              </w:rPr>
              <w:t>VAMP</w:t>
            </w:r>
          </w:p>
        </w:tc>
        <w:tc>
          <w:tcPr>
            <w:tcW w:w="1276" w:type="dxa"/>
            <w:tcBorders>
              <w:top w:val="nil"/>
              <w:left w:val="nil"/>
              <w:bottom w:val="single" w:sz="4" w:space="0" w:color="auto"/>
              <w:right w:val="nil"/>
            </w:tcBorders>
          </w:tcPr>
          <w:p w14:paraId="1B1739AA" w14:textId="77777777" w:rsidR="001B3AFC" w:rsidRPr="002815CC" w:rsidRDefault="001B3AFC" w:rsidP="00515216">
            <w:pPr>
              <w:pStyle w:val="NoSpacing"/>
              <w:jc w:val="both"/>
              <w:rPr>
                <w:b/>
                <w:sz w:val="14"/>
                <w:szCs w:val="16"/>
              </w:rPr>
            </w:pPr>
            <w:r w:rsidRPr="002815CC">
              <w:rPr>
                <w:b/>
                <w:sz w:val="14"/>
                <w:szCs w:val="16"/>
              </w:rPr>
              <w:t>Assay</w:t>
            </w:r>
          </w:p>
        </w:tc>
        <w:tc>
          <w:tcPr>
            <w:tcW w:w="2162" w:type="dxa"/>
            <w:tcBorders>
              <w:top w:val="nil"/>
              <w:left w:val="nil"/>
              <w:bottom w:val="single" w:sz="4" w:space="0" w:color="auto"/>
              <w:right w:val="nil"/>
            </w:tcBorders>
          </w:tcPr>
          <w:p w14:paraId="650BDD83" w14:textId="77777777" w:rsidR="001B3AFC" w:rsidRPr="002815CC" w:rsidRDefault="001B3AFC" w:rsidP="00515216">
            <w:pPr>
              <w:pStyle w:val="NoSpacing"/>
              <w:jc w:val="both"/>
              <w:rPr>
                <w:b/>
                <w:sz w:val="14"/>
                <w:szCs w:val="16"/>
              </w:rPr>
            </w:pPr>
            <w:r w:rsidRPr="002815CC">
              <w:rPr>
                <w:b/>
                <w:sz w:val="14"/>
                <w:szCs w:val="16"/>
              </w:rPr>
              <w:t>Reference</w:t>
            </w:r>
          </w:p>
        </w:tc>
      </w:tr>
      <w:tr w:rsidR="001B3AFC" w:rsidRPr="002815CC" w14:paraId="6D661EE5" w14:textId="77777777" w:rsidTr="00515216">
        <w:trPr>
          <w:trHeight w:val="20"/>
        </w:trPr>
        <w:tc>
          <w:tcPr>
            <w:tcW w:w="1242" w:type="dxa"/>
            <w:tcBorders>
              <w:top w:val="single" w:sz="4" w:space="0" w:color="auto"/>
              <w:left w:val="nil"/>
              <w:bottom w:val="single" w:sz="4" w:space="0" w:color="auto"/>
              <w:right w:val="nil"/>
            </w:tcBorders>
          </w:tcPr>
          <w:p w14:paraId="459F6ADF" w14:textId="77777777" w:rsidR="001B3AFC" w:rsidRPr="002815CC" w:rsidRDefault="001B3AFC" w:rsidP="00515216">
            <w:pPr>
              <w:pStyle w:val="NoSpacing"/>
              <w:jc w:val="both"/>
              <w:rPr>
                <w:sz w:val="14"/>
                <w:szCs w:val="16"/>
              </w:rPr>
            </w:pPr>
            <w:r w:rsidRPr="002815CC">
              <w:rPr>
                <w:sz w:val="14"/>
                <w:szCs w:val="16"/>
              </w:rPr>
              <w:t>SYP11I</w:t>
            </w:r>
          </w:p>
        </w:tc>
        <w:tc>
          <w:tcPr>
            <w:tcW w:w="1560" w:type="dxa"/>
            <w:gridSpan w:val="2"/>
            <w:tcBorders>
              <w:top w:val="single" w:sz="4" w:space="0" w:color="auto"/>
              <w:left w:val="nil"/>
              <w:bottom w:val="single" w:sz="4" w:space="0" w:color="auto"/>
              <w:right w:val="nil"/>
            </w:tcBorders>
          </w:tcPr>
          <w:p w14:paraId="0FD3CA00" w14:textId="77777777" w:rsidR="001B3AFC" w:rsidRPr="002815CC" w:rsidRDefault="001B3AFC" w:rsidP="00515216">
            <w:pPr>
              <w:pStyle w:val="NoSpacing"/>
              <w:jc w:val="both"/>
              <w:rPr>
                <w:sz w:val="14"/>
                <w:szCs w:val="16"/>
              </w:rPr>
            </w:pPr>
            <w:r w:rsidRPr="002815CC">
              <w:rPr>
                <w:sz w:val="14"/>
                <w:szCs w:val="16"/>
              </w:rPr>
              <w:t>VAMP72I</w:t>
            </w:r>
          </w:p>
        </w:tc>
        <w:tc>
          <w:tcPr>
            <w:tcW w:w="1167" w:type="dxa"/>
            <w:tcBorders>
              <w:top w:val="single" w:sz="4" w:space="0" w:color="auto"/>
              <w:left w:val="nil"/>
              <w:bottom w:val="single" w:sz="4" w:space="0" w:color="auto"/>
              <w:right w:val="nil"/>
            </w:tcBorders>
          </w:tcPr>
          <w:p w14:paraId="4AF9256F" w14:textId="77777777" w:rsidR="001B3AFC" w:rsidRPr="002815CC" w:rsidRDefault="001B3AFC" w:rsidP="00515216">
            <w:pPr>
              <w:pStyle w:val="NoSpacing"/>
              <w:jc w:val="both"/>
              <w:rPr>
                <w:sz w:val="14"/>
                <w:szCs w:val="16"/>
              </w:rPr>
            </w:pPr>
            <w:r w:rsidRPr="002815CC">
              <w:rPr>
                <w:sz w:val="14"/>
                <w:szCs w:val="16"/>
              </w:rPr>
              <w:t>AtSYP111</w:t>
            </w:r>
          </w:p>
        </w:tc>
        <w:tc>
          <w:tcPr>
            <w:tcW w:w="1418" w:type="dxa"/>
            <w:gridSpan w:val="2"/>
            <w:tcBorders>
              <w:top w:val="single" w:sz="4" w:space="0" w:color="auto"/>
              <w:left w:val="nil"/>
              <w:bottom w:val="single" w:sz="4" w:space="0" w:color="auto"/>
              <w:right w:val="nil"/>
            </w:tcBorders>
          </w:tcPr>
          <w:p w14:paraId="531DFF72" w14:textId="77777777" w:rsidR="001B3AFC" w:rsidRPr="002815CC" w:rsidRDefault="001B3AFC" w:rsidP="00515216">
            <w:pPr>
              <w:pStyle w:val="NoSpacing"/>
              <w:jc w:val="both"/>
              <w:rPr>
                <w:sz w:val="14"/>
                <w:szCs w:val="16"/>
              </w:rPr>
            </w:pPr>
            <w:r w:rsidRPr="002815CC">
              <w:rPr>
                <w:sz w:val="14"/>
                <w:szCs w:val="16"/>
              </w:rPr>
              <w:t>AtVAMP721</w:t>
            </w:r>
          </w:p>
        </w:tc>
        <w:tc>
          <w:tcPr>
            <w:tcW w:w="1276" w:type="dxa"/>
            <w:tcBorders>
              <w:top w:val="single" w:sz="4" w:space="0" w:color="auto"/>
              <w:left w:val="nil"/>
              <w:bottom w:val="single" w:sz="4" w:space="0" w:color="auto"/>
              <w:right w:val="nil"/>
            </w:tcBorders>
          </w:tcPr>
          <w:p w14:paraId="40DD9660" w14:textId="77777777" w:rsidR="001B3AFC" w:rsidRPr="002815CC" w:rsidRDefault="001B3AFC" w:rsidP="00515216">
            <w:pPr>
              <w:pStyle w:val="NoSpacing"/>
              <w:jc w:val="both"/>
              <w:rPr>
                <w:sz w:val="14"/>
                <w:szCs w:val="16"/>
              </w:rPr>
            </w:pPr>
            <w:r w:rsidRPr="002815CC">
              <w:rPr>
                <w:sz w:val="14"/>
                <w:szCs w:val="16"/>
              </w:rPr>
              <w:t>Co-IP</w:t>
            </w:r>
          </w:p>
        </w:tc>
        <w:tc>
          <w:tcPr>
            <w:tcW w:w="2162" w:type="dxa"/>
            <w:tcBorders>
              <w:top w:val="single" w:sz="4" w:space="0" w:color="auto"/>
              <w:left w:val="nil"/>
              <w:bottom w:val="single" w:sz="4" w:space="0" w:color="auto"/>
              <w:right w:val="nil"/>
            </w:tcBorders>
          </w:tcPr>
          <w:p w14:paraId="0FDEB22D" w14:textId="77777777" w:rsidR="001B3AFC" w:rsidRPr="002815CC" w:rsidRDefault="001B3AFC" w:rsidP="00515216">
            <w:pPr>
              <w:pStyle w:val="NoSpacing"/>
              <w:jc w:val="both"/>
              <w:rPr>
                <w:sz w:val="14"/>
                <w:szCs w:val="16"/>
              </w:rPr>
            </w:pPr>
            <w:r>
              <w:rPr>
                <w:sz w:val="14"/>
                <w:szCs w:val="16"/>
              </w:rPr>
              <w:fldChar w:fldCharType="begin" w:fldLock="1"/>
            </w:r>
            <w:r>
              <w:rPr>
                <w:sz w:val="14"/>
                <w:szCs w:val="16"/>
              </w:rPr>
              <w:instrText>ADDIN CSL_CITATION {"citationItems":[{"id":"ITEM-1","itemData":{"DOI":"10.1091/mbc.E13-02-0074","ISSN":"1939-4586","PMID":"23515225","abstract":"Membrane fusion is mediated by soluble N-ethylmaleimide-sensitive factor attachment protein receptor (SNARE) complexes. Although membrane fusion is required for separating daughter cells in eukaryotic cytokinesis, the SNARE complexes involved are not known. In plants, membrane vesicles targeted to the cell division plane fuse with one another to form the partitioning membrane, progressing from the center to the periphery of the cell. In Arabidopsis, the cytokinesis-specific Qa-SNARE KNOLLE interacts with two other Q-SNAREs, SNAP33 and novel plant-specific SNARE 11 (NPSN11), whose roles in cytokinesis are not clear. Here we show by coimmunoprecipitation that KNOLLE forms two SNARE complexes that differ in composition. One complex is modeled on the trimeric plasma membrane type of SNARE complex and includes, in addition to KNOLLE, the promiscuous Qb,c-SNARE SNAP33 and the R-SNARE vesicle-associated membrane protein (VAMP) 721,722, also involved in innate immunity. In contrast, the other KNOLLE-containing complex is tetrameric and includes Qb-SNARE NPSN11, Qc-SNARE SYP71, and VAMP721,722. Elimination of only one or the other type of KNOLLE complex by mutation, including the double mutant npsn11 syp71, causes a mild or no cytokinesis defect. In contrast, the two double mutants snap33 npsn11 and snap33 syp71 eliminate both types of KNOLLE complexes and display knolle-like cytokinesis defects. Thus the two distinct types of KNOLLE complexes appear to jointly mediate membrane fusion in Arabidopsis cytokinesis.","author":[{"dropping-particle":"","family":"Kasmi","given":"Farid","non-dropping-particle":"El","parse-names":false,"suffix":""},{"dropping-particle":"","family":"Krause","given":"Cornelia","non-dropping-particle":"","parse-names":false,"suffix":""},{"dropping-particle":"","family":"Hiller","given":"Ulrike","non-dropping-particle":"","parse-names":false,"suffix":""},{"dropping-particle":"","family":"Stierhof","given":"York-Dieter","non-dropping-particle":"","parse-names":false,"suffix":""},{"dropping-particle":"","family":"Mayer","given":"Ulrike","non-dropping-particle":"","parse-names":false,"suffix":""},{"dropping-particle":"","family":"Conner","given":"Laura","non-dropping-particle":"","parse-names":false,"suffix":""},{"dropping-particle":"","family":"Kong","given":"Lingtian","non-dropping-particle":"","parse-names":false,"suffix":""},{"dropping-particle":"","family":"Reichardt","given":"Ilka","non-dropping-particle":"","parse-names":false,"suffix":""},{"dropping-particle":"","family":"Sanderfoot","given":"Anton a","non-dropping-particle":"","parse-names":false,"suffix":""},{"dropping-particle":"","family":"Jürgens","given":"Gerd","non-dropping-particle":"","parse-names":false,"suffix":""}],"container-title":"Molecular biology of the cell","id":"ITEM-1","issue":"10","issued":{"date-parts":[["2013"]]},"page":"1593-601","title":"SNARE complexes of different composition jointly mediate membrane fusion in Arabidopsis cytokinesis.","type":"article-journal","volume":"24"},"uris":["http://www.mendeley.com/documents/?uuid=6e5990c9-a912-4d52-9acb-b67a0c76fe62"]}],"mendeley":{"formattedCitation":"(El Kasmi et al., 2013)","plainTextFormattedCitation":"(El Kasmi et al., 2013)","previouslyFormattedCitation":"(El Kasmi et al., 2013)"},"properties":{"noteIndex":0},"schema":"https://github.com/citation-style-language/schema/raw/master/csl-citation.json"}</w:instrText>
            </w:r>
            <w:r>
              <w:rPr>
                <w:sz w:val="14"/>
                <w:szCs w:val="16"/>
              </w:rPr>
              <w:fldChar w:fldCharType="separate"/>
            </w:r>
            <w:r w:rsidRPr="00E67500">
              <w:rPr>
                <w:noProof/>
                <w:sz w:val="14"/>
                <w:szCs w:val="16"/>
              </w:rPr>
              <w:t>(El Kasmi et al., 2013)</w:t>
            </w:r>
            <w:r>
              <w:rPr>
                <w:sz w:val="14"/>
                <w:szCs w:val="16"/>
              </w:rPr>
              <w:fldChar w:fldCharType="end"/>
            </w:r>
          </w:p>
        </w:tc>
      </w:tr>
      <w:tr w:rsidR="001B3AFC" w:rsidRPr="002815CC" w14:paraId="4CD3B5B8" w14:textId="77777777" w:rsidTr="00515216">
        <w:trPr>
          <w:trHeight w:val="20"/>
        </w:trPr>
        <w:tc>
          <w:tcPr>
            <w:tcW w:w="1242" w:type="dxa"/>
            <w:vMerge w:val="restart"/>
            <w:tcBorders>
              <w:top w:val="single" w:sz="4" w:space="0" w:color="auto"/>
              <w:left w:val="nil"/>
              <w:right w:val="nil"/>
            </w:tcBorders>
            <w:shd w:val="clear" w:color="auto" w:fill="auto"/>
          </w:tcPr>
          <w:p w14:paraId="01BC1A07" w14:textId="77777777" w:rsidR="001B3AFC" w:rsidRPr="002815CC" w:rsidRDefault="001B3AFC" w:rsidP="00515216">
            <w:pPr>
              <w:pStyle w:val="NoSpacing"/>
              <w:jc w:val="both"/>
              <w:rPr>
                <w:sz w:val="14"/>
                <w:szCs w:val="16"/>
              </w:rPr>
            </w:pPr>
            <w:r w:rsidRPr="002815CC">
              <w:rPr>
                <w:sz w:val="14"/>
                <w:szCs w:val="16"/>
              </w:rPr>
              <w:t>SYP12I</w:t>
            </w:r>
          </w:p>
        </w:tc>
        <w:tc>
          <w:tcPr>
            <w:tcW w:w="1560" w:type="dxa"/>
            <w:gridSpan w:val="2"/>
            <w:vMerge w:val="restart"/>
            <w:tcBorders>
              <w:top w:val="single" w:sz="4" w:space="0" w:color="auto"/>
              <w:left w:val="nil"/>
              <w:bottom w:val="nil"/>
              <w:right w:val="nil"/>
            </w:tcBorders>
            <w:shd w:val="clear" w:color="auto" w:fill="auto"/>
          </w:tcPr>
          <w:p w14:paraId="283F2223" w14:textId="77777777" w:rsidR="001B3AFC" w:rsidRPr="002815CC" w:rsidRDefault="001B3AFC" w:rsidP="00515216">
            <w:pPr>
              <w:pStyle w:val="NoSpacing"/>
              <w:jc w:val="both"/>
              <w:rPr>
                <w:sz w:val="14"/>
                <w:szCs w:val="16"/>
              </w:rPr>
            </w:pPr>
            <w:r w:rsidRPr="002815CC">
              <w:rPr>
                <w:sz w:val="14"/>
                <w:szCs w:val="16"/>
              </w:rPr>
              <w:t>VAMP72I</w:t>
            </w:r>
          </w:p>
        </w:tc>
        <w:tc>
          <w:tcPr>
            <w:tcW w:w="1167" w:type="dxa"/>
            <w:vMerge w:val="restart"/>
            <w:tcBorders>
              <w:top w:val="single" w:sz="4" w:space="0" w:color="auto"/>
              <w:left w:val="nil"/>
              <w:bottom w:val="nil"/>
              <w:right w:val="nil"/>
            </w:tcBorders>
            <w:shd w:val="clear" w:color="auto" w:fill="auto"/>
          </w:tcPr>
          <w:p w14:paraId="190D56E9" w14:textId="77777777" w:rsidR="001B3AFC" w:rsidRPr="002815CC" w:rsidRDefault="001B3AFC" w:rsidP="00515216">
            <w:pPr>
              <w:pStyle w:val="NoSpacing"/>
              <w:jc w:val="both"/>
              <w:rPr>
                <w:sz w:val="14"/>
                <w:szCs w:val="16"/>
              </w:rPr>
            </w:pPr>
            <w:r w:rsidRPr="002815CC">
              <w:rPr>
                <w:sz w:val="14"/>
                <w:szCs w:val="16"/>
              </w:rPr>
              <w:t>AtSYP121</w:t>
            </w:r>
          </w:p>
        </w:tc>
        <w:tc>
          <w:tcPr>
            <w:tcW w:w="1418" w:type="dxa"/>
            <w:gridSpan w:val="2"/>
            <w:vMerge w:val="restart"/>
            <w:tcBorders>
              <w:top w:val="single" w:sz="4" w:space="0" w:color="auto"/>
              <w:left w:val="nil"/>
              <w:right w:val="nil"/>
            </w:tcBorders>
            <w:shd w:val="clear" w:color="auto" w:fill="auto"/>
          </w:tcPr>
          <w:p w14:paraId="2FCBE9FC" w14:textId="77777777" w:rsidR="001B3AFC" w:rsidRPr="002815CC" w:rsidRDefault="001B3AFC" w:rsidP="00515216">
            <w:pPr>
              <w:pStyle w:val="NoSpacing"/>
              <w:jc w:val="both"/>
              <w:rPr>
                <w:sz w:val="14"/>
                <w:szCs w:val="16"/>
              </w:rPr>
            </w:pPr>
            <w:r w:rsidRPr="002815CC">
              <w:rPr>
                <w:sz w:val="14"/>
                <w:szCs w:val="16"/>
              </w:rPr>
              <w:t>AtVAMP721</w:t>
            </w:r>
          </w:p>
        </w:tc>
        <w:tc>
          <w:tcPr>
            <w:tcW w:w="1276" w:type="dxa"/>
            <w:tcBorders>
              <w:top w:val="single" w:sz="4" w:space="0" w:color="auto"/>
              <w:left w:val="nil"/>
              <w:bottom w:val="nil"/>
              <w:right w:val="nil"/>
            </w:tcBorders>
            <w:shd w:val="clear" w:color="auto" w:fill="auto"/>
          </w:tcPr>
          <w:p w14:paraId="3CDC2B02" w14:textId="77777777" w:rsidR="001B3AFC" w:rsidRPr="002815CC" w:rsidRDefault="001B3AFC" w:rsidP="00515216">
            <w:pPr>
              <w:pStyle w:val="NoSpacing"/>
              <w:jc w:val="both"/>
              <w:rPr>
                <w:sz w:val="14"/>
                <w:szCs w:val="16"/>
              </w:rPr>
            </w:pPr>
            <w:r w:rsidRPr="002815CC">
              <w:rPr>
                <w:sz w:val="14"/>
                <w:szCs w:val="16"/>
              </w:rPr>
              <w:t>Pull-down</w:t>
            </w:r>
          </w:p>
        </w:tc>
        <w:tc>
          <w:tcPr>
            <w:tcW w:w="2162" w:type="dxa"/>
            <w:tcBorders>
              <w:top w:val="single" w:sz="4" w:space="0" w:color="auto"/>
              <w:left w:val="nil"/>
              <w:bottom w:val="nil"/>
              <w:right w:val="nil"/>
            </w:tcBorders>
            <w:shd w:val="clear" w:color="auto" w:fill="auto"/>
          </w:tcPr>
          <w:p w14:paraId="656AC9FC" w14:textId="77777777" w:rsidR="001B3AFC" w:rsidRPr="002815CC" w:rsidRDefault="001B3AFC" w:rsidP="00515216">
            <w:pPr>
              <w:pStyle w:val="NoSpacing"/>
              <w:jc w:val="both"/>
              <w:rPr>
                <w:sz w:val="14"/>
                <w:szCs w:val="16"/>
              </w:rPr>
            </w:pPr>
            <w:r>
              <w:rPr>
                <w:sz w:val="14"/>
                <w:szCs w:val="16"/>
              </w:rPr>
              <w:fldChar w:fldCharType="begin" w:fldLock="1"/>
            </w:r>
            <w:r>
              <w:rPr>
                <w:sz w:val="14"/>
                <w:szCs w:val="16"/>
              </w:rPr>
              <w:instrText>ADDIN CSL_CITATION {"citationItems":[{"id":"ITEM-1","itemData":{"DOI":"10.1104/pp.108.121566","ISBN":"0032-0889 (Print)\\r0032-0889 (Linking)","ISSN":"0032-0889","PMID":"18678749","abstract":"Innate immune receptors in plants detect the presence of microbial pathogens and trigger defense responses to terminate or restrict pathogen growth. The molecular mechanisms of receptor-mediated nonself recognition and subsequent intracellular signaling pathways have received much attention in the past. Less is known about the cellular mechanisms that contribute to the execution of immune responses. Recent studies revealed the existence of a secretory machinery that becomes engaged in the execution of extracellular immune responses. At least two vesicle-associated and SNARE protein-mediated exocytosis pathways appear to drive focal and/or nondirectional secretion of antimicrobial cocktails comprising proteins, small molecules, and cell wall building blocks into the apoplastic space. Both pathways have additional functions in plant development and might have been coopted for immune responses. Bacteria and fungi appear to have evolved counterdefense molecules that intercept the secretion machinery by blocking vesicle formation from intracellular membranes. Independently from this, plant plasma membrane ATP-binding cassette-type (ABC) transporters act in parallel defense pathways and serve as efflux pumps for the targeted delivery of antimicrobials and/or agents promoting chemical cross-linking of plant cell wall polymers","author":[{"dropping-particle":"","family":"Kwon","given":"Chian","non-dropping-particle":"","parse-names":false,"suffix":""},{"dropping-particle":"","family":"Bednarek","given":"Pawel","non-dropping-particle":"","parse-names":false,"suffix":""},{"dropping-particle":"","family":"Schulze-Lefert","given":"Paul","non-dropping-particle":"","parse-names":false,"suffix":""}],"container-title":"Plant Physiology","id":"ITEM-1","issue":"4","issued":{"date-parts":[["2008"]]},"page":"1575-1583","title":"Secretory pathways in plant immune response","type":"article-journal","volume":"147"},"uris":["http://www.mendeley.com/documents/?uuid=0e817ab9-6ff4-4e77-a389-9cb119ff5ef6"]}],"mendeley":{"formattedCitation":"(Kwon et al., 2008)","plainTextFormattedCitation":"(Kwon et al., 2008)","previouslyFormattedCitation":"(Kwon et al., 2008)"},"properties":{"noteIndex":0},"schema":"https://github.com/citation-style-language/schema/raw/master/csl-citation.json"}</w:instrText>
            </w:r>
            <w:r>
              <w:rPr>
                <w:sz w:val="14"/>
                <w:szCs w:val="16"/>
              </w:rPr>
              <w:fldChar w:fldCharType="separate"/>
            </w:r>
            <w:r w:rsidRPr="00E67500">
              <w:rPr>
                <w:noProof/>
                <w:sz w:val="14"/>
                <w:szCs w:val="16"/>
              </w:rPr>
              <w:t>(Kwon et al., 2008)</w:t>
            </w:r>
            <w:r>
              <w:rPr>
                <w:sz w:val="14"/>
                <w:szCs w:val="16"/>
              </w:rPr>
              <w:fldChar w:fldCharType="end"/>
            </w:r>
          </w:p>
        </w:tc>
      </w:tr>
      <w:tr w:rsidR="001B3AFC" w:rsidRPr="002815CC" w14:paraId="0BE5DDB6" w14:textId="77777777" w:rsidTr="00515216">
        <w:trPr>
          <w:trHeight w:val="20"/>
        </w:trPr>
        <w:tc>
          <w:tcPr>
            <w:tcW w:w="1242" w:type="dxa"/>
            <w:vMerge/>
            <w:tcBorders>
              <w:top w:val="single" w:sz="4" w:space="0" w:color="auto"/>
              <w:left w:val="nil"/>
              <w:right w:val="nil"/>
            </w:tcBorders>
            <w:shd w:val="clear" w:color="auto" w:fill="auto"/>
          </w:tcPr>
          <w:p w14:paraId="70EF2045" w14:textId="77777777" w:rsidR="001B3AFC" w:rsidRPr="002815CC" w:rsidRDefault="001B3AFC" w:rsidP="00515216">
            <w:pPr>
              <w:pStyle w:val="NoSpacing"/>
              <w:jc w:val="both"/>
              <w:rPr>
                <w:sz w:val="14"/>
                <w:szCs w:val="16"/>
              </w:rPr>
            </w:pPr>
          </w:p>
        </w:tc>
        <w:tc>
          <w:tcPr>
            <w:tcW w:w="1560" w:type="dxa"/>
            <w:gridSpan w:val="2"/>
            <w:vMerge/>
            <w:tcBorders>
              <w:top w:val="single" w:sz="4" w:space="0" w:color="auto"/>
              <w:left w:val="nil"/>
              <w:bottom w:val="nil"/>
              <w:right w:val="nil"/>
            </w:tcBorders>
            <w:shd w:val="clear" w:color="auto" w:fill="auto"/>
          </w:tcPr>
          <w:p w14:paraId="20B5DB66" w14:textId="77777777" w:rsidR="001B3AFC" w:rsidRPr="002815CC" w:rsidRDefault="001B3AFC" w:rsidP="00515216">
            <w:pPr>
              <w:pStyle w:val="NoSpacing"/>
              <w:jc w:val="both"/>
              <w:rPr>
                <w:sz w:val="14"/>
                <w:szCs w:val="16"/>
              </w:rPr>
            </w:pPr>
          </w:p>
        </w:tc>
        <w:tc>
          <w:tcPr>
            <w:tcW w:w="1167" w:type="dxa"/>
            <w:vMerge/>
            <w:tcBorders>
              <w:top w:val="single" w:sz="4" w:space="0" w:color="auto"/>
              <w:left w:val="nil"/>
              <w:bottom w:val="nil"/>
              <w:right w:val="nil"/>
            </w:tcBorders>
            <w:shd w:val="clear" w:color="auto" w:fill="auto"/>
          </w:tcPr>
          <w:p w14:paraId="7BAE93EB" w14:textId="77777777" w:rsidR="001B3AFC" w:rsidRPr="002815CC" w:rsidRDefault="001B3AFC" w:rsidP="00515216">
            <w:pPr>
              <w:pStyle w:val="NoSpacing"/>
              <w:jc w:val="both"/>
              <w:rPr>
                <w:sz w:val="14"/>
                <w:szCs w:val="16"/>
              </w:rPr>
            </w:pPr>
          </w:p>
        </w:tc>
        <w:tc>
          <w:tcPr>
            <w:tcW w:w="1418" w:type="dxa"/>
            <w:gridSpan w:val="2"/>
            <w:vMerge/>
            <w:tcBorders>
              <w:left w:val="nil"/>
              <w:right w:val="nil"/>
            </w:tcBorders>
            <w:shd w:val="clear" w:color="auto" w:fill="auto"/>
          </w:tcPr>
          <w:p w14:paraId="736DA397" w14:textId="77777777" w:rsidR="001B3AFC" w:rsidRPr="002815CC" w:rsidRDefault="001B3AFC" w:rsidP="00515216">
            <w:pPr>
              <w:pStyle w:val="NoSpacing"/>
              <w:jc w:val="both"/>
              <w:rPr>
                <w:sz w:val="14"/>
                <w:szCs w:val="16"/>
              </w:rPr>
            </w:pPr>
          </w:p>
        </w:tc>
        <w:tc>
          <w:tcPr>
            <w:tcW w:w="1276" w:type="dxa"/>
            <w:tcBorders>
              <w:top w:val="nil"/>
              <w:left w:val="nil"/>
              <w:bottom w:val="nil"/>
              <w:right w:val="nil"/>
            </w:tcBorders>
            <w:shd w:val="clear" w:color="auto" w:fill="auto"/>
          </w:tcPr>
          <w:p w14:paraId="5029D68F" w14:textId="77777777" w:rsidR="001B3AFC" w:rsidRPr="002815CC" w:rsidRDefault="001B3AFC" w:rsidP="00515216">
            <w:pPr>
              <w:pStyle w:val="NoSpacing"/>
              <w:jc w:val="both"/>
              <w:rPr>
                <w:sz w:val="14"/>
                <w:szCs w:val="16"/>
              </w:rPr>
            </w:pPr>
            <w:r w:rsidRPr="002815CC">
              <w:rPr>
                <w:sz w:val="14"/>
                <w:szCs w:val="16"/>
              </w:rPr>
              <w:t>Split luciferase</w:t>
            </w:r>
          </w:p>
        </w:tc>
        <w:tc>
          <w:tcPr>
            <w:tcW w:w="2162" w:type="dxa"/>
            <w:tcBorders>
              <w:top w:val="nil"/>
              <w:left w:val="nil"/>
              <w:bottom w:val="nil"/>
              <w:right w:val="nil"/>
            </w:tcBorders>
            <w:shd w:val="clear" w:color="auto" w:fill="auto"/>
          </w:tcPr>
          <w:p w14:paraId="70190BC8" w14:textId="77777777" w:rsidR="001B3AFC" w:rsidRPr="002815CC" w:rsidRDefault="001B3AFC" w:rsidP="00515216">
            <w:pPr>
              <w:pStyle w:val="NoSpacing"/>
              <w:jc w:val="both"/>
              <w:rPr>
                <w:sz w:val="14"/>
                <w:szCs w:val="16"/>
              </w:rPr>
            </w:pPr>
            <w:r>
              <w:rPr>
                <w:sz w:val="14"/>
                <w:szCs w:val="16"/>
              </w:rPr>
              <w:fldChar w:fldCharType="begin" w:fldLock="1"/>
            </w:r>
            <w:r>
              <w:rPr>
                <w:sz w:val="14"/>
                <w:szCs w:val="16"/>
              </w:rPr>
              <w:instrText>ADDIN CSL_CITATION {"citationItems":[{"id":"ITEM-1","itemData":{"DOI":"10.1093/pcp/pcu048","ISBN":"1471-9053 (Electronic)\\r0032-0781 (Linking)","ISSN":"14719053","PMID":"24642714","abstract":"Root hairs are fast-growing tubular protrusions on root epidermal cells that play important roles in water and nutrient uptake in plants. The tip-focused polarized growth of root hairs is accomplished by the secretion of newly synthesized materials to the tip via the polarized membrane trafficking mechanism. Here, we report the function of two different types of plasma membrane (PM) Qa-SNAREs (soluble N-ethylmaleimide-sensitive factor attachment protein receptors), SYP123 and SYP132, in the growth of root hair in Arabidopsis. We found that SYP123, but not SYP132, localizes in the tip region of root hairs by recycling between the brefeldin A (BFA)-sensitive endosomes and the PM of the expanding tip in an F-actin-dependent manner. The vesicle-associated membrane proteins VAMP721/722/724 also exhibited tip-focused localization in root hairs and formed ternary SNARE complexes with both SYP123 and SYP132. These results demonstrate that SYP123 and SYP132 act in a coordinated fashion to mediate tip-focused membrane trafficking for root hair tip growth.","author":[{"dropping-particle":"","family":"Ichikawa","given":"Mie","non-dropping-particle":"","parse-names":false,"suffix":""},{"dropping-particle":"","family":"Hirano","given":"Tomoko","non-dropping-particle":"","parse-names":false,"suffix":""},{"dropping-particle":"","family":"Enami","given":"Kazuhiko","non-dropping-particle":"","parse-names":false,"suffix":""},{"dropping-particle":"","family":"Fuselier","given":"Taylor","non-dropping-particle":"","parse-names":false,"suffix":""},{"dropping-particle":"","family":"Kato","given":"Naohiro","non-dropping-particle":"","parse-names":false,"suffix":""},{"dropping-particle":"","family":"Kwon","given":"Chian","non-dropping-particle":"","parse-names":false,"suffix":""},{"dropping-particle":"","family":"Voigt","given":"Boris","non-dropping-particle":"","parse-names":false,"suffix":""},{"dropping-particle":"","family":"Schulze-Lefert","given":"Paul","non-dropping-particle":"","parse-names":false,"suffix":""},{"dropping-particle":"","family":"Baluška","given":"František","non-dropping-particle":"","parse-names":false,"suffix":""},{"dropping-particle":"","family":"Sato","given":"Masa H.","non-dropping-particle":"","parse-names":false,"suffix":""}],"container-title":"Plant and Cell Physiology","id":"ITEM-1","issue":"4","issued":{"date-parts":[["2014"]]},"page":"790-800","title":"Syntaxin of plant proteins SYP123 and SYP132 mediate root hair tip growth in arabidopsis thaliana","type":"article-journal","volume":"55"},"uris":["http://www.mendeley.com/documents/?uuid=5d857d3a-68e6-4631-ad4c-445266ced161"]}],"mendeley":{"formattedCitation":"(Ichikawa et al., 2014)","plainTextFormattedCitation":"(Ichikawa et al., 2014)","previouslyFormattedCitation":"(Ichikawa et al., 2014)"},"properties":{"noteIndex":0},"schema":"https://github.com/citation-style-language/schema/raw/master/csl-citation.json"}</w:instrText>
            </w:r>
            <w:r>
              <w:rPr>
                <w:sz w:val="14"/>
                <w:szCs w:val="16"/>
              </w:rPr>
              <w:fldChar w:fldCharType="separate"/>
            </w:r>
            <w:r w:rsidRPr="00E67500">
              <w:rPr>
                <w:noProof/>
                <w:sz w:val="14"/>
                <w:szCs w:val="16"/>
              </w:rPr>
              <w:t>(Ichikawa et al., 2014)</w:t>
            </w:r>
            <w:r>
              <w:rPr>
                <w:sz w:val="14"/>
                <w:szCs w:val="16"/>
              </w:rPr>
              <w:fldChar w:fldCharType="end"/>
            </w:r>
          </w:p>
        </w:tc>
      </w:tr>
      <w:tr w:rsidR="001B3AFC" w:rsidRPr="002815CC" w14:paraId="171528C0" w14:textId="77777777" w:rsidTr="00515216">
        <w:trPr>
          <w:trHeight w:val="20"/>
        </w:trPr>
        <w:tc>
          <w:tcPr>
            <w:tcW w:w="1242" w:type="dxa"/>
            <w:vMerge/>
            <w:tcBorders>
              <w:top w:val="single" w:sz="4" w:space="0" w:color="auto"/>
              <w:left w:val="nil"/>
              <w:right w:val="nil"/>
            </w:tcBorders>
            <w:shd w:val="clear" w:color="auto" w:fill="auto"/>
          </w:tcPr>
          <w:p w14:paraId="0C7751E2" w14:textId="77777777" w:rsidR="001B3AFC" w:rsidRPr="002815CC" w:rsidRDefault="001B3AFC" w:rsidP="00515216">
            <w:pPr>
              <w:pStyle w:val="NoSpacing"/>
              <w:jc w:val="both"/>
              <w:rPr>
                <w:sz w:val="14"/>
                <w:szCs w:val="16"/>
              </w:rPr>
            </w:pPr>
          </w:p>
        </w:tc>
        <w:tc>
          <w:tcPr>
            <w:tcW w:w="1560" w:type="dxa"/>
            <w:gridSpan w:val="2"/>
            <w:vMerge/>
            <w:tcBorders>
              <w:top w:val="single" w:sz="4" w:space="0" w:color="auto"/>
              <w:left w:val="nil"/>
              <w:bottom w:val="nil"/>
              <w:right w:val="nil"/>
            </w:tcBorders>
            <w:shd w:val="clear" w:color="auto" w:fill="auto"/>
          </w:tcPr>
          <w:p w14:paraId="588CF882" w14:textId="77777777" w:rsidR="001B3AFC" w:rsidRPr="002815CC" w:rsidRDefault="001B3AFC" w:rsidP="00515216">
            <w:pPr>
              <w:pStyle w:val="NoSpacing"/>
              <w:jc w:val="both"/>
              <w:rPr>
                <w:sz w:val="14"/>
                <w:szCs w:val="16"/>
              </w:rPr>
            </w:pPr>
          </w:p>
        </w:tc>
        <w:tc>
          <w:tcPr>
            <w:tcW w:w="1167" w:type="dxa"/>
            <w:vMerge/>
            <w:tcBorders>
              <w:top w:val="single" w:sz="4" w:space="0" w:color="auto"/>
              <w:left w:val="nil"/>
              <w:bottom w:val="nil"/>
              <w:right w:val="nil"/>
            </w:tcBorders>
            <w:shd w:val="clear" w:color="auto" w:fill="auto"/>
          </w:tcPr>
          <w:p w14:paraId="33266FEA" w14:textId="77777777" w:rsidR="001B3AFC" w:rsidRPr="002815CC" w:rsidRDefault="001B3AFC" w:rsidP="00515216">
            <w:pPr>
              <w:pStyle w:val="NoSpacing"/>
              <w:jc w:val="both"/>
              <w:rPr>
                <w:sz w:val="14"/>
                <w:szCs w:val="16"/>
              </w:rPr>
            </w:pPr>
          </w:p>
        </w:tc>
        <w:tc>
          <w:tcPr>
            <w:tcW w:w="1418" w:type="dxa"/>
            <w:gridSpan w:val="2"/>
            <w:vMerge/>
            <w:tcBorders>
              <w:left w:val="nil"/>
              <w:right w:val="nil"/>
            </w:tcBorders>
            <w:shd w:val="clear" w:color="auto" w:fill="auto"/>
          </w:tcPr>
          <w:p w14:paraId="64A031EE" w14:textId="77777777" w:rsidR="001B3AFC" w:rsidRPr="002815CC" w:rsidRDefault="001B3AFC" w:rsidP="00515216">
            <w:pPr>
              <w:pStyle w:val="NoSpacing"/>
              <w:jc w:val="both"/>
              <w:rPr>
                <w:sz w:val="14"/>
                <w:szCs w:val="16"/>
              </w:rPr>
            </w:pPr>
          </w:p>
        </w:tc>
        <w:tc>
          <w:tcPr>
            <w:tcW w:w="1276" w:type="dxa"/>
            <w:tcBorders>
              <w:top w:val="nil"/>
              <w:left w:val="nil"/>
              <w:bottom w:val="nil"/>
              <w:right w:val="nil"/>
            </w:tcBorders>
            <w:shd w:val="clear" w:color="auto" w:fill="auto"/>
          </w:tcPr>
          <w:p w14:paraId="70A87410" w14:textId="77777777" w:rsidR="001B3AFC" w:rsidRPr="002815CC" w:rsidRDefault="001B3AFC" w:rsidP="00515216">
            <w:pPr>
              <w:pStyle w:val="NoSpacing"/>
              <w:jc w:val="both"/>
              <w:rPr>
                <w:sz w:val="14"/>
                <w:szCs w:val="16"/>
              </w:rPr>
            </w:pPr>
            <w:r w:rsidRPr="002815CC">
              <w:rPr>
                <w:sz w:val="14"/>
                <w:szCs w:val="16"/>
              </w:rPr>
              <w:t>Co-IP</w:t>
            </w:r>
          </w:p>
        </w:tc>
        <w:tc>
          <w:tcPr>
            <w:tcW w:w="2162" w:type="dxa"/>
            <w:tcBorders>
              <w:top w:val="nil"/>
              <w:left w:val="nil"/>
              <w:bottom w:val="nil"/>
              <w:right w:val="nil"/>
            </w:tcBorders>
            <w:shd w:val="clear" w:color="auto" w:fill="auto"/>
          </w:tcPr>
          <w:p w14:paraId="09798CA4" w14:textId="77777777" w:rsidR="001B3AFC" w:rsidRPr="002815CC" w:rsidRDefault="001B3AFC" w:rsidP="00515216">
            <w:pPr>
              <w:pStyle w:val="NoSpacing"/>
              <w:jc w:val="both"/>
              <w:rPr>
                <w:sz w:val="14"/>
                <w:szCs w:val="16"/>
              </w:rPr>
            </w:pPr>
            <w:r>
              <w:rPr>
                <w:sz w:val="14"/>
                <w:szCs w:val="16"/>
              </w:rPr>
              <w:fldChar w:fldCharType="begin" w:fldLock="1"/>
            </w:r>
            <w:r>
              <w:rPr>
                <w:sz w:val="14"/>
                <w:szCs w:val="16"/>
              </w:rPr>
              <w:instrText>ADDIN CSL_CITATION {"citationItems":[{"id":"ITEM-1","itemData":{"DOI":"10.1038/ncb2270","ISBN":"1476-4679 (Electronic)\\n1465-7392 (Linking)","ISSN":"1465-7392","PMID":"21666683","abstract":"Endosomal trafficking plays an integral role in various eukaryotic cell activities and serves as a basis for higher-order functions in multicellular organisms. An understanding of the importance of endosomal trafficking in plants is rapidly developing, but its molecular mechanism is mostly unknown. Several key regulators of endosomal trafficking, including RAB5, which regulates diverse endocytic events in animal cells, are highly conserved. However, the identification of lineage-specific regulators in eukaryotes indicates that endosomal trafficking is diversified according to distinct body plans and lifestyles. In addition to orthologues of metazoan RAB5, land plants possess a unique RAB5 molecule, which is one of the most prominent features of plant RAB GTPase organization. Plants have also evolved a unique repertoire of SNAREs, the most distinctive of which are diverse VAMP7-related longins, including plant-unique VAMP72 derivatives. Here, we demonstrate that a plant-unique RAB5 protein, ARA6, acts in an endosomal trafficking pathway in Arabidopsis thaliana. ARA6 modulates the assembly of a distinct SNARE complex from conventional RAB5, and has a functional role in the salinity stress response. Our results indicate that plants possess a unique endosomal trafficking network and provide the first indication of a functional link between a specific RAB and a specific SNARE complex in plants.","author":[{"dropping-particle":"","family":"Ebine","given":"Kazuo","non-dropping-particle":"","parse-names":false,"suffix":""},{"dropping-particle":"","family":"Fujimoto","given":"Masaru","non-dropping-particle":"","parse-names":false,"suffix":""},{"dropping-particle":"","family":"Okatani","given":"Yusuke","non-dropping-particle":"","parse-names":false,"suffix":""},{"dropping-particle":"","family":"Nishiyama","given":"Tomoaki","non-dropping-particle":"","parse-names":false,"suffix":""},{"dropping-particle":"","family":"Goh","given":"Tatsuaki","non-dropping-particle":"","parse-names":false,"suffix":""},{"dropping-particle":"","family":"Ito","given":"Emi","non-dropping-particle":"","parse-names":false,"suffix":""},{"dropping-particle":"","family":"Dainobu","given":"Tomoko","non-dropping-particle":"","parse-names":false,"suffix":""},{"dropping-particle":"","family":"Nishitani","given":"Aiko","non-dropping-particle":"","parse-names":false,"suffix":""},{"dropping-particle":"","family":"Uemura","given":"Tomohiro","non-dropping-particle":"","parse-names":false,"suffix":""},{"dropping-particle":"","family":"Sato","given":"Masa H","non-dropping-particle":"","parse-names":false,"suffix":""},{"dropping-particle":"","family":"Thordal-Christensen","given":"Hans","non-dropping-particle":"","parse-names":false,"suffix":""},{"dropping-particle":"","family":"Tsutsumi","given":"Nobuhiro","non-dropping-particle":"","parse-names":false,"suffix":""},{"dropping-particle":"","family":"Nakano","given":"Akihiko","non-dropping-particle":"","parse-names":false,"suffix":""},{"dropping-particle":"","family":"Ueda","given":"Takashi","non-dropping-particle":"","parse-names":false,"suffix":""}],"container-title":"Nature cell biology","id":"ITEM-1","issue":"7","issued":{"date-parts":[["2011"]]},"page":"853-859","publisher":"Nature Publishing Group","title":"A membrane trafficking pathway regulated by the plant-specific RAB GTPase ARA6.","type":"article-journal","volume":"13"},"uris":["http://www.mendeley.com/documents/?uuid=3a3d0d00-6c09-443e-b17f-ef228c52586b"]}],"mendeley":{"formattedCitation":"(Ebine et al., 2011)","plainTextFormattedCitation":"(Ebine et al., 2011)","previouslyFormattedCitation":"(Ebine et al., 2011)"},"properties":{"noteIndex":0},"schema":"https://github.com/citation-style-language/schema/raw/master/csl-citation.json"}</w:instrText>
            </w:r>
            <w:r>
              <w:rPr>
                <w:sz w:val="14"/>
                <w:szCs w:val="16"/>
              </w:rPr>
              <w:fldChar w:fldCharType="separate"/>
            </w:r>
            <w:r w:rsidRPr="00E67500">
              <w:rPr>
                <w:noProof/>
                <w:sz w:val="14"/>
                <w:szCs w:val="16"/>
              </w:rPr>
              <w:t>(Ebine et al., 2011)</w:t>
            </w:r>
            <w:r>
              <w:rPr>
                <w:sz w:val="14"/>
                <w:szCs w:val="16"/>
              </w:rPr>
              <w:fldChar w:fldCharType="end"/>
            </w:r>
          </w:p>
        </w:tc>
      </w:tr>
      <w:tr w:rsidR="001B3AFC" w:rsidRPr="002815CC" w14:paraId="5224B5B6" w14:textId="77777777" w:rsidTr="00515216">
        <w:trPr>
          <w:trHeight w:val="20"/>
        </w:trPr>
        <w:tc>
          <w:tcPr>
            <w:tcW w:w="1242" w:type="dxa"/>
            <w:vMerge/>
            <w:tcBorders>
              <w:top w:val="single" w:sz="4" w:space="0" w:color="auto"/>
              <w:left w:val="nil"/>
              <w:right w:val="nil"/>
            </w:tcBorders>
            <w:shd w:val="clear" w:color="auto" w:fill="auto"/>
          </w:tcPr>
          <w:p w14:paraId="21C917EE" w14:textId="77777777" w:rsidR="001B3AFC" w:rsidRPr="002815CC" w:rsidRDefault="001B3AFC" w:rsidP="00515216">
            <w:pPr>
              <w:pStyle w:val="NoSpacing"/>
              <w:jc w:val="both"/>
              <w:rPr>
                <w:sz w:val="14"/>
                <w:szCs w:val="16"/>
              </w:rPr>
            </w:pPr>
          </w:p>
        </w:tc>
        <w:tc>
          <w:tcPr>
            <w:tcW w:w="1560" w:type="dxa"/>
            <w:gridSpan w:val="2"/>
            <w:vMerge/>
            <w:tcBorders>
              <w:top w:val="single" w:sz="4" w:space="0" w:color="auto"/>
              <w:left w:val="nil"/>
              <w:bottom w:val="nil"/>
              <w:right w:val="nil"/>
            </w:tcBorders>
            <w:shd w:val="clear" w:color="auto" w:fill="auto"/>
          </w:tcPr>
          <w:p w14:paraId="3AA7D88F" w14:textId="77777777" w:rsidR="001B3AFC" w:rsidRPr="002815CC" w:rsidRDefault="001B3AFC" w:rsidP="00515216">
            <w:pPr>
              <w:pStyle w:val="NoSpacing"/>
              <w:jc w:val="both"/>
              <w:rPr>
                <w:sz w:val="14"/>
                <w:szCs w:val="16"/>
              </w:rPr>
            </w:pPr>
          </w:p>
        </w:tc>
        <w:tc>
          <w:tcPr>
            <w:tcW w:w="1167" w:type="dxa"/>
            <w:vMerge/>
            <w:tcBorders>
              <w:top w:val="single" w:sz="4" w:space="0" w:color="auto"/>
              <w:left w:val="nil"/>
              <w:bottom w:val="nil"/>
              <w:right w:val="nil"/>
            </w:tcBorders>
            <w:shd w:val="clear" w:color="auto" w:fill="auto"/>
          </w:tcPr>
          <w:p w14:paraId="542BAA48" w14:textId="77777777" w:rsidR="001B3AFC" w:rsidRPr="002815CC" w:rsidRDefault="001B3AFC" w:rsidP="00515216">
            <w:pPr>
              <w:pStyle w:val="NoSpacing"/>
              <w:jc w:val="both"/>
              <w:rPr>
                <w:sz w:val="14"/>
                <w:szCs w:val="16"/>
              </w:rPr>
            </w:pPr>
          </w:p>
        </w:tc>
        <w:tc>
          <w:tcPr>
            <w:tcW w:w="1418" w:type="dxa"/>
            <w:gridSpan w:val="2"/>
            <w:vMerge/>
            <w:tcBorders>
              <w:left w:val="nil"/>
              <w:bottom w:val="nil"/>
              <w:right w:val="nil"/>
            </w:tcBorders>
            <w:shd w:val="clear" w:color="auto" w:fill="auto"/>
          </w:tcPr>
          <w:p w14:paraId="2A307F2C" w14:textId="77777777" w:rsidR="001B3AFC" w:rsidRPr="002815CC" w:rsidRDefault="001B3AFC" w:rsidP="00515216">
            <w:pPr>
              <w:pStyle w:val="NoSpacing"/>
              <w:jc w:val="both"/>
              <w:rPr>
                <w:sz w:val="14"/>
                <w:szCs w:val="16"/>
              </w:rPr>
            </w:pPr>
          </w:p>
        </w:tc>
        <w:tc>
          <w:tcPr>
            <w:tcW w:w="1276" w:type="dxa"/>
            <w:tcBorders>
              <w:top w:val="nil"/>
              <w:left w:val="nil"/>
              <w:bottom w:val="nil"/>
              <w:right w:val="nil"/>
            </w:tcBorders>
            <w:shd w:val="clear" w:color="auto" w:fill="auto"/>
          </w:tcPr>
          <w:p w14:paraId="218B8DDB" w14:textId="77777777" w:rsidR="001B3AFC" w:rsidRPr="002815CC" w:rsidRDefault="001B3AFC" w:rsidP="00515216">
            <w:pPr>
              <w:pStyle w:val="NoSpacing"/>
              <w:jc w:val="both"/>
              <w:rPr>
                <w:sz w:val="14"/>
                <w:szCs w:val="16"/>
              </w:rPr>
            </w:pPr>
            <w:r w:rsidRPr="002815CC">
              <w:rPr>
                <w:sz w:val="14"/>
                <w:szCs w:val="16"/>
              </w:rPr>
              <w:t>Pull-down</w:t>
            </w:r>
          </w:p>
        </w:tc>
        <w:tc>
          <w:tcPr>
            <w:tcW w:w="2162" w:type="dxa"/>
            <w:tcBorders>
              <w:top w:val="nil"/>
              <w:left w:val="nil"/>
              <w:bottom w:val="nil"/>
              <w:right w:val="nil"/>
            </w:tcBorders>
            <w:shd w:val="clear" w:color="auto" w:fill="auto"/>
          </w:tcPr>
          <w:p w14:paraId="01CDE05B" w14:textId="77777777" w:rsidR="001B3AFC" w:rsidRPr="002815CC" w:rsidRDefault="001B3AFC" w:rsidP="00515216">
            <w:pPr>
              <w:pStyle w:val="NoSpacing"/>
              <w:jc w:val="both"/>
              <w:rPr>
                <w:sz w:val="14"/>
                <w:szCs w:val="16"/>
              </w:rPr>
            </w:pPr>
            <w:r>
              <w:rPr>
                <w:sz w:val="14"/>
                <w:szCs w:val="16"/>
              </w:rPr>
              <w:fldChar w:fldCharType="begin" w:fldLock="1"/>
            </w:r>
            <w:r>
              <w:rPr>
                <w:sz w:val="14"/>
                <w:szCs w:val="16"/>
              </w:rPr>
              <w:instrText>ADDIN CSL_CITATION {"citationItems":[{"id":"ITEM-1","itemData":{"DOI":"10.1105/tpc.112.108506","ISBN":"1532-298X (Electronic)\\n1040-4651 (Linking)","ISSN":"1532-298X","PMID":"23572542","abstract":"The Arabidopsis thaliana Qa-SNARE SYP121 (=SYR1/PEN1) drives vesicle traffic at the plasma membrane of cells throughout the vegetative plant. It facilitates responses to drought, to the water stress hormone abscisic acid, and to pathogen attack, and it is essential for recovery from so-called programmed stomatal closure. How SYP121-mediated traffic is regulated is largely unknown, although it is thought to depend on formation of a fusion-competent SNARE core complex with the cognate partners VAMP721 and SNAP33. Like SYP121, the Arabidopsis Sec1/Munc18 protein SEC11 (=KEULE) is expressed throughout the vegetative plant. We find that SEC11 binds directly with SYP121 both in vitro and in vivo to affect secretory traffic. Binding occurs through two distinct modes, one requiring only SEC11 and SYP121 and the second dependent on assembly of a complex with VAMP721 and SNAP33. SEC11 competes dynamically for SYP121 binding with SNAP33 and VAMP721, and this competition is predicated by SEC11 association with the N terminus of SYP121. These and additional data are consistent with a model in which SYP121-mediated vesicle fusion is regulated by an unusual “handshaking” mechanism of concerted SEC11 debinding and rebinding. They also implicate one or more factors that alter or disrupt SEC11 association with the SYP121 N terminus as an early step initiating SNARE complex formation.","author":[{"dropping-particle":"","family":"Karnik","given":"Rucha","non-dropping-particle":"","parse-names":false,"suffix":""},{"dropping-particle":"","family":"Grefen","given":"Christopher","non-dropping-particle":"","parse-names":false,"suffix":""},{"dropping-particle":"","family":"Bayne","given":"Robert","non-dropping-particle":"","parse-names":false,"suffix":""},{"dropping-particle":"","family":"Honsbein","given":"Annegret","non-dropping-particle":"","parse-names":false,"suffix":""},{"dropping-particle":"","family":"Köhler","given":"Tim","non-dropping-particle":"","parse-names":false,"suffix":""},{"dropping-particle":"","family":"Kioumourtzoglou","given":"Dimitrios","non-dropping-particle":"","parse-names":false,"suffix":""},{"dropping-particle":"","family":"Williams","given":"Mary","non-dropping-particle":"","parse-names":false,"suffix":""},{"dropping-particle":"","family":"Bryant","given":"Nia J","non-dropping-particle":"","parse-names":false,"suffix":""},{"dropping-particle":"","family":"Blatt","given":"Michael R","non-dropping-particle":"","parse-names":false,"suffix":""}],"container-title":"The Plant Cell","id":"ITEM-1","issue":"4","issued":{"date-parts":[["2013"]]},"page":"1368-1382","title":"Arabidopsis Sec1/Munc18 protein SEC11 Is a competitive and dynamic modulator of SNARE binding and SYP121-dependent vesicle traffic","type":"article-journal","volume":"25"},"uris":["http://www.mendeley.com/documents/?uuid=7373a992-42e5-435e-930c-6fe0ae25b077"]}],"mendeley":{"formattedCitation":"(Karnik et al., 2013)","plainTextFormattedCitation":"(Karnik et al., 2013)"},"properties":{"noteIndex":0},"schema":"https://github.com/citation-style-language/schema/raw/master/csl-citation.json"}</w:instrText>
            </w:r>
            <w:r>
              <w:rPr>
                <w:sz w:val="14"/>
                <w:szCs w:val="16"/>
              </w:rPr>
              <w:fldChar w:fldCharType="separate"/>
            </w:r>
            <w:r w:rsidRPr="001B3AFC">
              <w:rPr>
                <w:noProof/>
                <w:sz w:val="14"/>
                <w:szCs w:val="16"/>
              </w:rPr>
              <w:t>(Karnik et al., 2013)</w:t>
            </w:r>
            <w:r>
              <w:rPr>
                <w:sz w:val="14"/>
                <w:szCs w:val="16"/>
              </w:rPr>
              <w:fldChar w:fldCharType="end"/>
            </w:r>
          </w:p>
        </w:tc>
      </w:tr>
      <w:tr w:rsidR="001B3AFC" w:rsidRPr="002815CC" w14:paraId="39BD3BC5" w14:textId="77777777" w:rsidTr="00515216">
        <w:trPr>
          <w:trHeight w:val="20"/>
        </w:trPr>
        <w:tc>
          <w:tcPr>
            <w:tcW w:w="1242" w:type="dxa"/>
            <w:vMerge/>
            <w:tcBorders>
              <w:left w:val="nil"/>
              <w:right w:val="nil"/>
            </w:tcBorders>
            <w:shd w:val="clear" w:color="auto" w:fill="auto"/>
          </w:tcPr>
          <w:p w14:paraId="655BD8DD" w14:textId="77777777" w:rsidR="001B3AFC" w:rsidRPr="002815CC" w:rsidRDefault="001B3AFC" w:rsidP="00515216">
            <w:pPr>
              <w:pStyle w:val="NoSpacing"/>
              <w:jc w:val="both"/>
              <w:rPr>
                <w:sz w:val="14"/>
                <w:szCs w:val="16"/>
              </w:rPr>
            </w:pPr>
          </w:p>
        </w:tc>
        <w:tc>
          <w:tcPr>
            <w:tcW w:w="1560" w:type="dxa"/>
            <w:gridSpan w:val="2"/>
            <w:vMerge/>
            <w:tcBorders>
              <w:top w:val="nil"/>
              <w:left w:val="nil"/>
              <w:bottom w:val="nil"/>
              <w:right w:val="nil"/>
            </w:tcBorders>
            <w:shd w:val="clear" w:color="auto" w:fill="auto"/>
          </w:tcPr>
          <w:p w14:paraId="0F9B8DA6" w14:textId="77777777" w:rsidR="001B3AFC" w:rsidRPr="002815CC" w:rsidRDefault="001B3AFC" w:rsidP="00515216">
            <w:pPr>
              <w:pStyle w:val="NoSpacing"/>
              <w:jc w:val="both"/>
              <w:rPr>
                <w:sz w:val="14"/>
                <w:szCs w:val="16"/>
              </w:rPr>
            </w:pPr>
          </w:p>
        </w:tc>
        <w:tc>
          <w:tcPr>
            <w:tcW w:w="1167" w:type="dxa"/>
            <w:vMerge/>
            <w:tcBorders>
              <w:top w:val="nil"/>
              <w:left w:val="nil"/>
              <w:bottom w:val="nil"/>
              <w:right w:val="nil"/>
            </w:tcBorders>
            <w:shd w:val="clear" w:color="auto" w:fill="auto"/>
          </w:tcPr>
          <w:p w14:paraId="5D95DA57" w14:textId="77777777" w:rsidR="001B3AFC" w:rsidRPr="002815CC" w:rsidRDefault="001B3AFC" w:rsidP="00515216">
            <w:pPr>
              <w:pStyle w:val="NoSpacing"/>
              <w:jc w:val="both"/>
              <w:rPr>
                <w:sz w:val="14"/>
                <w:szCs w:val="16"/>
              </w:rPr>
            </w:pPr>
          </w:p>
        </w:tc>
        <w:tc>
          <w:tcPr>
            <w:tcW w:w="1418" w:type="dxa"/>
            <w:gridSpan w:val="2"/>
            <w:vMerge w:val="restart"/>
            <w:tcBorders>
              <w:top w:val="nil"/>
              <w:left w:val="nil"/>
              <w:right w:val="nil"/>
            </w:tcBorders>
            <w:shd w:val="clear" w:color="auto" w:fill="auto"/>
          </w:tcPr>
          <w:p w14:paraId="58E62EEB" w14:textId="77777777" w:rsidR="001B3AFC" w:rsidRPr="002815CC" w:rsidRDefault="001B3AFC" w:rsidP="00515216">
            <w:pPr>
              <w:pStyle w:val="NoSpacing"/>
              <w:jc w:val="both"/>
              <w:rPr>
                <w:sz w:val="14"/>
                <w:szCs w:val="16"/>
              </w:rPr>
            </w:pPr>
            <w:r w:rsidRPr="002815CC">
              <w:rPr>
                <w:sz w:val="14"/>
                <w:szCs w:val="16"/>
              </w:rPr>
              <w:t>AtVAMP722</w:t>
            </w:r>
          </w:p>
        </w:tc>
        <w:tc>
          <w:tcPr>
            <w:tcW w:w="1276" w:type="dxa"/>
            <w:tcBorders>
              <w:top w:val="nil"/>
              <w:left w:val="nil"/>
              <w:bottom w:val="nil"/>
              <w:right w:val="nil"/>
            </w:tcBorders>
            <w:shd w:val="clear" w:color="auto" w:fill="auto"/>
          </w:tcPr>
          <w:p w14:paraId="11A2DC1E" w14:textId="77777777" w:rsidR="001B3AFC" w:rsidRPr="002815CC" w:rsidRDefault="001B3AFC" w:rsidP="00515216">
            <w:pPr>
              <w:pStyle w:val="NoSpacing"/>
              <w:jc w:val="both"/>
              <w:rPr>
                <w:sz w:val="14"/>
                <w:szCs w:val="16"/>
              </w:rPr>
            </w:pPr>
            <w:r w:rsidRPr="002815CC">
              <w:rPr>
                <w:sz w:val="14"/>
                <w:szCs w:val="16"/>
              </w:rPr>
              <w:t>Pull-down</w:t>
            </w:r>
          </w:p>
        </w:tc>
        <w:tc>
          <w:tcPr>
            <w:tcW w:w="2162" w:type="dxa"/>
            <w:tcBorders>
              <w:top w:val="nil"/>
              <w:left w:val="nil"/>
              <w:bottom w:val="nil"/>
              <w:right w:val="nil"/>
            </w:tcBorders>
            <w:shd w:val="clear" w:color="auto" w:fill="auto"/>
          </w:tcPr>
          <w:p w14:paraId="2FE33035" w14:textId="77777777" w:rsidR="001B3AFC" w:rsidRPr="002815CC" w:rsidRDefault="001B3AFC" w:rsidP="00515216">
            <w:pPr>
              <w:pStyle w:val="NoSpacing"/>
              <w:jc w:val="both"/>
              <w:rPr>
                <w:sz w:val="14"/>
                <w:szCs w:val="16"/>
              </w:rPr>
            </w:pPr>
            <w:r>
              <w:rPr>
                <w:sz w:val="14"/>
                <w:szCs w:val="16"/>
              </w:rPr>
              <w:fldChar w:fldCharType="begin" w:fldLock="1"/>
            </w:r>
            <w:r>
              <w:rPr>
                <w:sz w:val="14"/>
                <w:szCs w:val="16"/>
              </w:rPr>
              <w:instrText>ADDIN CSL_CITATION {"citationItems":[{"id":"ITEM-1","itemData":{"DOI":"10.1104/pp.108.121566","ISBN":"0032-0889 (Print)\\r0032-0889 (Linking)","ISSN":"0032-0889","PMID":"18678749","abstract":"Innate immune receptors in plants detect the presence of microbial pathogens and trigger defense responses to terminate or restrict pathogen growth. The molecular mechanisms of receptor-mediated nonself recognition and subsequent intracellular signaling pathways have received much attention in the past. Less is known about the cellular mechanisms that contribute to the execution of immune responses. Recent studies revealed the existence of a secretory machinery that becomes engaged in the execution of extracellular immune responses. At least two vesicle-associated and SNARE protein-mediated exocytosis pathways appear to drive focal and/or nondirectional secretion of antimicrobial cocktails comprising proteins, small molecules, and cell wall building blocks into the apoplastic space. Both pathways have additional functions in plant development and might have been coopted for immune responses. Bacteria and fungi appear to have evolved counterdefense molecules that intercept the secretion machinery by blocking vesicle formation from intracellular membranes. Independently from this, plant plasma membrane ATP-binding cassette-type (ABC) transporters act in parallel defense pathways and serve as efflux pumps for the targeted delivery of antimicrobials and/or agents promoting chemical cross-linking of plant cell wall polymers","author":[{"dropping-particle":"","family":"Kwon","given":"Chian","non-dropping-particle":"","parse-names":false,"suffix":""},{"dropping-particle":"","family":"Bednarek","given":"Pawel","non-dropping-particle":"","parse-names":false,"suffix":""},{"dropping-particle":"","family":"Schulze-Lefert","given":"Paul","non-dropping-particle":"","parse-names":false,"suffix":""}],"container-title":"Plant Physiology","id":"ITEM-1","issue":"4","issued":{"date-parts":[["2008"]]},"page":"1575-1583","title":"Secretory pathways in plant immune response","type":"article-journal","volume":"147"},"uris":["http://www.mendeley.com/documents/?uuid=0e817ab9-6ff4-4e77-a389-9cb119ff5ef6"]}],"mendeley":{"formattedCitation":"(Kwon et al., 2008)","plainTextFormattedCitation":"(Kwon et al., 2008)","previouslyFormattedCitation":"(Kwon et al., 2008)"},"properties":{"noteIndex":0},"schema":"https://github.com/citation-style-language/schema/raw/master/csl-citation.json"}</w:instrText>
            </w:r>
            <w:r>
              <w:rPr>
                <w:sz w:val="14"/>
                <w:szCs w:val="16"/>
              </w:rPr>
              <w:fldChar w:fldCharType="separate"/>
            </w:r>
            <w:r w:rsidRPr="00E67500">
              <w:rPr>
                <w:noProof/>
                <w:sz w:val="14"/>
                <w:szCs w:val="16"/>
              </w:rPr>
              <w:t>(Kwon et al., 2008)</w:t>
            </w:r>
            <w:r>
              <w:rPr>
                <w:sz w:val="14"/>
                <w:szCs w:val="16"/>
              </w:rPr>
              <w:fldChar w:fldCharType="end"/>
            </w:r>
          </w:p>
        </w:tc>
      </w:tr>
      <w:tr w:rsidR="001B3AFC" w:rsidRPr="002815CC" w14:paraId="033F82B0" w14:textId="77777777" w:rsidTr="00515216">
        <w:trPr>
          <w:trHeight w:val="20"/>
        </w:trPr>
        <w:tc>
          <w:tcPr>
            <w:tcW w:w="1242" w:type="dxa"/>
            <w:vMerge/>
            <w:tcBorders>
              <w:left w:val="nil"/>
              <w:right w:val="nil"/>
            </w:tcBorders>
            <w:shd w:val="clear" w:color="auto" w:fill="auto"/>
          </w:tcPr>
          <w:p w14:paraId="2BAAB83A" w14:textId="77777777" w:rsidR="001B3AFC" w:rsidRPr="002815CC" w:rsidRDefault="001B3AFC" w:rsidP="00515216">
            <w:pPr>
              <w:pStyle w:val="NoSpacing"/>
              <w:jc w:val="both"/>
              <w:rPr>
                <w:sz w:val="14"/>
                <w:szCs w:val="16"/>
              </w:rPr>
            </w:pPr>
          </w:p>
        </w:tc>
        <w:tc>
          <w:tcPr>
            <w:tcW w:w="1560" w:type="dxa"/>
            <w:gridSpan w:val="2"/>
            <w:vMerge/>
            <w:tcBorders>
              <w:top w:val="nil"/>
              <w:left w:val="nil"/>
              <w:bottom w:val="nil"/>
              <w:right w:val="nil"/>
            </w:tcBorders>
            <w:shd w:val="clear" w:color="auto" w:fill="auto"/>
          </w:tcPr>
          <w:p w14:paraId="4F6A63BC" w14:textId="77777777" w:rsidR="001B3AFC" w:rsidRPr="002815CC" w:rsidRDefault="001B3AFC" w:rsidP="00515216">
            <w:pPr>
              <w:pStyle w:val="NoSpacing"/>
              <w:jc w:val="both"/>
              <w:rPr>
                <w:sz w:val="14"/>
                <w:szCs w:val="16"/>
              </w:rPr>
            </w:pPr>
          </w:p>
        </w:tc>
        <w:tc>
          <w:tcPr>
            <w:tcW w:w="1167" w:type="dxa"/>
            <w:vMerge/>
            <w:tcBorders>
              <w:top w:val="nil"/>
              <w:left w:val="nil"/>
              <w:bottom w:val="nil"/>
              <w:right w:val="nil"/>
            </w:tcBorders>
            <w:shd w:val="clear" w:color="auto" w:fill="auto"/>
          </w:tcPr>
          <w:p w14:paraId="3F80F4E5" w14:textId="77777777" w:rsidR="001B3AFC" w:rsidRPr="002815CC" w:rsidRDefault="001B3AFC" w:rsidP="00515216">
            <w:pPr>
              <w:pStyle w:val="NoSpacing"/>
              <w:jc w:val="both"/>
              <w:rPr>
                <w:sz w:val="14"/>
                <w:szCs w:val="16"/>
              </w:rPr>
            </w:pPr>
          </w:p>
        </w:tc>
        <w:tc>
          <w:tcPr>
            <w:tcW w:w="1418" w:type="dxa"/>
            <w:gridSpan w:val="2"/>
            <w:vMerge/>
            <w:tcBorders>
              <w:left w:val="nil"/>
              <w:bottom w:val="nil"/>
              <w:right w:val="nil"/>
            </w:tcBorders>
            <w:shd w:val="clear" w:color="auto" w:fill="auto"/>
          </w:tcPr>
          <w:p w14:paraId="513FC79D" w14:textId="77777777" w:rsidR="001B3AFC" w:rsidRPr="002815CC" w:rsidRDefault="001B3AFC" w:rsidP="00515216">
            <w:pPr>
              <w:pStyle w:val="NoSpacing"/>
              <w:jc w:val="both"/>
              <w:rPr>
                <w:sz w:val="14"/>
                <w:szCs w:val="16"/>
              </w:rPr>
            </w:pPr>
          </w:p>
        </w:tc>
        <w:tc>
          <w:tcPr>
            <w:tcW w:w="1276" w:type="dxa"/>
            <w:tcBorders>
              <w:top w:val="nil"/>
              <w:left w:val="nil"/>
              <w:bottom w:val="nil"/>
              <w:right w:val="nil"/>
            </w:tcBorders>
            <w:shd w:val="clear" w:color="auto" w:fill="auto"/>
          </w:tcPr>
          <w:p w14:paraId="16D9A462" w14:textId="77777777" w:rsidR="001B3AFC" w:rsidRPr="002815CC" w:rsidRDefault="001B3AFC" w:rsidP="00515216">
            <w:pPr>
              <w:pStyle w:val="NoSpacing"/>
              <w:jc w:val="both"/>
              <w:rPr>
                <w:sz w:val="14"/>
                <w:szCs w:val="16"/>
              </w:rPr>
            </w:pPr>
            <w:r w:rsidRPr="002815CC">
              <w:rPr>
                <w:sz w:val="14"/>
                <w:szCs w:val="16"/>
              </w:rPr>
              <w:t>split luciferase</w:t>
            </w:r>
          </w:p>
        </w:tc>
        <w:tc>
          <w:tcPr>
            <w:tcW w:w="2162" w:type="dxa"/>
            <w:tcBorders>
              <w:top w:val="nil"/>
              <w:left w:val="nil"/>
              <w:bottom w:val="nil"/>
              <w:right w:val="nil"/>
            </w:tcBorders>
            <w:shd w:val="clear" w:color="auto" w:fill="auto"/>
          </w:tcPr>
          <w:p w14:paraId="36840EFB" w14:textId="77777777" w:rsidR="001B3AFC" w:rsidRPr="002815CC" w:rsidRDefault="001B3AFC" w:rsidP="00515216">
            <w:pPr>
              <w:pStyle w:val="NoSpacing"/>
              <w:jc w:val="both"/>
              <w:rPr>
                <w:sz w:val="14"/>
                <w:szCs w:val="16"/>
              </w:rPr>
            </w:pPr>
            <w:r>
              <w:rPr>
                <w:sz w:val="14"/>
                <w:szCs w:val="16"/>
              </w:rPr>
              <w:fldChar w:fldCharType="begin" w:fldLock="1"/>
            </w:r>
            <w:r>
              <w:rPr>
                <w:sz w:val="14"/>
                <w:szCs w:val="16"/>
              </w:rPr>
              <w:instrText>ADDIN CSL_CITATION {"citationItems":[{"id":"ITEM-1","itemData":{"DOI":"10.1093/pcp/pcu048","ISBN":"1471-9053 (Electronic)\\r0032-0781 (Linking)","ISSN":"14719053","PMID":"24642714","abstract":"Root hairs are fast-growing tubular protrusions on root epidermal cells that play important roles in water and nutrient uptake in plants. The tip-focused polarized growth of root hairs is accomplished by the secretion of newly synthesized materials to the tip via the polarized membrane trafficking mechanism. Here, we report the function of two different types of plasma membrane (PM) Qa-SNAREs (soluble N-ethylmaleimide-sensitive factor attachment protein receptors), SYP123 and SYP132, in the growth of root hair in Arabidopsis. We found that SYP123, but not SYP132, localizes in the tip region of root hairs by recycling between the brefeldin A (BFA)-sensitive endosomes and the PM of the expanding tip in an F-actin-dependent manner. The vesicle-associated membrane proteins VAMP721/722/724 also exhibited tip-focused localization in root hairs and formed ternary SNARE complexes with both SYP123 and SYP132. These results demonstrate that SYP123 and SYP132 act in a coordinated fashion to mediate tip-focused membrane trafficking for root hair tip growth.","author":[{"dropping-particle":"","family":"Ichikawa","given":"Mie","non-dropping-particle":"","parse-names":false,"suffix":""},{"dropping-particle":"","family":"Hirano","given":"Tomoko","non-dropping-particle":"","parse-names":false,"suffix":""},{"dropping-particle":"","family":"Enami","given":"Kazuhiko","non-dropping-particle":"","parse-names":false,"suffix":""},{"dropping-particle":"","family":"Fuselier","given":"Taylor","non-dropping-particle":"","parse-names":false,"suffix":""},{"dropping-particle":"","family":"Kato","given":"Naohiro","non-dropping-particle":"","parse-names":false,"suffix":""},{"dropping-particle":"","family":"Kwon","given":"Chian","non-dropping-particle":"","parse-names":false,"suffix":""},{"dropping-particle":"","family":"Voigt","given":"Boris","non-dropping-particle":"","parse-names":false,"suffix":""},{"dropping-particle":"","family":"Schulze-Lefert","given":"Paul","non-dropping-particle":"","parse-names":false,"suffix":""},{"dropping-particle":"","family":"Baluška","given":"František","non-dropping-particle":"","parse-names":false,"suffix":""},{"dropping-particle":"","family":"Sato","given":"Masa H.","non-dropping-particle":"","parse-names":false,"suffix":""}],"container-title":"Plant and Cell Physiology","id":"ITEM-1","issue":"4","issued":{"date-parts":[["2014"]]},"page":"790-800","title":"Syntaxin of plant proteins SYP123 and SYP132 mediate root hair tip growth in arabidopsis thaliana","type":"article-journal","volume":"55"},"uris":["http://www.mendeley.com/documents/?uuid=5d857d3a-68e6-4631-ad4c-445266ced161"]}],"mendeley":{"formattedCitation":"(Ichikawa et al., 2014)","plainTextFormattedCitation":"(Ichikawa et al., 2014)","previouslyFormattedCitation":"(Ichikawa et al., 2014)"},"properties":{"noteIndex":0},"schema":"https://github.com/citation-style-language/schema/raw/master/csl-citation.json"}</w:instrText>
            </w:r>
            <w:r>
              <w:rPr>
                <w:sz w:val="14"/>
                <w:szCs w:val="16"/>
              </w:rPr>
              <w:fldChar w:fldCharType="separate"/>
            </w:r>
            <w:r w:rsidRPr="00E67500">
              <w:rPr>
                <w:noProof/>
                <w:sz w:val="14"/>
                <w:szCs w:val="16"/>
              </w:rPr>
              <w:t>(Ichikawa et al., 2014)</w:t>
            </w:r>
            <w:r>
              <w:rPr>
                <w:sz w:val="14"/>
                <w:szCs w:val="16"/>
              </w:rPr>
              <w:fldChar w:fldCharType="end"/>
            </w:r>
          </w:p>
        </w:tc>
      </w:tr>
      <w:tr w:rsidR="001B3AFC" w:rsidRPr="002815CC" w14:paraId="301D87AA" w14:textId="77777777" w:rsidTr="00515216">
        <w:trPr>
          <w:trHeight w:val="20"/>
        </w:trPr>
        <w:tc>
          <w:tcPr>
            <w:tcW w:w="1242" w:type="dxa"/>
            <w:vMerge/>
            <w:tcBorders>
              <w:left w:val="nil"/>
              <w:right w:val="nil"/>
            </w:tcBorders>
            <w:shd w:val="clear" w:color="auto" w:fill="auto"/>
          </w:tcPr>
          <w:p w14:paraId="368542B3" w14:textId="77777777" w:rsidR="001B3AFC" w:rsidRPr="002815CC" w:rsidRDefault="001B3AFC" w:rsidP="00515216">
            <w:pPr>
              <w:pStyle w:val="NoSpacing"/>
              <w:jc w:val="both"/>
              <w:rPr>
                <w:sz w:val="14"/>
                <w:szCs w:val="16"/>
              </w:rPr>
            </w:pPr>
          </w:p>
        </w:tc>
        <w:tc>
          <w:tcPr>
            <w:tcW w:w="1560" w:type="dxa"/>
            <w:gridSpan w:val="2"/>
            <w:vMerge/>
            <w:tcBorders>
              <w:top w:val="nil"/>
              <w:left w:val="nil"/>
              <w:bottom w:val="nil"/>
              <w:right w:val="nil"/>
            </w:tcBorders>
            <w:shd w:val="clear" w:color="auto" w:fill="auto"/>
          </w:tcPr>
          <w:p w14:paraId="315C9FAD" w14:textId="77777777" w:rsidR="001B3AFC" w:rsidRPr="002815CC" w:rsidRDefault="001B3AFC" w:rsidP="00515216">
            <w:pPr>
              <w:pStyle w:val="NoSpacing"/>
              <w:jc w:val="both"/>
              <w:rPr>
                <w:sz w:val="14"/>
                <w:szCs w:val="16"/>
              </w:rPr>
            </w:pPr>
          </w:p>
        </w:tc>
        <w:tc>
          <w:tcPr>
            <w:tcW w:w="1167" w:type="dxa"/>
            <w:vMerge/>
            <w:tcBorders>
              <w:top w:val="nil"/>
              <w:left w:val="nil"/>
              <w:bottom w:val="nil"/>
              <w:right w:val="nil"/>
            </w:tcBorders>
            <w:shd w:val="clear" w:color="auto" w:fill="auto"/>
          </w:tcPr>
          <w:p w14:paraId="496687BD" w14:textId="77777777" w:rsidR="001B3AFC" w:rsidRPr="002815CC" w:rsidRDefault="001B3AFC" w:rsidP="00515216">
            <w:pPr>
              <w:pStyle w:val="NoSpacing"/>
              <w:jc w:val="both"/>
              <w:rPr>
                <w:sz w:val="14"/>
                <w:szCs w:val="16"/>
              </w:rPr>
            </w:pPr>
          </w:p>
        </w:tc>
        <w:tc>
          <w:tcPr>
            <w:tcW w:w="1418" w:type="dxa"/>
            <w:gridSpan w:val="2"/>
            <w:tcBorders>
              <w:top w:val="nil"/>
              <w:left w:val="nil"/>
              <w:bottom w:val="nil"/>
              <w:right w:val="nil"/>
            </w:tcBorders>
            <w:shd w:val="clear" w:color="auto" w:fill="auto"/>
          </w:tcPr>
          <w:p w14:paraId="7D7239F8" w14:textId="77777777" w:rsidR="001B3AFC" w:rsidRPr="002815CC" w:rsidRDefault="001B3AFC" w:rsidP="00515216">
            <w:pPr>
              <w:pStyle w:val="NoSpacing"/>
              <w:jc w:val="both"/>
              <w:rPr>
                <w:sz w:val="14"/>
                <w:szCs w:val="16"/>
              </w:rPr>
            </w:pPr>
            <w:r w:rsidRPr="002815CC">
              <w:rPr>
                <w:sz w:val="14"/>
                <w:szCs w:val="16"/>
              </w:rPr>
              <w:t>AtVAMP721/AtVAMP722</w:t>
            </w:r>
          </w:p>
        </w:tc>
        <w:tc>
          <w:tcPr>
            <w:tcW w:w="1276" w:type="dxa"/>
            <w:tcBorders>
              <w:top w:val="nil"/>
              <w:left w:val="nil"/>
              <w:bottom w:val="nil"/>
              <w:right w:val="nil"/>
            </w:tcBorders>
            <w:shd w:val="clear" w:color="auto" w:fill="auto"/>
          </w:tcPr>
          <w:p w14:paraId="2226D6E8" w14:textId="77777777" w:rsidR="001B3AFC" w:rsidRPr="002815CC" w:rsidRDefault="001B3AFC" w:rsidP="00515216">
            <w:pPr>
              <w:pStyle w:val="NoSpacing"/>
              <w:jc w:val="both"/>
              <w:rPr>
                <w:sz w:val="14"/>
                <w:szCs w:val="16"/>
              </w:rPr>
            </w:pPr>
            <w:r w:rsidRPr="002815CC">
              <w:rPr>
                <w:sz w:val="14"/>
                <w:szCs w:val="16"/>
              </w:rPr>
              <w:t>Co-IP</w:t>
            </w:r>
          </w:p>
        </w:tc>
        <w:tc>
          <w:tcPr>
            <w:tcW w:w="2162" w:type="dxa"/>
            <w:tcBorders>
              <w:top w:val="nil"/>
              <w:left w:val="nil"/>
              <w:bottom w:val="nil"/>
              <w:right w:val="nil"/>
            </w:tcBorders>
            <w:shd w:val="clear" w:color="auto" w:fill="auto"/>
          </w:tcPr>
          <w:p w14:paraId="470F46D7" w14:textId="77777777" w:rsidR="001B3AFC" w:rsidRPr="002815CC" w:rsidRDefault="001B3AFC" w:rsidP="00515216">
            <w:pPr>
              <w:pStyle w:val="NoSpacing"/>
              <w:jc w:val="both"/>
              <w:rPr>
                <w:sz w:val="14"/>
                <w:szCs w:val="16"/>
              </w:rPr>
            </w:pPr>
            <w:r>
              <w:rPr>
                <w:sz w:val="14"/>
                <w:szCs w:val="16"/>
              </w:rPr>
              <w:fldChar w:fldCharType="begin" w:fldLock="1"/>
            </w:r>
            <w:r>
              <w:rPr>
                <w:sz w:val="14"/>
                <w:szCs w:val="16"/>
              </w:rPr>
              <w:instrText>ADDIN CSL_CITATION {"citationItems":[{"id":"ITEM-1","itemData":{"DOI":"10.1104/pp.108.121566","ISBN":"0032-0889 (Print)\\r0032-0889 (Linking)","ISSN":"0032-0889","PMID":"18678749","abstract":"Innate immune receptors in plants detect the presence of microbial pathogens and trigger defense responses to terminate or restrict pathogen growth. The molecular mechanisms of receptor-mediated nonself recognition and subsequent intracellular signaling pathways have received much attention in the past. Less is known about the cellular mechanisms that contribute to the execution of immune responses. Recent studies revealed the existence of a secretory machinery that becomes engaged in the execution of extracellular immune responses. At least two vesicle-associated and SNARE protein-mediated exocytosis pathways appear to drive focal and/or nondirectional secretion of antimicrobial cocktails comprising proteins, small molecules, and cell wall building blocks into the apoplastic space. Both pathways have additional functions in plant development and might have been coopted for immune responses. Bacteria and fungi appear to have evolved counterdefense molecules that intercept the secretion machinery by blocking vesicle formation from intracellular membranes. Independently from this, plant plasma membrane ATP-binding cassette-type (ABC) transporters act in parallel defense pathways and serve as efflux pumps for the targeted delivery of antimicrobials and/or agents promoting chemical cross-linking of plant cell wall polymers","author":[{"dropping-particle":"","family":"Kwon","given":"Chian","non-dropping-particle":"","parse-names":false,"suffix":""},{"dropping-particle":"","family":"Bednarek","given":"Pawel","non-dropping-particle":"","parse-names":false,"suffix":""},{"dropping-particle":"","family":"Schulze-Lefert","given":"Paul","non-dropping-particle":"","parse-names":false,"suffix":""}],"container-title":"Plant Physiology","id":"ITEM-1","issue":"4","issued":{"date-parts":[["2008"]]},"page":"1575-1583","title":"Secretory pathways in plant immune response","type":"article-journal","volume":"147"},"uris":["http://www.mendeley.com/documents/?uuid=0e817ab9-6ff4-4e77-a389-9cb119ff5ef6"]}],"mendeley":{"formattedCitation":"(Kwon et al., 2008)","plainTextFormattedCitation":"(Kwon et al., 2008)","previouslyFormattedCitation":"(Kwon et al., 2008)"},"properties":{"noteIndex":0},"schema":"https://github.com/citation-style-language/schema/raw/master/csl-citation.json"}</w:instrText>
            </w:r>
            <w:r>
              <w:rPr>
                <w:sz w:val="14"/>
                <w:szCs w:val="16"/>
              </w:rPr>
              <w:fldChar w:fldCharType="separate"/>
            </w:r>
            <w:r w:rsidRPr="00E67500">
              <w:rPr>
                <w:noProof/>
                <w:sz w:val="14"/>
                <w:szCs w:val="16"/>
              </w:rPr>
              <w:t>(Kwon et al., 2008)</w:t>
            </w:r>
            <w:r>
              <w:rPr>
                <w:sz w:val="14"/>
                <w:szCs w:val="16"/>
              </w:rPr>
              <w:fldChar w:fldCharType="end"/>
            </w:r>
          </w:p>
        </w:tc>
      </w:tr>
      <w:tr w:rsidR="001B3AFC" w:rsidRPr="002815CC" w14:paraId="46B8A76E" w14:textId="77777777" w:rsidTr="00515216">
        <w:trPr>
          <w:trHeight w:val="20"/>
        </w:trPr>
        <w:tc>
          <w:tcPr>
            <w:tcW w:w="1242" w:type="dxa"/>
            <w:vMerge/>
            <w:tcBorders>
              <w:left w:val="nil"/>
              <w:right w:val="nil"/>
            </w:tcBorders>
            <w:shd w:val="clear" w:color="auto" w:fill="auto"/>
          </w:tcPr>
          <w:p w14:paraId="77EA4B43" w14:textId="77777777" w:rsidR="001B3AFC" w:rsidRPr="002815CC" w:rsidRDefault="001B3AFC" w:rsidP="00515216">
            <w:pPr>
              <w:pStyle w:val="NoSpacing"/>
              <w:jc w:val="both"/>
              <w:rPr>
                <w:sz w:val="14"/>
                <w:szCs w:val="16"/>
              </w:rPr>
            </w:pPr>
          </w:p>
        </w:tc>
        <w:tc>
          <w:tcPr>
            <w:tcW w:w="1560" w:type="dxa"/>
            <w:gridSpan w:val="2"/>
            <w:vMerge/>
            <w:tcBorders>
              <w:top w:val="nil"/>
              <w:left w:val="nil"/>
              <w:bottom w:val="nil"/>
              <w:right w:val="nil"/>
            </w:tcBorders>
            <w:shd w:val="clear" w:color="auto" w:fill="auto"/>
          </w:tcPr>
          <w:p w14:paraId="7256469E" w14:textId="77777777" w:rsidR="001B3AFC" w:rsidRPr="002815CC" w:rsidRDefault="001B3AFC" w:rsidP="00515216">
            <w:pPr>
              <w:pStyle w:val="NoSpacing"/>
              <w:jc w:val="both"/>
              <w:rPr>
                <w:sz w:val="14"/>
                <w:szCs w:val="16"/>
              </w:rPr>
            </w:pPr>
          </w:p>
        </w:tc>
        <w:tc>
          <w:tcPr>
            <w:tcW w:w="1167" w:type="dxa"/>
            <w:vMerge w:val="restart"/>
            <w:tcBorders>
              <w:top w:val="nil"/>
              <w:left w:val="nil"/>
              <w:right w:val="nil"/>
            </w:tcBorders>
            <w:shd w:val="clear" w:color="auto" w:fill="auto"/>
          </w:tcPr>
          <w:p w14:paraId="72E01035" w14:textId="77777777" w:rsidR="001B3AFC" w:rsidRPr="002815CC" w:rsidRDefault="001B3AFC" w:rsidP="00515216">
            <w:pPr>
              <w:pStyle w:val="NoSpacing"/>
              <w:jc w:val="both"/>
              <w:rPr>
                <w:sz w:val="14"/>
                <w:szCs w:val="16"/>
              </w:rPr>
            </w:pPr>
            <w:r w:rsidRPr="002815CC">
              <w:rPr>
                <w:sz w:val="14"/>
                <w:szCs w:val="16"/>
              </w:rPr>
              <w:t>HvSYP121</w:t>
            </w:r>
          </w:p>
        </w:tc>
        <w:tc>
          <w:tcPr>
            <w:tcW w:w="1418" w:type="dxa"/>
            <w:gridSpan w:val="2"/>
            <w:vMerge w:val="restart"/>
            <w:tcBorders>
              <w:top w:val="nil"/>
              <w:left w:val="nil"/>
              <w:right w:val="nil"/>
            </w:tcBorders>
            <w:shd w:val="clear" w:color="auto" w:fill="auto"/>
          </w:tcPr>
          <w:p w14:paraId="18DAC85A" w14:textId="77777777" w:rsidR="001B3AFC" w:rsidRPr="002815CC" w:rsidRDefault="001B3AFC" w:rsidP="00515216">
            <w:pPr>
              <w:pStyle w:val="NoSpacing"/>
              <w:jc w:val="both"/>
              <w:rPr>
                <w:sz w:val="14"/>
                <w:szCs w:val="16"/>
              </w:rPr>
            </w:pPr>
            <w:r w:rsidRPr="002815CC">
              <w:rPr>
                <w:sz w:val="14"/>
                <w:szCs w:val="16"/>
              </w:rPr>
              <w:t>HvVAMP721</w:t>
            </w:r>
          </w:p>
        </w:tc>
        <w:tc>
          <w:tcPr>
            <w:tcW w:w="1276" w:type="dxa"/>
            <w:tcBorders>
              <w:top w:val="nil"/>
              <w:left w:val="nil"/>
              <w:bottom w:val="nil"/>
              <w:right w:val="nil"/>
            </w:tcBorders>
            <w:shd w:val="clear" w:color="auto" w:fill="auto"/>
          </w:tcPr>
          <w:p w14:paraId="1C44EB5B" w14:textId="77777777" w:rsidR="001B3AFC" w:rsidRPr="002815CC" w:rsidRDefault="001B3AFC" w:rsidP="00515216">
            <w:pPr>
              <w:pStyle w:val="NoSpacing"/>
              <w:jc w:val="both"/>
              <w:rPr>
                <w:sz w:val="14"/>
                <w:szCs w:val="16"/>
              </w:rPr>
            </w:pPr>
            <w:r w:rsidRPr="002815CC">
              <w:rPr>
                <w:sz w:val="14"/>
                <w:szCs w:val="16"/>
              </w:rPr>
              <w:t>FRET-FLIM</w:t>
            </w:r>
          </w:p>
        </w:tc>
        <w:tc>
          <w:tcPr>
            <w:tcW w:w="2162" w:type="dxa"/>
            <w:tcBorders>
              <w:top w:val="nil"/>
              <w:left w:val="nil"/>
              <w:bottom w:val="nil"/>
              <w:right w:val="nil"/>
            </w:tcBorders>
            <w:shd w:val="clear" w:color="auto" w:fill="auto"/>
          </w:tcPr>
          <w:p w14:paraId="1B05C08D" w14:textId="77777777" w:rsidR="001B3AFC" w:rsidRPr="002815CC" w:rsidRDefault="001B3AFC" w:rsidP="00515216">
            <w:pPr>
              <w:pStyle w:val="NoSpacing"/>
              <w:jc w:val="both"/>
              <w:rPr>
                <w:sz w:val="14"/>
                <w:szCs w:val="16"/>
              </w:rPr>
            </w:pPr>
            <w:r>
              <w:rPr>
                <w:sz w:val="14"/>
                <w:szCs w:val="16"/>
              </w:rPr>
              <w:fldChar w:fldCharType="begin" w:fldLock="1"/>
            </w:r>
            <w:r>
              <w:rPr>
                <w:sz w:val="14"/>
                <w:szCs w:val="16"/>
              </w:rPr>
              <w:instrText>ADDIN CSL_CITATION {"citationItems":[{"id":"ITEM-1","itemData":{"DOI":"10.1104/pp.108.121566","ISBN":"0032-0889 (Print)\\r0032-0889 (Linking)","ISSN":"0032-0889","PMID":"18678749","abstract":"Innate immune receptors in plants detect the presence of microbial pathogens and trigger defense responses to terminate or restrict pathogen growth. The molecular mechanisms of receptor-mediated nonself recognition and subsequent intracellular signaling pathways have received much attention in the past. Less is known about the cellular mechanisms that contribute to the execution of immune responses. Recent studies revealed the existence of a secretory machinery that becomes engaged in the execution of extracellular immune responses. At least two vesicle-associated and SNARE protein-mediated exocytosis pathways appear to drive focal and/or nondirectional secretion of antimicrobial cocktails comprising proteins, small molecules, and cell wall building blocks into the apoplastic space. Both pathways have additional functions in plant development and might have been coopted for immune responses. Bacteria and fungi appear to have evolved counterdefense molecules that intercept the secretion machinery by blocking vesicle formation from intracellular membranes. Independently from this, plant plasma membrane ATP-binding cassette-type (ABC) transporters act in parallel defense pathways and serve as efflux pumps for the targeted delivery of antimicrobials and/or agents promoting chemical cross-linking of plant cell wall polymers","author":[{"dropping-particle":"","family":"Kwon","given":"Chian","non-dropping-particle":"","parse-names":false,"suffix":""},{"dropping-particle":"","family":"Bednarek","given":"Pawel","non-dropping-particle":"","parse-names":false,"suffix":""},{"dropping-particle":"","family":"Schulze-Lefert","given":"Paul","non-dropping-particle":"","parse-names":false,"suffix":""}],"container-title":"Plant Physiology","id":"ITEM-1","issue":"4","issued":{"date-parts":[["2008"]]},"page":"1575-1583","title":"Secretory pathways in plant immune response","type":"article-journal","volume":"147"},"uris":["http://www.mendeley.com/documents/?uuid=0e817ab9-6ff4-4e77-a389-9cb119ff5ef6"]}],"mendeley":{"formattedCitation":"(Kwon et al., 2008)","plainTextFormattedCitation":"(Kwon et al., 2008)","previouslyFormattedCitation":"(Kwon et al., 2008)"},"properties":{"noteIndex":0},"schema":"https://github.com/citation-style-language/schema/raw/master/csl-citation.json"}</w:instrText>
            </w:r>
            <w:r>
              <w:rPr>
                <w:sz w:val="14"/>
                <w:szCs w:val="16"/>
              </w:rPr>
              <w:fldChar w:fldCharType="separate"/>
            </w:r>
            <w:r w:rsidRPr="00E67500">
              <w:rPr>
                <w:noProof/>
                <w:sz w:val="14"/>
                <w:szCs w:val="16"/>
              </w:rPr>
              <w:t>(Kwon et al., 2008)</w:t>
            </w:r>
            <w:r>
              <w:rPr>
                <w:sz w:val="14"/>
                <w:szCs w:val="16"/>
              </w:rPr>
              <w:fldChar w:fldCharType="end"/>
            </w:r>
          </w:p>
        </w:tc>
      </w:tr>
      <w:tr w:rsidR="001B3AFC" w:rsidRPr="002815CC" w14:paraId="6EC67BDD" w14:textId="77777777" w:rsidTr="00515216">
        <w:trPr>
          <w:trHeight w:val="20"/>
        </w:trPr>
        <w:tc>
          <w:tcPr>
            <w:tcW w:w="1242" w:type="dxa"/>
            <w:vMerge/>
            <w:tcBorders>
              <w:left w:val="nil"/>
              <w:right w:val="nil"/>
            </w:tcBorders>
            <w:shd w:val="clear" w:color="auto" w:fill="auto"/>
          </w:tcPr>
          <w:p w14:paraId="34FC085E" w14:textId="77777777" w:rsidR="001B3AFC" w:rsidRPr="002815CC" w:rsidRDefault="001B3AFC" w:rsidP="00515216">
            <w:pPr>
              <w:pStyle w:val="NoSpacing"/>
              <w:jc w:val="both"/>
              <w:rPr>
                <w:sz w:val="14"/>
                <w:szCs w:val="16"/>
              </w:rPr>
            </w:pPr>
          </w:p>
        </w:tc>
        <w:tc>
          <w:tcPr>
            <w:tcW w:w="1560" w:type="dxa"/>
            <w:gridSpan w:val="2"/>
            <w:vMerge/>
            <w:tcBorders>
              <w:top w:val="nil"/>
              <w:left w:val="nil"/>
              <w:bottom w:val="nil"/>
              <w:right w:val="nil"/>
            </w:tcBorders>
            <w:shd w:val="clear" w:color="auto" w:fill="auto"/>
          </w:tcPr>
          <w:p w14:paraId="43D9DD15" w14:textId="77777777" w:rsidR="001B3AFC" w:rsidRPr="002815CC" w:rsidRDefault="001B3AFC" w:rsidP="00515216">
            <w:pPr>
              <w:pStyle w:val="NoSpacing"/>
              <w:jc w:val="both"/>
              <w:rPr>
                <w:sz w:val="14"/>
                <w:szCs w:val="16"/>
              </w:rPr>
            </w:pPr>
          </w:p>
        </w:tc>
        <w:tc>
          <w:tcPr>
            <w:tcW w:w="1167" w:type="dxa"/>
            <w:vMerge/>
            <w:tcBorders>
              <w:left w:val="nil"/>
              <w:bottom w:val="nil"/>
              <w:right w:val="nil"/>
            </w:tcBorders>
            <w:shd w:val="clear" w:color="auto" w:fill="auto"/>
          </w:tcPr>
          <w:p w14:paraId="18034DCA" w14:textId="77777777" w:rsidR="001B3AFC" w:rsidRPr="002815CC" w:rsidRDefault="001B3AFC" w:rsidP="00515216">
            <w:pPr>
              <w:pStyle w:val="NoSpacing"/>
              <w:jc w:val="both"/>
              <w:rPr>
                <w:sz w:val="14"/>
                <w:szCs w:val="16"/>
              </w:rPr>
            </w:pPr>
          </w:p>
        </w:tc>
        <w:tc>
          <w:tcPr>
            <w:tcW w:w="1418" w:type="dxa"/>
            <w:gridSpan w:val="2"/>
            <w:vMerge/>
            <w:tcBorders>
              <w:left w:val="nil"/>
              <w:bottom w:val="nil"/>
              <w:right w:val="nil"/>
            </w:tcBorders>
            <w:shd w:val="clear" w:color="auto" w:fill="auto"/>
          </w:tcPr>
          <w:p w14:paraId="51CC0C15" w14:textId="77777777" w:rsidR="001B3AFC" w:rsidRPr="002815CC" w:rsidRDefault="001B3AFC" w:rsidP="00515216">
            <w:pPr>
              <w:pStyle w:val="NoSpacing"/>
              <w:jc w:val="both"/>
              <w:rPr>
                <w:sz w:val="14"/>
                <w:szCs w:val="16"/>
              </w:rPr>
            </w:pPr>
          </w:p>
        </w:tc>
        <w:tc>
          <w:tcPr>
            <w:tcW w:w="1276" w:type="dxa"/>
            <w:tcBorders>
              <w:top w:val="nil"/>
              <w:left w:val="nil"/>
              <w:bottom w:val="nil"/>
              <w:right w:val="nil"/>
            </w:tcBorders>
            <w:shd w:val="clear" w:color="auto" w:fill="auto"/>
          </w:tcPr>
          <w:p w14:paraId="1BF86955" w14:textId="77777777" w:rsidR="001B3AFC" w:rsidRPr="002815CC" w:rsidRDefault="001B3AFC" w:rsidP="00515216">
            <w:pPr>
              <w:pStyle w:val="NoSpacing"/>
              <w:jc w:val="both"/>
              <w:rPr>
                <w:sz w:val="14"/>
                <w:szCs w:val="16"/>
              </w:rPr>
            </w:pPr>
            <w:r w:rsidRPr="002815CC">
              <w:rPr>
                <w:sz w:val="14"/>
                <w:szCs w:val="16"/>
              </w:rPr>
              <w:t>Split YFP</w:t>
            </w:r>
          </w:p>
        </w:tc>
        <w:tc>
          <w:tcPr>
            <w:tcW w:w="2162" w:type="dxa"/>
            <w:tcBorders>
              <w:top w:val="nil"/>
              <w:left w:val="nil"/>
              <w:bottom w:val="nil"/>
              <w:right w:val="nil"/>
            </w:tcBorders>
            <w:shd w:val="clear" w:color="auto" w:fill="auto"/>
          </w:tcPr>
          <w:p w14:paraId="23EDA458" w14:textId="77777777" w:rsidR="001B3AFC" w:rsidRPr="002815CC" w:rsidRDefault="001B3AFC" w:rsidP="00515216">
            <w:pPr>
              <w:pStyle w:val="NoSpacing"/>
              <w:jc w:val="both"/>
              <w:rPr>
                <w:sz w:val="14"/>
                <w:szCs w:val="16"/>
              </w:rPr>
            </w:pPr>
            <w:r>
              <w:rPr>
                <w:sz w:val="14"/>
                <w:szCs w:val="16"/>
              </w:rPr>
              <w:fldChar w:fldCharType="begin" w:fldLock="1"/>
            </w:r>
            <w:r>
              <w:rPr>
                <w:sz w:val="14"/>
                <w:szCs w:val="16"/>
              </w:rPr>
              <w:instrText>ADDIN CSL_CITATION {"citationItems":[{"id":"ITEM-1","itemData":{"DOI":"10.1104/pp.109.151142","ISBN":"1532-2548 (Electronic)\\n0032-0889 (Linking)","ISSN":"0032-0889","PMID":"20071602","abstract":"Various fluorophore-based microscopic methods, comprising Förster resonance energy transfer (FRET) and bimolecular fluorescence complementation (BiFC), are suitable to study pairwise interactions of proteins in living cells. The analysis of interactions between more than two protein partners using these methods, however, remains difficult. In this study, we report the successful application of combined BiFC-FRET-fluorescence lifetime imaging microscopy and BiFC-FRET-acceptor photobleaching measurements to visualize the formation of ternary soluble N-ethylmaleimide-sensitive factor attachment receptor complexes in leaf epidermal cells. This method expands the repertoire of techniques to study protein-protein interactions in living plant cells by a procedure capable of visualizing simultaneously interactions between three fluorophore-tagged polypeptide partners.","author":[{"dropping-particle":"","family":"Kwaaitaal","given":"Mark","non-dropping-particle":"","parse-names":false,"suffix":""},{"dropping-particle":"","family":"Keinath","given":"Nana F","non-dropping-particle":"","parse-names":false,"suffix":""},{"dropping-particle":"","family":"Pajonk","given":"Simone","non-dropping-particle":"","parse-names":false,"suffix":""},{"dropping-particle":"","family":"Biskup","given":"Christoph","non-dropping-particle":"","parse-names":false,"suffix":""},{"dropping-particle":"","family":"Panstruga","given":"Ralph","non-dropping-particle":"","parse-names":false,"suffix":""}],"container-title":"Plant Physiology","id":"ITEM-1","issue":"3","issued":{"date-parts":[["2010"]]},"page":"1135-1147","title":"Combined bimolecular fluorescence complementation and Forster resonance energy transfer reveals ternary SNARE complex formation in living plant cells.","type":"article-journal","volume":"152"},"uris":["http://www.mendeley.com/documents/?uuid=3fba3524-1348-4dc4-8707-4744d9f1e5c1"]}],"mendeley":{"formattedCitation":"(Kwaaitaal et al., 2010)","plainTextFormattedCitation":"(Kwaaitaal et al., 2010)","previouslyFormattedCitation":"(Kwaaitaal et al., 2010)"},"properties":{"noteIndex":0},"schema":"https://github.com/citation-style-language/schema/raw/master/csl-citation.json"}</w:instrText>
            </w:r>
            <w:r>
              <w:rPr>
                <w:sz w:val="14"/>
                <w:szCs w:val="16"/>
              </w:rPr>
              <w:fldChar w:fldCharType="separate"/>
            </w:r>
            <w:r w:rsidRPr="00E67500">
              <w:rPr>
                <w:noProof/>
                <w:sz w:val="14"/>
                <w:szCs w:val="16"/>
              </w:rPr>
              <w:t>(Kwaaitaal et al., 2010)</w:t>
            </w:r>
            <w:r>
              <w:rPr>
                <w:sz w:val="14"/>
                <w:szCs w:val="16"/>
              </w:rPr>
              <w:fldChar w:fldCharType="end"/>
            </w:r>
          </w:p>
        </w:tc>
      </w:tr>
      <w:tr w:rsidR="001B3AFC" w:rsidRPr="002815CC" w14:paraId="3F174534" w14:textId="77777777" w:rsidTr="00515216">
        <w:trPr>
          <w:trHeight w:val="20"/>
        </w:trPr>
        <w:tc>
          <w:tcPr>
            <w:tcW w:w="1242" w:type="dxa"/>
            <w:vMerge/>
            <w:tcBorders>
              <w:left w:val="nil"/>
              <w:right w:val="nil"/>
            </w:tcBorders>
            <w:shd w:val="clear" w:color="auto" w:fill="auto"/>
          </w:tcPr>
          <w:p w14:paraId="4F8ABA74" w14:textId="77777777" w:rsidR="001B3AFC" w:rsidRPr="002815CC" w:rsidRDefault="001B3AFC" w:rsidP="00515216">
            <w:pPr>
              <w:pStyle w:val="NoSpacing"/>
              <w:jc w:val="both"/>
              <w:rPr>
                <w:sz w:val="14"/>
                <w:szCs w:val="16"/>
              </w:rPr>
            </w:pPr>
          </w:p>
        </w:tc>
        <w:tc>
          <w:tcPr>
            <w:tcW w:w="1560" w:type="dxa"/>
            <w:gridSpan w:val="2"/>
            <w:vMerge/>
            <w:tcBorders>
              <w:top w:val="nil"/>
              <w:left w:val="nil"/>
              <w:bottom w:val="nil"/>
              <w:right w:val="nil"/>
            </w:tcBorders>
            <w:shd w:val="clear" w:color="auto" w:fill="auto"/>
          </w:tcPr>
          <w:p w14:paraId="181FE702" w14:textId="77777777" w:rsidR="001B3AFC" w:rsidRPr="002815CC" w:rsidRDefault="001B3AFC" w:rsidP="00515216">
            <w:pPr>
              <w:pStyle w:val="NoSpacing"/>
              <w:jc w:val="both"/>
              <w:rPr>
                <w:sz w:val="14"/>
                <w:szCs w:val="16"/>
              </w:rPr>
            </w:pPr>
          </w:p>
        </w:tc>
        <w:tc>
          <w:tcPr>
            <w:tcW w:w="1167" w:type="dxa"/>
            <w:tcBorders>
              <w:top w:val="nil"/>
              <w:left w:val="nil"/>
              <w:bottom w:val="nil"/>
              <w:right w:val="nil"/>
            </w:tcBorders>
            <w:shd w:val="clear" w:color="auto" w:fill="auto"/>
          </w:tcPr>
          <w:p w14:paraId="1AEDFCAA" w14:textId="77777777" w:rsidR="001B3AFC" w:rsidRPr="002815CC" w:rsidRDefault="001B3AFC" w:rsidP="00515216">
            <w:pPr>
              <w:pStyle w:val="NoSpacing"/>
              <w:jc w:val="both"/>
              <w:rPr>
                <w:sz w:val="14"/>
                <w:szCs w:val="16"/>
              </w:rPr>
            </w:pPr>
            <w:r w:rsidRPr="002815CC">
              <w:rPr>
                <w:sz w:val="14"/>
                <w:szCs w:val="16"/>
              </w:rPr>
              <w:t>AtSYP122</w:t>
            </w:r>
          </w:p>
        </w:tc>
        <w:tc>
          <w:tcPr>
            <w:tcW w:w="1418" w:type="dxa"/>
            <w:gridSpan w:val="2"/>
            <w:tcBorders>
              <w:top w:val="nil"/>
              <w:left w:val="nil"/>
              <w:bottom w:val="nil"/>
              <w:right w:val="nil"/>
            </w:tcBorders>
            <w:shd w:val="clear" w:color="auto" w:fill="auto"/>
          </w:tcPr>
          <w:p w14:paraId="3702BD6E" w14:textId="77777777" w:rsidR="001B3AFC" w:rsidRPr="002815CC" w:rsidRDefault="001B3AFC" w:rsidP="00515216">
            <w:pPr>
              <w:pStyle w:val="NoSpacing"/>
              <w:jc w:val="both"/>
              <w:rPr>
                <w:sz w:val="14"/>
                <w:szCs w:val="16"/>
              </w:rPr>
            </w:pPr>
            <w:r w:rsidRPr="002815CC">
              <w:rPr>
                <w:sz w:val="14"/>
                <w:szCs w:val="16"/>
              </w:rPr>
              <w:t>AtVAMP722</w:t>
            </w:r>
          </w:p>
        </w:tc>
        <w:tc>
          <w:tcPr>
            <w:tcW w:w="1276" w:type="dxa"/>
            <w:tcBorders>
              <w:top w:val="nil"/>
              <w:left w:val="nil"/>
              <w:bottom w:val="nil"/>
              <w:right w:val="nil"/>
            </w:tcBorders>
            <w:shd w:val="clear" w:color="auto" w:fill="auto"/>
          </w:tcPr>
          <w:p w14:paraId="7F29FD39" w14:textId="77777777" w:rsidR="001B3AFC" w:rsidRPr="002815CC" w:rsidRDefault="001B3AFC" w:rsidP="00515216">
            <w:pPr>
              <w:pStyle w:val="NoSpacing"/>
              <w:jc w:val="both"/>
              <w:rPr>
                <w:sz w:val="14"/>
                <w:szCs w:val="16"/>
              </w:rPr>
            </w:pPr>
            <w:r w:rsidRPr="002815CC">
              <w:rPr>
                <w:sz w:val="14"/>
                <w:szCs w:val="16"/>
              </w:rPr>
              <w:t>Pull-down</w:t>
            </w:r>
          </w:p>
        </w:tc>
        <w:tc>
          <w:tcPr>
            <w:tcW w:w="2162" w:type="dxa"/>
            <w:tcBorders>
              <w:top w:val="nil"/>
              <w:left w:val="nil"/>
              <w:bottom w:val="nil"/>
              <w:right w:val="nil"/>
            </w:tcBorders>
            <w:shd w:val="clear" w:color="auto" w:fill="auto"/>
          </w:tcPr>
          <w:p w14:paraId="08E472DD" w14:textId="77777777" w:rsidR="001B3AFC" w:rsidRPr="002815CC" w:rsidRDefault="001B3AFC" w:rsidP="00515216">
            <w:pPr>
              <w:pStyle w:val="NoSpacing"/>
              <w:jc w:val="both"/>
              <w:rPr>
                <w:sz w:val="14"/>
                <w:szCs w:val="16"/>
                <w:lang w:val="nl-NL"/>
              </w:rPr>
            </w:pPr>
            <w:r>
              <w:rPr>
                <w:sz w:val="14"/>
                <w:szCs w:val="16"/>
                <w:lang w:val="nl-NL"/>
              </w:rPr>
              <w:fldChar w:fldCharType="begin" w:fldLock="1"/>
            </w:r>
            <w:r>
              <w:rPr>
                <w:sz w:val="14"/>
                <w:szCs w:val="16"/>
                <w:lang w:val="nl-NL"/>
              </w:rPr>
              <w:instrText>ADDIN CSL_CITATION {"citationItems":[{"id":"ITEM-1","itemData":{"DOI":"10.1074/jbc.M805236200","ISBN":"0021-9258","ISSN":"00219258","PMID":"18678865","abstract":"In eukaryotes, proteins of the soluble N-ethylmaleimide-sensitive factor attachment protein receptor (SNARE) family are believed to have a general role for the fusion of intracellular transport vesicles with acceptor membranes. Arabidopsis thaliana PEN1 syntaxin resides in the plasma membrane and was previously shown to act together with its partner SNAREs, the adaptor protein SNAP33, and endomembrane-anchored VAMP721/722 in the execution of secretory immune responses against powdery mildew fungi. We conducted a structure-function analysis of PEN1 and show that N-terminal phospho-mimicking and non-phosphorylatable variants neither affected binary nor ternary SNARE complex formation with cognate partners in vitro. However, expression of these syntaxin variants at native protein levels in a pen1 mutant background suggests that phosphorylation is required for full resistance activity in planta. All tested site-directed substitutions of SNARE domain or \"linker region\" residues reduced PEN1 defense activity. Two of the variants failed to form ternary complexes with the partner SNAREs in vitro, possibly explaining their diminished in planta activity. However, impaired pathogen defense in plants expressing a linker region variant is likely because of PEN1 destabilization. Although Arabidopsis PEN1 and SYP122 syntaxins share overlapping functions in plant growth and development, PEN1 activity in disease resistance is apparently the result of a complete functional specialization. Our findings are consistent with the hypothesis that PEN1 acts in plant defense through the formation of ternary SNARE complexes and point to the existence of unknown regulatory factors. Our data indirectly support structural inferences that the four-helical coiled coil bundle in ternary SNARE complexes is formed in a sequential order from the N- to C-terminal direction.","author":[{"dropping-particle":"","family":"Pajonk","given":"Simone","non-dropping-particle":"","parse-names":false,"suffix":""},{"dropping-particle":"","family":"Kwon","given":"Chian","non-dropping-particle":"","parse-names":false,"suffix":""},{"dropping-particle":"","family":"Clemens","given":"Natascha","non-dropping-particle":"","parse-names":false,"suffix":""},{"dropping-particle":"","family":"Panstruga","given":"Ralph","non-dropping-particle":"","parse-names":false,"suffix":""},{"dropping-particle":"","family":"Schulze-Lefert","given":"Paul","non-dropping-particle":"","parse-names":false,"suffix":""}],"container-title":"Journal of Biological Chemistry","id":"ITEM-1","issue":"40","issued":{"date-parts":[["2008"]]},"page":"26974-26984","title":"Activity determinants and functional specialization of Arabidopsis PEN1 syntaxin in innate immunity","type":"article-journal","volume":"283"},"uris":["http://www.mendeley.com/documents/?uuid=f036eb90-b4c1-446f-84a3-d61023a6d82c"]}],"mendeley":{"formattedCitation":"(Pajonk et al., 2008)","plainTextFormattedCitation":"(Pajonk et al., 2008)","previouslyFormattedCitation":"(Pajonk et al., 2008)"},"properties":{"noteIndex":0},"schema":"https://github.com/citation-style-language/schema/raw/master/csl-citation.json"}</w:instrText>
            </w:r>
            <w:r>
              <w:rPr>
                <w:sz w:val="14"/>
                <w:szCs w:val="16"/>
                <w:lang w:val="nl-NL"/>
              </w:rPr>
              <w:fldChar w:fldCharType="separate"/>
            </w:r>
            <w:r w:rsidRPr="00E67500">
              <w:rPr>
                <w:noProof/>
                <w:sz w:val="14"/>
                <w:szCs w:val="16"/>
                <w:lang w:val="nl-NL"/>
              </w:rPr>
              <w:t>(Pajonk et al., 2008)</w:t>
            </w:r>
            <w:r>
              <w:rPr>
                <w:sz w:val="14"/>
                <w:szCs w:val="16"/>
                <w:lang w:val="nl-NL"/>
              </w:rPr>
              <w:fldChar w:fldCharType="end"/>
            </w:r>
          </w:p>
        </w:tc>
      </w:tr>
      <w:tr w:rsidR="001B3AFC" w:rsidRPr="002815CC" w14:paraId="47213515" w14:textId="77777777" w:rsidTr="00515216">
        <w:trPr>
          <w:trHeight w:val="20"/>
        </w:trPr>
        <w:tc>
          <w:tcPr>
            <w:tcW w:w="1242" w:type="dxa"/>
            <w:vMerge/>
            <w:tcBorders>
              <w:left w:val="nil"/>
              <w:right w:val="nil"/>
            </w:tcBorders>
            <w:shd w:val="clear" w:color="auto" w:fill="auto"/>
          </w:tcPr>
          <w:p w14:paraId="7AC6A937" w14:textId="77777777" w:rsidR="001B3AFC" w:rsidRPr="002815CC" w:rsidRDefault="001B3AFC" w:rsidP="00515216">
            <w:pPr>
              <w:pStyle w:val="NoSpacing"/>
              <w:jc w:val="both"/>
              <w:rPr>
                <w:sz w:val="14"/>
                <w:szCs w:val="16"/>
                <w:lang w:val="nl-NL"/>
              </w:rPr>
            </w:pPr>
          </w:p>
        </w:tc>
        <w:tc>
          <w:tcPr>
            <w:tcW w:w="1560" w:type="dxa"/>
            <w:gridSpan w:val="2"/>
            <w:vMerge w:val="restart"/>
            <w:tcBorders>
              <w:top w:val="single" w:sz="4" w:space="0" w:color="auto"/>
              <w:left w:val="nil"/>
              <w:right w:val="nil"/>
            </w:tcBorders>
            <w:shd w:val="clear" w:color="auto" w:fill="auto"/>
          </w:tcPr>
          <w:p w14:paraId="32568E34" w14:textId="77777777" w:rsidR="001B3AFC" w:rsidRPr="002815CC" w:rsidRDefault="001B3AFC" w:rsidP="00515216">
            <w:pPr>
              <w:pStyle w:val="NoSpacing"/>
              <w:jc w:val="both"/>
              <w:rPr>
                <w:sz w:val="14"/>
                <w:szCs w:val="16"/>
                <w:lang w:val="nl-NL"/>
              </w:rPr>
            </w:pPr>
            <w:r w:rsidRPr="002815CC">
              <w:rPr>
                <w:sz w:val="14"/>
                <w:szCs w:val="16"/>
                <w:lang w:val="nl-NL"/>
              </w:rPr>
              <w:t>VAMP72IV</w:t>
            </w:r>
          </w:p>
        </w:tc>
        <w:tc>
          <w:tcPr>
            <w:tcW w:w="1167" w:type="dxa"/>
            <w:vMerge w:val="restart"/>
            <w:tcBorders>
              <w:top w:val="single" w:sz="4" w:space="0" w:color="auto"/>
              <w:left w:val="nil"/>
              <w:right w:val="nil"/>
            </w:tcBorders>
            <w:shd w:val="clear" w:color="auto" w:fill="auto"/>
          </w:tcPr>
          <w:p w14:paraId="3D9A3808" w14:textId="77777777" w:rsidR="001B3AFC" w:rsidRPr="002815CC" w:rsidRDefault="001B3AFC" w:rsidP="00515216">
            <w:pPr>
              <w:pStyle w:val="NoSpacing"/>
              <w:jc w:val="both"/>
              <w:rPr>
                <w:sz w:val="14"/>
                <w:szCs w:val="16"/>
                <w:lang w:val="nl-NL"/>
              </w:rPr>
            </w:pPr>
            <w:r w:rsidRPr="002815CC">
              <w:rPr>
                <w:sz w:val="14"/>
                <w:szCs w:val="16"/>
                <w:lang w:val="nl-NL"/>
              </w:rPr>
              <w:t>AtSYP121</w:t>
            </w:r>
          </w:p>
        </w:tc>
        <w:tc>
          <w:tcPr>
            <w:tcW w:w="1418" w:type="dxa"/>
            <w:gridSpan w:val="2"/>
            <w:vMerge w:val="restart"/>
            <w:tcBorders>
              <w:top w:val="single" w:sz="4" w:space="0" w:color="auto"/>
              <w:left w:val="nil"/>
              <w:right w:val="nil"/>
            </w:tcBorders>
            <w:shd w:val="clear" w:color="auto" w:fill="auto"/>
          </w:tcPr>
          <w:p w14:paraId="60646E42" w14:textId="77777777" w:rsidR="001B3AFC" w:rsidRPr="002815CC" w:rsidRDefault="001B3AFC" w:rsidP="00515216">
            <w:pPr>
              <w:pStyle w:val="NoSpacing"/>
              <w:jc w:val="both"/>
              <w:rPr>
                <w:sz w:val="14"/>
                <w:szCs w:val="16"/>
                <w:lang w:val="nl-NL"/>
              </w:rPr>
            </w:pPr>
            <w:r w:rsidRPr="002815CC">
              <w:rPr>
                <w:sz w:val="14"/>
                <w:szCs w:val="16"/>
                <w:lang w:val="nl-NL"/>
              </w:rPr>
              <w:t>AtVAMP724</w:t>
            </w:r>
          </w:p>
        </w:tc>
        <w:tc>
          <w:tcPr>
            <w:tcW w:w="1276" w:type="dxa"/>
            <w:tcBorders>
              <w:top w:val="single" w:sz="4" w:space="0" w:color="auto"/>
              <w:left w:val="nil"/>
              <w:bottom w:val="nil"/>
              <w:right w:val="nil"/>
            </w:tcBorders>
            <w:shd w:val="clear" w:color="auto" w:fill="auto"/>
          </w:tcPr>
          <w:p w14:paraId="07E6D4A3" w14:textId="77777777" w:rsidR="001B3AFC" w:rsidRPr="002815CC" w:rsidRDefault="001B3AFC" w:rsidP="00515216">
            <w:pPr>
              <w:pStyle w:val="NoSpacing"/>
              <w:jc w:val="both"/>
              <w:rPr>
                <w:sz w:val="14"/>
                <w:szCs w:val="16"/>
                <w:lang w:val="nl-NL"/>
              </w:rPr>
            </w:pPr>
            <w:r w:rsidRPr="002815CC">
              <w:rPr>
                <w:sz w:val="14"/>
                <w:szCs w:val="16"/>
                <w:lang w:val="nl-NL"/>
              </w:rPr>
              <w:t>Pull-down</w:t>
            </w:r>
          </w:p>
        </w:tc>
        <w:tc>
          <w:tcPr>
            <w:tcW w:w="2162" w:type="dxa"/>
            <w:tcBorders>
              <w:top w:val="single" w:sz="4" w:space="0" w:color="auto"/>
              <w:left w:val="nil"/>
              <w:bottom w:val="nil"/>
              <w:right w:val="nil"/>
            </w:tcBorders>
            <w:shd w:val="clear" w:color="auto" w:fill="auto"/>
          </w:tcPr>
          <w:p w14:paraId="3D7831F4" w14:textId="77777777" w:rsidR="001B3AFC" w:rsidRPr="002815CC" w:rsidRDefault="001B3AFC" w:rsidP="00515216">
            <w:pPr>
              <w:pStyle w:val="NoSpacing"/>
              <w:jc w:val="both"/>
              <w:rPr>
                <w:sz w:val="14"/>
                <w:szCs w:val="16"/>
                <w:lang w:val="nl-NL"/>
              </w:rPr>
            </w:pPr>
            <w:r>
              <w:rPr>
                <w:sz w:val="14"/>
                <w:szCs w:val="16"/>
              </w:rPr>
              <w:fldChar w:fldCharType="begin" w:fldLock="1"/>
            </w:r>
            <w:r>
              <w:rPr>
                <w:sz w:val="14"/>
                <w:szCs w:val="16"/>
              </w:rPr>
              <w:instrText>ADDIN CSL_CITATION {"citationItems":[{"id":"ITEM-1","itemData":{"DOI":"10.1104/pp.108.121566","ISBN":"0032-0889 (Print)\\r0032-0889 (Linking)","ISSN":"0032-0889","PMID":"18678749","abstract":"Innate immune receptors in plants detect the presence of microbial pathogens and trigger defense responses to terminate or restrict pathogen growth. The molecular mechanisms of receptor-mediated nonself recognition and subsequent intracellular signaling pathways have received much attention in the past. Less is known about the cellular mechanisms that contribute to the execution of immune responses. Recent studies revealed the existence of a secretory machinery that becomes engaged in the execution of extracellular immune responses. At least two vesicle-associated and SNARE protein-mediated exocytosis pathways appear to drive focal and/or nondirectional secretion of antimicrobial cocktails comprising proteins, small molecules, and cell wall building blocks into the apoplastic space. Both pathways have additional functions in plant development and might have been coopted for immune responses. Bacteria and fungi appear to have evolved counterdefense molecules that intercept the secretion machinery by blocking vesicle formation from intracellular membranes. Independently from this, plant plasma membrane ATP-binding cassette-type (ABC) transporters act in parallel defense pathways and serve as efflux pumps for the targeted delivery of antimicrobials and/or agents promoting chemical cross-linking of plant cell wall polymers","author":[{"dropping-particle":"","family":"Kwon","given":"Chian","non-dropping-particle":"","parse-names":false,"suffix":""},{"dropping-particle":"","family":"Bednarek","given":"Pawel","non-dropping-particle":"","parse-names":false,"suffix":""},{"dropping-particle":"","family":"Schulze-Lefert","given":"Paul","non-dropping-particle":"","parse-names":false,"suffix":""}],"container-title":"Plant Physiology","id":"ITEM-1","issue":"4","issued":{"date-parts":[["2008"]]},"page":"1575-1583","title":"Secretory pathways in plant immune response","type":"article-journal","volume":"147"},"uris":["http://www.mendeley.com/documents/?uuid=0e817ab9-6ff4-4e77-a389-9cb119ff5ef6"]}],"mendeley":{"formattedCitation":"(Kwon et al., 2008)","plainTextFormattedCitation":"(Kwon et al., 2008)","previouslyFormattedCitation":"(Kwon et al., 2008)"},"properties":{"noteIndex":0},"schema":"https://github.com/citation-style-language/schema/raw/master/csl-citation.json"}</w:instrText>
            </w:r>
            <w:r>
              <w:rPr>
                <w:sz w:val="14"/>
                <w:szCs w:val="16"/>
              </w:rPr>
              <w:fldChar w:fldCharType="separate"/>
            </w:r>
            <w:r w:rsidRPr="00E67500">
              <w:rPr>
                <w:noProof/>
                <w:sz w:val="14"/>
                <w:szCs w:val="16"/>
              </w:rPr>
              <w:t>(Kwon et al., 2008)</w:t>
            </w:r>
            <w:r>
              <w:rPr>
                <w:sz w:val="14"/>
                <w:szCs w:val="16"/>
              </w:rPr>
              <w:fldChar w:fldCharType="end"/>
            </w:r>
          </w:p>
        </w:tc>
      </w:tr>
      <w:tr w:rsidR="001B3AFC" w:rsidRPr="002815CC" w14:paraId="7E58D1C5" w14:textId="77777777" w:rsidTr="00515216">
        <w:trPr>
          <w:trHeight w:val="20"/>
        </w:trPr>
        <w:tc>
          <w:tcPr>
            <w:tcW w:w="1242" w:type="dxa"/>
            <w:vMerge/>
            <w:tcBorders>
              <w:left w:val="nil"/>
              <w:right w:val="nil"/>
            </w:tcBorders>
            <w:shd w:val="clear" w:color="auto" w:fill="auto"/>
          </w:tcPr>
          <w:p w14:paraId="5FFE3F7E" w14:textId="77777777" w:rsidR="001B3AFC" w:rsidRPr="002815CC" w:rsidRDefault="001B3AFC" w:rsidP="00515216">
            <w:pPr>
              <w:pStyle w:val="NoSpacing"/>
              <w:jc w:val="both"/>
              <w:rPr>
                <w:sz w:val="14"/>
                <w:szCs w:val="16"/>
                <w:lang w:val="nl-NL"/>
              </w:rPr>
            </w:pPr>
          </w:p>
        </w:tc>
        <w:tc>
          <w:tcPr>
            <w:tcW w:w="1560" w:type="dxa"/>
            <w:gridSpan w:val="2"/>
            <w:vMerge/>
            <w:tcBorders>
              <w:top w:val="single" w:sz="4" w:space="0" w:color="auto"/>
              <w:left w:val="nil"/>
              <w:right w:val="nil"/>
            </w:tcBorders>
            <w:shd w:val="clear" w:color="auto" w:fill="auto"/>
          </w:tcPr>
          <w:p w14:paraId="37D6AEF3" w14:textId="77777777" w:rsidR="001B3AFC" w:rsidRPr="002815CC" w:rsidRDefault="001B3AFC" w:rsidP="00515216">
            <w:pPr>
              <w:pStyle w:val="NoSpacing"/>
              <w:jc w:val="both"/>
              <w:rPr>
                <w:sz w:val="14"/>
                <w:szCs w:val="16"/>
                <w:lang w:val="nl-NL"/>
              </w:rPr>
            </w:pPr>
          </w:p>
        </w:tc>
        <w:tc>
          <w:tcPr>
            <w:tcW w:w="1167" w:type="dxa"/>
            <w:vMerge/>
            <w:tcBorders>
              <w:left w:val="nil"/>
              <w:bottom w:val="nil"/>
              <w:right w:val="nil"/>
            </w:tcBorders>
            <w:shd w:val="clear" w:color="auto" w:fill="auto"/>
          </w:tcPr>
          <w:p w14:paraId="42026284" w14:textId="77777777" w:rsidR="001B3AFC" w:rsidRPr="002815CC" w:rsidRDefault="001B3AFC" w:rsidP="00515216">
            <w:pPr>
              <w:pStyle w:val="NoSpacing"/>
              <w:jc w:val="both"/>
              <w:rPr>
                <w:sz w:val="14"/>
                <w:szCs w:val="16"/>
                <w:lang w:val="nl-NL"/>
              </w:rPr>
            </w:pPr>
          </w:p>
        </w:tc>
        <w:tc>
          <w:tcPr>
            <w:tcW w:w="1418" w:type="dxa"/>
            <w:gridSpan w:val="2"/>
            <w:vMerge/>
            <w:tcBorders>
              <w:left w:val="nil"/>
              <w:bottom w:val="nil"/>
              <w:right w:val="nil"/>
            </w:tcBorders>
            <w:shd w:val="clear" w:color="auto" w:fill="auto"/>
          </w:tcPr>
          <w:p w14:paraId="708A2B4E" w14:textId="77777777" w:rsidR="001B3AFC" w:rsidRPr="002815CC" w:rsidRDefault="001B3AFC" w:rsidP="00515216">
            <w:pPr>
              <w:pStyle w:val="NoSpacing"/>
              <w:jc w:val="both"/>
              <w:rPr>
                <w:sz w:val="14"/>
                <w:szCs w:val="16"/>
                <w:lang w:val="nl-NL"/>
              </w:rPr>
            </w:pPr>
          </w:p>
        </w:tc>
        <w:tc>
          <w:tcPr>
            <w:tcW w:w="1276" w:type="dxa"/>
            <w:tcBorders>
              <w:top w:val="nil"/>
              <w:left w:val="nil"/>
              <w:bottom w:val="nil"/>
              <w:right w:val="nil"/>
            </w:tcBorders>
            <w:shd w:val="clear" w:color="auto" w:fill="auto"/>
          </w:tcPr>
          <w:p w14:paraId="7FAC48DE" w14:textId="77777777" w:rsidR="001B3AFC" w:rsidRPr="002815CC" w:rsidRDefault="001B3AFC" w:rsidP="00515216">
            <w:pPr>
              <w:pStyle w:val="NoSpacing"/>
              <w:jc w:val="both"/>
              <w:rPr>
                <w:sz w:val="14"/>
                <w:szCs w:val="16"/>
                <w:lang w:val="nl-NL"/>
              </w:rPr>
            </w:pPr>
            <w:r w:rsidRPr="002815CC">
              <w:rPr>
                <w:sz w:val="14"/>
                <w:szCs w:val="16"/>
                <w:lang w:val="nl-NL"/>
              </w:rPr>
              <w:t xml:space="preserve">split </w:t>
            </w:r>
            <w:proofErr w:type="spellStart"/>
            <w:r w:rsidRPr="002815CC">
              <w:rPr>
                <w:sz w:val="14"/>
                <w:szCs w:val="16"/>
                <w:lang w:val="nl-NL"/>
              </w:rPr>
              <w:t>luciferase</w:t>
            </w:r>
            <w:proofErr w:type="spellEnd"/>
          </w:p>
        </w:tc>
        <w:tc>
          <w:tcPr>
            <w:tcW w:w="2162" w:type="dxa"/>
            <w:tcBorders>
              <w:top w:val="nil"/>
              <w:left w:val="nil"/>
              <w:bottom w:val="nil"/>
              <w:right w:val="nil"/>
            </w:tcBorders>
            <w:shd w:val="clear" w:color="auto" w:fill="auto"/>
          </w:tcPr>
          <w:p w14:paraId="0F745E78" w14:textId="77777777" w:rsidR="001B3AFC" w:rsidRPr="00A1790B" w:rsidRDefault="001B3AFC" w:rsidP="00515216">
            <w:pPr>
              <w:pStyle w:val="NoSpacing"/>
              <w:jc w:val="both"/>
              <w:rPr>
                <w:sz w:val="14"/>
                <w:szCs w:val="16"/>
                <w:lang w:val="en-US"/>
              </w:rPr>
            </w:pPr>
            <w:r>
              <w:rPr>
                <w:sz w:val="14"/>
                <w:szCs w:val="16"/>
              </w:rPr>
              <w:fldChar w:fldCharType="begin" w:fldLock="1"/>
            </w:r>
            <w:r>
              <w:rPr>
                <w:sz w:val="14"/>
                <w:szCs w:val="16"/>
              </w:rPr>
              <w:instrText>ADDIN CSL_CITATION {"citationItems":[{"id":"ITEM-1","itemData":{"DOI":"10.1093/pcp/pcu048","ISBN":"1471-9053 (Electronic)\\r0032-0781 (Linking)","ISSN":"14719053","PMID":"24642714","abstract":"Root hairs are fast-growing tubular protrusions on root epidermal cells that play important roles in water and nutrient uptake in plants. The tip-focused polarized growth of root hairs is accomplished by the secretion of newly synthesized materials to the tip via the polarized membrane trafficking mechanism. Here, we report the function of two different types of plasma membrane (PM) Qa-SNAREs (soluble N-ethylmaleimide-sensitive factor attachment protein receptors), SYP123 and SYP132, in the growth of root hair in Arabidopsis. We found that SYP123, but not SYP132, localizes in the tip region of root hairs by recycling between the brefeldin A (BFA)-sensitive endosomes and the PM of the expanding tip in an F-actin-dependent manner. The vesicle-associated membrane proteins VAMP721/722/724 also exhibited tip-focused localization in root hairs and formed ternary SNARE complexes with both SYP123 and SYP132. These results demonstrate that SYP123 and SYP132 act in a coordinated fashion to mediate tip-focused membrane trafficking for root hair tip growth.","author":[{"dropping-particle":"","family":"Ichikawa","given":"Mie","non-dropping-particle":"","parse-names":false,"suffix":""},{"dropping-particle":"","family":"Hirano","given":"Tomoko","non-dropping-particle":"","parse-names":false,"suffix":""},{"dropping-particle":"","family":"Enami","given":"Kazuhiko","non-dropping-particle":"","parse-names":false,"suffix":""},{"dropping-particle":"","family":"Fuselier","given":"Taylor","non-dropping-particle":"","parse-names":false,"suffix":""},{"dropping-particle":"","family":"Kato","given":"Naohiro","non-dropping-particle":"","parse-names":false,"suffix":""},{"dropping-particle":"","family":"Kwon","given":"Chian","non-dropping-particle":"","parse-names":false,"suffix":""},{"dropping-particle":"","family":"Voigt","given":"Boris","non-dropping-particle":"","parse-names":false,"suffix":""},{"dropping-particle":"","family":"Schulze-Lefert","given":"Paul","non-dropping-particle":"","parse-names":false,"suffix":""},{"dropping-particle":"","family":"Baluška","given":"František","non-dropping-particle":"","parse-names":false,"suffix":""},{"dropping-particle":"","family":"Sato","given":"Masa H.","non-dropping-particle":"","parse-names":false,"suffix":""}],"container-title":"Plant and Cell Physiology","id":"ITEM-1","issue":"4","issued":{"date-parts":[["2014"]]},"page":"790-800","title":"Syntaxin of plant proteins SYP123 and SYP132 mediate root hair tip growth in arabidopsis thaliana","type":"article-journal","volume":"55"},"uris":["http://www.mendeley.com/documents/?uuid=5d857d3a-68e6-4631-ad4c-445266ced161"]}],"mendeley":{"formattedCitation":"(Ichikawa et al., 2014)","plainTextFormattedCitation":"(Ichikawa et al., 2014)","previouslyFormattedCitation":"(Ichikawa et al., 2014)"},"properties":{"noteIndex":0},"schema":"https://github.com/citation-style-language/schema/raw/master/csl-citation.json"}</w:instrText>
            </w:r>
            <w:r>
              <w:rPr>
                <w:sz w:val="14"/>
                <w:szCs w:val="16"/>
              </w:rPr>
              <w:fldChar w:fldCharType="separate"/>
            </w:r>
            <w:r w:rsidRPr="00E67500">
              <w:rPr>
                <w:noProof/>
                <w:sz w:val="14"/>
                <w:szCs w:val="16"/>
              </w:rPr>
              <w:t>(Ichikawa et al., 2014)</w:t>
            </w:r>
            <w:r>
              <w:rPr>
                <w:sz w:val="14"/>
                <w:szCs w:val="16"/>
              </w:rPr>
              <w:fldChar w:fldCharType="end"/>
            </w:r>
          </w:p>
        </w:tc>
      </w:tr>
      <w:tr w:rsidR="001B3AFC" w:rsidRPr="00D80C9B" w14:paraId="126BC936" w14:textId="77777777" w:rsidTr="00515216">
        <w:trPr>
          <w:trHeight w:val="20"/>
        </w:trPr>
        <w:tc>
          <w:tcPr>
            <w:tcW w:w="1242" w:type="dxa"/>
            <w:vMerge/>
            <w:tcBorders>
              <w:left w:val="nil"/>
              <w:bottom w:val="single" w:sz="4" w:space="0" w:color="auto"/>
              <w:right w:val="nil"/>
            </w:tcBorders>
            <w:shd w:val="clear" w:color="auto" w:fill="auto"/>
          </w:tcPr>
          <w:p w14:paraId="30746AE7" w14:textId="77777777" w:rsidR="001B3AFC" w:rsidRPr="002815CC" w:rsidRDefault="001B3AFC" w:rsidP="00515216">
            <w:pPr>
              <w:pStyle w:val="NoSpacing"/>
              <w:jc w:val="both"/>
              <w:rPr>
                <w:sz w:val="14"/>
                <w:szCs w:val="16"/>
              </w:rPr>
            </w:pPr>
          </w:p>
        </w:tc>
        <w:tc>
          <w:tcPr>
            <w:tcW w:w="1560" w:type="dxa"/>
            <w:gridSpan w:val="2"/>
            <w:tcBorders>
              <w:top w:val="single" w:sz="4" w:space="0" w:color="auto"/>
              <w:left w:val="nil"/>
              <w:bottom w:val="single" w:sz="4" w:space="0" w:color="auto"/>
              <w:right w:val="nil"/>
            </w:tcBorders>
            <w:shd w:val="clear" w:color="auto" w:fill="auto"/>
          </w:tcPr>
          <w:p w14:paraId="7D35EEF7" w14:textId="77777777" w:rsidR="001B3AFC" w:rsidRPr="002815CC" w:rsidRDefault="001B3AFC" w:rsidP="00515216">
            <w:pPr>
              <w:pStyle w:val="NoSpacing"/>
              <w:jc w:val="both"/>
              <w:rPr>
                <w:sz w:val="14"/>
                <w:szCs w:val="16"/>
              </w:rPr>
            </w:pPr>
            <w:r w:rsidRPr="002815CC">
              <w:rPr>
                <w:sz w:val="14"/>
                <w:szCs w:val="16"/>
              </w:rPr>
              <w:t>VAMP72VII</w:t>
            </w:r>
          </w:p>
        </w:tc>
        <w:tc>
          <w:tcPr>
            <w:tcW w:w="1167" w:type="dxa"/>
            <w:tcBorders>
              <w:top w:val="single" w:sz="4" w:space="0" w:color="auto"/>
              <w:left w:val="nil"/>
              <w:bottom w:val="single" w:sz="4" w:space="0" w:color="auto"/>
              <w:right w:val="nil"/>
            </w:tcBorders>
            <w:shd w:val="clear" w:color="auto" w:fill="auto"/>
          </w:tcPr>
          <w:p w14:paraId="191D6BC6" w14:textId="77777777" w:rsidR="001B3AFC" w:rsidRPr="002815CC" w:rsidRDefault="001B3AFC" w:rsidP="00515216">
            <w:pPr>
              <w:pStyle w:val="NoSpacing"/>
              <w:jc w:val="both"/>
              <w:rPr>
                <w:sz w:val="14"/>
                <w:szCs w:val="16"/>
              </w:rPr>
            </w:pPr>
            <w:r w:rsidRPr="002815CC">
              <w:rPr>
                <w:sz w:val="14"/>
                <w:szCs w:val="16"/>
              </w:rPr>
              <w:t>AtSYP121</w:t>
            </w:r>
          </w:p>
        </w:tc>
        <w:tc>
          <w:tcPr>
            <w:tcW w:w="1418" w:type="dxa"/>
            <w:gridSpan w:val="2"/>
            <w:tcBorders>
              <w:top w:val="single" w:sz="4" w:space="0" w:color="auto"/>
              <w:left w:val="nil"/>
              <w:bottom w:val="single" w:sz="4" w:space="0" w:color="auto"/>
              <w:right w:val="nil"/>
            </w:tcBorders>
            <w:shd w:val="clear" w:color="auto" w:fill="auto"/>
          </w:tcPr>
          <w:p w14:paraId="18BC5017" w14:textId="77777777" w:rsidR="001B3AFC" w:rsidRPr="002815CC" w:rsidRDefault="001B3AFC" w:rsidP="00515216">
            <w:pPr>
              <w:pStyle w:val="NoSpacing"/>
              <w:jc w:val="both"/>
              <w:rPr>
                <w:sz w:val="14"/>
                <w:szCs w:val="16"/>
              </w:rPr>
            </w:pPr>
            <w:r w:rsidRPr="002815CC">
              <w:rPr>
                <w:sz w:val="14"/>
                <w:szCs w:val="16"/>
              </w:rPr>
              <w:t>AtVAMP727</w:t>
            </w:r>
          </w:p>
        </w:tc>
        <w:tc>
          <w:tcPr>
            <w:tcW w:w="1276" w:type="dxa"/>
            <w:tcBorders>
              <w:top w:val="single" w:sz="4" w:space="0" w:color="auto"/>
              <w:left w:val="nil"/>
              <w:bottom w:val="single" w:sz="4" w:space="0" w:color="auto"/>
              <w:right w:val="nil"/>
            </w:tcBorders>
            <w:shd w:val="clear" w:color="auto" w:fill="auto"/>
          </w:tcPr>
          <w:p w14:paraId="0B594EF0" w14:textId="77777777" w:rsidR="001B3AFC" w:rsidRPr="002815CC" w:rsidRDefault="001B3AFC" w:rsidP="00515216">
            <w:pPr>
              <w:pStyle w:val="NoSpacing"/>
              <w:jc w:val="both"/>
              <w:rPr>
                <w:sz w:val="14"/>
                <w:szCs w:val="16"/>
              </w:rPr>
            </w:pPr>
            <w:r w:rsidRPr="002815CC">
              <w:rPr>
                <w:sz w:val="14"/>
                <w:szCs w:val="16"/>
              </w:rPr>
              <w:t>pull down</w:t>
            </w:r>
          </w:p>
          <w:p w14:paraId="7C35F2B9" w14:textId="77777777" w:rsidR="001B3AFC" w:rsidRPr="002815CC" w:rsidRDefault="001B3AFC" w:rsidP="00515216">
            <w:pPr>
              <w:pStyle w:val="NoSpacing"/>
              <w:jc w:val="both"/>
              <w:rPr>
                <w:sz w:val="14"/>
                <w:szCs w:val="16"/>
              </w:rPr>
            </w:pPr>
            <w:r w:rsidRPr="002815CC">
              <w:rPr>
                <w:sz w:val="14"/>
                <w:szCs w:val="16"/>
              </w:rPr>
              <w:t>Co-IP</w:t>
            </w:r>
          </w:p>
        </w:tc>
        <w:tc>
          <w:tcPr>
            <w:tcW w:w="2162" w:type="dxa"/>
            <w:tcBorders>
              <w:top w:val="single" w:sz="4" w:space="0" w:color="auto"/>
              <w:left w:val="nil"/>
              <w:bottom w:val="single" w:sz="4" w:space="0" w:color="auto"/>
              <w:right w:val="nil"/>
            </w:tcBorders>
            <w:shd w:val="clear" w:color="auto" w:fill="auto"/>
          </w:tcPr>
          <w:p w14:paraId="3CADA37C" w14:textId="77777777" w:rsidR="001B3AFC" w:rsidRDefault="001B3AFC" w:rsidP="00515216">
            <w:pPr>
              <w:pStyle w:val="NoSpacing"/>
              <w:jc w:val="both"/>
              <w:rPr>
                <w:sz w:val="14"/>
                <w:szCs w:val="16"/>
                <w:lang w:val="nl-NL"/>
              </w:rPr>
            </w:pPr>
            <w:r>
              <w:rPr>
                <w:sz w:val="14"/>
                <w:szCs w:val="16"/>
              </w:rPr>
              <w:fldChar w:fldCharType="begin" w:fldLock="1"/>
            </w:r>
            <w:r>
              <w:rPr>
                <w:sz w:val="14"/>
                <w:szCs w:val="16"/>
                <w:lang w:val="en-US"/>
              </w:rPr>
              <w:instrText>ADDIN CSL_CITATION {"citationItems":[{"id":"ITEM-1","itemData":{"DOI":"10.1104/pp.108.121566","ISBN":"0032-0889 (Print)\\r0032-0889 (Linking)","ISSN":"0032-0889","PMID":"18678749","abstract":"Innate immune receptors in plants detect the presence of microbial pathogens and trigger defense responses to terminate or restrict pathogen growth. The molecular mechanisms of receptor-mediated nonself recognition and subsequent intracellular signaling pathways have received much attention in the past. Less is known about the cellular mechanisms that contribute to the execution of immune responses. Recent studies revealed the existence of a secretory machinery that becomes engaged in the execution of extracellular immune responses. At least two vesicle-associated and SNARE protein-mediated exocytosis pathways appear to drive focal and/or nondirectional secretion of antimicrobial cocktails comprising proteins, small molecules, and cell wall building blocks into the apoplastic space. Both pathways have additional functions in plant development and might have been coopted for immune responses. Bacteria and fungi appear to have evolved counterdefense molecules that intercept the secretion machinery by blocking vesicle formation from intracellular membranes. Independently from this, plant plasma membrane ATP-binding cassette-type (ABC) transporters act in parallel defense pathways and serve as efflux pumps for the targeted delivery of antimicrobials and/or agents promoting chemical cross-linking of plant cell wall polymers","author":[{"dropping-particle":"","family":"Kwon","given":"Chian","non-dropping-particle":"","parse-names":false,"suffix":""},{"dropping-particle":"","family":"Bednarek","given":"Pawel","non-dropping-particle":"","parse-names":false,"suffix":""},{"dropping-particle":"","family":"Schulze-Lefert","given":"Paul","non-dropping-particle":"","parse-names":false,"suffix":""}],"container-title":"Plant Physiology","id":"ITEM-1","issue":"4","issued":{"date-parts":[["2008"]]},"page":"1575-1583","title":"Secretory pathways in plant immune response","type":"article-journal","volume":"147"},"uris":["http://www.mendeley.com/documents/?uuid=0e817ab9-6ff4-4e77-a389-9cb119ff5ef6"]}],"mendeley":{"formattedCitation":"(Kwon et al., 2008)","plainTextFormattedCitation":"(Kwon et al., 2008)","previouslyFormattedCitation":"(Kwon et al., 2008)"},"properties":{"noteIndex":0},"schema":"https://github.com/citation-style-language/schema/raw/master/csl-citation.json"}</w:instrText>
            </w:r>
            <w:r>
              <w:rPr>
                <w:sz w:val="14"/>
                <w:szCs w:val="16"/>
              </w:rPr>
              <w:fldChar w:fldCharType="separate"/>
            </w:r>
            <w:r w:rsidRPr="00E67500">
              <w:rPr>
                <w:noProof/>
                <w:sz w:val="14"/>
                <w:szCs w:val="16"/>
                <w:lang w:val="nl-NL"/>
              </w:rPr>
              <w:t>(Kwon et al., 2008)</w:t>
            </w:r>
            <w:r>
              <w:rPr>
                <w:sz w:val="14"/>
                <w:szCs w:val="16"/>
              </w:rPr>
              <w:fldChar w:fldCharType="end"/>
            </w:r>
            <w:r w:rsidRPr="002815CC">
              <w:rPr>
                <w:sz w:val="14"/>
                <w:szCs w:val="16"/>
                <w:lang w:val="nl-NL"/>
              </w:rPr>
              <w:t xml:space="preserve"> </w:t>
            </w:r>
          </w:p>
          <w:p w14:paraId="6C65A4AF" w14:textId="77777777" w:rsidR="001B3AFC" w:rsidRPr="00D80C9B" w:rsidRDefault="001B3AFC" w:rsidP="00515216">
            <w:pPr>
              <w:pStyle w:val="NoSpacing"/>
              <w:jc w:val="both"/>
              <w:rPr>
                <w:sz w:val="14"/>
                <w:szCs w:val="16"/>
                <w:lang w:val="en-US"/>
              </w:rPr>
            </w:pPr>
            <w:r>
              <w:rPr>
                <w:sz w:val="14"/>
                <w:szCs w:val="16"/>
                <w:lang w:val="nl-NL"/>
              </w:rPr>
              <w:fldChar w:fldCharType="begin" w:fldLock="1"/>
            </w:r>
            <w:r>
              <w:rPr>
                <w:sz w:val="14"/>
                <w:szCs w:val="16"/>
                <w:lang w:val="nl-NL"/>
              </w:rPr>
              <w:instrText>ADDIN CSL_CITATION {"citationItems":[{"id":"ITEM-1","itemData":{"DOI":"10.1038/ncb2270","ISBN":"1476-4679 (Electronic)\\n1465-7392 (Linking)","ISSN":"1465-7392","PMID":"21666683","abstract":"Endosomal trafficking plays an integral role in various eukaryotic cell activities and serves as a basis for higher-order functions in multicellular organisms. An understanding of the importance of endosomal trafficking in plants is rapidly developing, but its molecular mechanism is mostly unknown. Several key regulators of endosomal trafficking, including RAB5, which regulates diverse endocytic events in animal cells, are highly conserved. However, the identification of lineage-specific regulators in eukaryotes indicates that endosomal trafficking is diversified according to distinct body plans and lifestyles. In addition to orthologues of metazoan RAB5, land plants possess a unique RAB5 molecule, which is one of the most prominent features of plant RAB GTPase organization. Plants have also evolved a unique repertoire of SNAREs, the most distinctive of which are diverse VAMP7-related longins, including plant-unique VAMP72 derivatives. Here, we demonstrate that a plant-unique RAB5 protein, ARA6, acts in an endosomal trafficking pathway in Arabidopsis thaliana. ARA6 modulates the assembly of a distinct SNARE complex from conventional RAB5, and has a functional role in the salinity stress response. Our results indicate that plants possess a unique endosomal trafficking network and provide the first indication of a functional link between a specific RAB and a specific SNARE complex in plants.","author":[{"dropping-particle":"","family":"Ebine","given":"Kazuo","non-dropping-particle":"","parse-names":false,"suffix":""},{"dropping-particle":"","family":"Fujimoto","given":"Masaru","non-dropping-particle":"","parse-names":false,"suffix":""},{"dropping-particle":"","family":"Okatani","given":"Yusuke","non-dropping-particle":"","parse-names":false,"suffix":""},{"dropping-particle":"","family":"Nishiyama","given":"Tomoaki","non-dropping-particle":"","parse-names":false,"suffix":""},{"dropping-particle":"","family":"Goh","given":"Tatsuaki","non-dropping-particle":"","parse-names":false,"suffix":""},{"dropping-particle":"","family":"Ito","given":"Emi","non-dropping-particle":"","parse-names":false,"suffix":""},{"dropping-particle":"","family":"Dainobu","given":"Tomoko","non-dropping-particle":"","parse-names":false,"suffix":""},{"dropp</w:instrText>
            </w:r>
            <w:r w:rsidRPr="00A508BB">
              <w:rPr>
                <w:sz w:val="14"/>
                <w:szCs w:val="16"/>
                <w:lang w:val="en-US"/>
              </w:rPr>
              <w:instrText>ing-particle":"","family":"Nishitani","given":"Aiko","non-dropping-particle":"","parse-names":false,"suffix":""},{"dropping-particle":"","family":"Uemura","given":"Tomohiro","non-dropping-particle":"","parse-names":false,"suffix":""},{"dropping-particle":"","family":"Sato","given":"Masa H","non-dropping-particle":"","parse-names":false,"suffix":""},{"dropping-particle":"","family":"Thordal-Christensen","given":"Hans","non-dropping-particle":"","parse-names":false,"suffix":""},{"dropping-particle":"","family":"Tsutsumi","given":"Nobuhiro","non-dropping-particle":"","parse-names":false,"suffix":""},{"dropping-particle":"","family":"Nakano","given":"Akihiko","non-dropping-particle":"","parse-names":false,"suffix":""},{"dropping-particle":"","family":"Ueda","given":"Takashi","non-dropping-particle":"","parse-names":false,"suffix":""}],"container-title":"Nature cell biology","id":"ITEM-1","issue":"7","issued":{"date-parts":[["2011"]]},"page":"853-859","publisher":"Nature Publishing Group","title":"A membrane trafficking pathway regulated by the plant-specific RAB GTPase ARA6.","type":"article-journal","volume":"13"},"uris":["http://www.mendeley.com/documents/?uuid=3a3d0d00-6c09-443e-b17f-ef228c52586b"]}],"mendeley":{"formattedCitation":"(Ebine et al., 2011)","plainTextFormattedCitation":"(Ebine et al., 2011)","previouslyFormattedCitation":"(Ebine et al., 2011)"},"properties":{"noteIndex":0},"schema":"https://github.com/citation-style-language/schema/raw/master/csl-citation.json"}</w:instrText>
            </w:r>
            <w:r>
              <w:rPr>
                <w:sz w:val="14"/>
                <w:szCs w:val="16"/>
                <w:lang w:val="nl-NL"/>
              </w:rPr>
              <w:fldChar w:fldCharType="separate"/>
            </w:r>
            <w:r w:rsidRPr="00E67500">
              <w:rPr>
                <w:noProof/>
                <w:sz w:val="14"/>
                <w:szCs w:val="16"/>
                <w:lang w:val="en-US"/>
              </w:rPr>
              <w:t>(Ebine et al., 2011)</w:t>
            </w:r>
            <w:r>
              <w:rPr>
                <w:sz w:val="14"/>
                <w:szCs w:val="16"/>
                <w:lang w:val="nl-NL"/>
              </w:rPr>
              <w:fldChar w:fldCharType="end"/>
            </w:r>
          </w:p>
        </w:tc>
      </w:tr>
      <w:tr w:rsidR="001B3AFC" w:rsidRPr="002815CC" w14:paraId="64A2AEC1" w14:textId="77777777" w:rsidTr="00515216">
        <w:trPr>
          <w:trHeight w:val="20"/>
        </w:trPr>
        <w:tc>
          <w:tcPr>
            <w:tcW w:w="1242" w:type="dxa"/>
            <w:tcBorders>
              <w:top w:val="single" w:sz="4" w:space="0" w:color="auto"/>
              <w:left w:val="nil"/>
              <w:bottom w:val="nil"/>
              <w:right w:val="nil"/>
            </w:tcBorders>
            <w:shd w:val="clear" w:color="auto" w:fill="auto"/>
          </w:tcPr>
          <w:p w14:paraId="4C12C501" w14:textId="77777777" w:rsidR="001B3AFC" w:rsidRPr="002815CC" w:rsidRDefault="001B3AFC" w:rsidP="00515216">
            <w:pPr>
              <w:pStyle w:val="NoSpacing"/>
              <w:jc w:val="both"/>
              <w:rPr>
                <w:sz w:val="14"/>
                <w:szCs w:val="16"/>
              </w:rPr>
            </w:pPr>
            <w:r w:rsidRPr="002815CC">
              <w:rPr>
                <w:sz w:val="14"/>
                <w:szCs w:val="16"/>
              </w:rPr>
              <w:t>SYP12IV</w:t>
            </w:r>
          </w:p>
        </w:tc>
        <w:tc>
          <w:tcPr>
            <w:tcW w:w="1560" w:type="dxa"/>
            <w:gridSpan w:val="2"/>
            <w:tcBorders>
              <w:top w:val="single" w:sz="4" w:space="0" w:color="auto"/>
              <w:left w:val="nil"/>
              <w:bottom w:val="nil"/>
              <w:right w:val="nil"/>
            </w:tcBorders>
            <w:shd w:val="clear" w:color="auto" w:fill="auto"/>
          </w:tcPr>
          <w:p w14:paraId="071C8D89" w14:textId="77777777" w:rsidR="001B3AFC" w:rsidRPr="002815CC" w:rsidRDefault="001B3AFC" w:rsidP="00515216">
            <w:pPr>
              <w:pStyle w:val="NoSpacing"/>
              <w:jc w:val="both"/>
              <w:rPr>
                <w:sz w:val="14"/>
                <w:szCs w:val="16"/>
              </w:rPr>
            </w:pPr>
            <w:r w:rsidRPr="002815CC">
              <w:rPr>
                <w:sz w:val="14"/>
                <w:szCs w:val="16"/>
              </w:rPr>
              <w:t>VAMP72I</w:t>
            </w:r>
          </w:p>
        </w:tc>
        <w:tc>
          <w:tcPr>
            <w:tcW w:w="1167" w:type="dxa"/>
            <w:tcBorders>
              <w:top w:val="single" w:sz="4" w:space="0" w:color="auto"/>
              <w:left w:val="nil"/>
              <w:bottom w:val="nil"/>
              <w:right w:val="nil"/>
            </w:tcBorders>
            <w:shd w:val="clear" w:color="auto" w:fill="auto"/>
          </w:tcPr>
          <w:p w14:paraId="6D6E6FE6" w14:textId="77777777" w:rsidR="001B3AFC" w:rsidRPr="002815CC" w:rsidRDefault="001B3AFC" w:rsidP="00515216">
            <w:pPr>
              <w:pStyle w:val="NoSpacing"/>
              <w:jc w:val="both"/>
              <w:rPr>
                <w:sz w:val="14"/>
                <w:szCs w:val="16"/>
              </w:rPr>
            </w:pPr>
            <w:r w:rsidRPr="002815CC">
              <w:rPr>
                <w:sz w:val="14"/>
                <w:szCs w:val="16"/>
              </w:rPr>
              <w:t>AtSYP123</w:t>
            </w:r>
          </w:p>
        </w:tc>
        <w:tc>
          <w:tcPr>
            <w:tcW w:w="1418" w:type="dxa"/>
            <w:gridSpan w:val="2"/>
            <w:tcBorders>
              <w:top w:val="single" w:sz="4" w:space="0" w:color="auto"/>
              <w:left w:val="nil"/>
              <w:bottom w:val="nil"/>
              <w:right w:val="nil"/>
            </w:tcBorders>
            <w:shd w:val="clear" w:color="auto" w:fill="auto"/>
          </w:tcPr>
          <w:p w14:paraId="40C7AE0F" w14:textId="77777777" w:rsidR="001B3AFC" w:rsidRPr="002815CC" w:rsidRDefault="001B3AFC" w:rsidP="00515216">
            <w:pPr>
              <w:pStyle w:val="NoSpacing"/>
              <w:jc w:val="both"/>
              <w:rPr>
                <w:sz w:val="14"/>
                <w:szCs w:val="16"/>
              </w:rPr>
            </w:pPr>
            <w:r w:rsidRPr="002815CC">
              <w:rPr>
                <w:sz w:val="14"/>
                <w:szCs w:val="16"/>
              </w:rPr>
              <w:t>AtVAMP721</w:t>
            </w:r>
          </w:p>
        </w:tc>
        <w:tc>
          <w:tcPr>
            <w:tcW w:w="1276" w:type="dxa"/>
            <w:tcBorders>
              <w:top w:val="single" w:sz="4" w:space="0" w:color="auto"/>
              <w:left w:val="nil"/>
              <w:bottom w:val="nil"/>
              <w:right w:val="nil"/>
            </w:tcBorders>
            <w:shd w:val="clear" w:color="auto" w:fill="auto"/>
          </w:tcPr>
          <w:p w14:paraId="476D57AE" w14:textId="77777777" w:rsidR="001B3AFC" w:rsidRPr="002815CC" w:rsidRDefault="001B3AFC" w:rsidP="00515216">
            <w:pPr>
              <w:pStyle w:val="NoSpacing"/>
              <w:jc w:val="both"/>
              <w:rPr>
                <w:sz w:val="14"/>
                <w:szCs w:val="16"/>
              </w:rPr>
            </w:pPr>
            <w:r w:rsidRPr="002815CC">
              <w:rPr>
                <w:sz w:val="14"/>
                <w:szCs w:val="16"/>
              </w:rPr>
              <w:t>Pull-down,</w:t>
            </w:r>
          </w:p>
          <w:p w14:paraId="48C98D12" w14:textId="77777777" w:rsidR="001B3AFC" w:rsidRPr="002815CC" w:rsidRDefault="001B3AFC" w:rsidP="00515216">
            <w:pPr>
              <w:pStyle w:val="NoSpacing"/>
              <w:jc w:val="both"/>
              <w:rPr>
                <w:sz w:val="14"/>
                <w:szCs w:val="16"/>
              </w:rPr>
            </w:pPr>
            <w:r w:rsidRPr="002815CC">
              <w:rPr>
                <w:sz w:val="14"/>
                <w:szCs w:val="16"/>
              </w:rPr>
              <w:t>Split luciferase</w:t>
            </w:r>
          </w:p>
        </w:tc>
        <w:tc>
          <w:tcPr>
            <w:tcW w:w="2162" w:type="dxa"/>
            <w:tcBorders>
              <w:top w:val="single" w:sz="4" w:space="0" w:color="auto"/>
              <w:left w:val="nil"/>
              <w:bottom w:val="nil"/>
              <w:right w:val="nil"/>
            </w:tcBorders>
            <w:shd w:val="clear" w:color="auto" w:fill="auto"/>
          </w:tcPr>
          <w:p w14:paraId="7735C3BA" w14:textId="77777777" w:rsidR="001B3AFC" w:rsidRPr="002815CC" w:rsidRDefault="001B3AFC" w:rsidP="00515216">
            <w:pPr>
              <w:pStyle w:val="NoSpacing"/>
              <w:jc w:val="both"/>
              <w:rPr>
                <w:sz w:val="14"/>
                <w:szCs w:val="16"/>
              </w:rPr>
            </w:pPr>
            <w:r>
              <w:rPr>
                <w:sz w:val="14"/>
                <w:szCs w:val="16"/>
              </w:rPr>
              <w:fldChar w:fldCharType="begin" w:fldLock="1"/>
            </w:r>
            <w:r>
              <w:rPr>
                <w:sz w:val="14"/>
                <w:szCs w:val="16"/>
              </w:rPr>
              <w:instrText>ADDIN CSL_CITATION {"citationItems":[{"id":"ITEM-1","itemData":{"DOI":"10.1093/pcp/pcu048","ISBN":"1471-9053 (Electronic)\\r0032-0781 (Linking)","ISSN":"14719053","PMID":"24642714","abstract":"Root hairs are fast-growing tubular protrusions on root epidermal cells that play important roles in water and nutrient uptake in plants. The tip-focused polarized growth of root hairs is accomplished by the secretion of newly synthesized materials to the tip via the polarized membrane trafficking mechanism. Here, we report the function of two different types of plasma membrane (PM) Qa-SNAREs (soluble N-ethylmaleimide-sensitive factor attachment protein receptors), SYP123 and SYP132, in the growth of root hair in Arabidopsis. We found that SYP123, but not SYP132, localizes in the tip region of root hairs by recycling between the brefeldin A (BFA)-sensitive endosomes and the PM of the expanding tip in an F-actin-dependent manner. The vesicle-associated membrane proteins VAMP721/722/724 also exhibited tip-focused localization in root hairs and formed ternary SNARE complexes with both SYP123 and SYP132. These results demonstrate that SYP123 and SYP132 act in a coordinated fashion to mediate tip-focused membrane trafficking for root hair tip growth.","author":[{"dropping-particle":"","family":"Ichikawa","given":"Mie","non-dropping-particle":"","parse-names":false,"suffix":""},{"dropping-particle":"","family":"Hirano","given":"Tomoko","non-dropping-particle":"","parse-names":false,"suffix":""},{"dropping-particle":"","family":"Enami","given":"Kazuhiko","non-dropping-particle":"","parse-names":false,"suffix":""},{"dropping-particle":"","family":"Fuselier","given":"Taylor","non-dropping-particle":"","parse-names":false,"suffix":""},{"dropping-particle":"","family":"Kato","given":"Naohiro","non-dropping-particle":"","parse-names":false,"suffix":""},{"dropping-particle":"","family":"Kwon","given":"Chian","non-dropping-particle":"","parse-names":false,"suffix":""},{"dropping-particle":"","family":"Voigt","given":"Boris","non-dropping-particle":"","parse-names":false,"suffix":""},{"dropping-particle":"","family":"Schulze-Lefert","given":"Paul","non-dropping-particle":"","parse-names":false,"suffix":""},{"dropping-particle":"","family":"Baluška","given":"František","non-dropping-particle":"","parse-names":false,"suffix":""},{"dropping-particle":"","family":"Sato","given":"Masa H.","non-dropping-particle":"","parse-names":false,"suffix":""}],"container-title":"Plant and Cell Physiology","id":"ITEM-1","issue":"4","issued":{"date-parts":[["2014"]]},"page":"790-800","title":"Syntaxin of plant proteins SYP123 and SYP132 mediate root hair tip growth in arabidopsis thaliana","type":"article-journal","volume":"55"},"uris":["http://www.mendeley.com/documents/?uuid=5d857d3a-68e6-4631-ad4c-445266ced161"]}],"mendeley":{"formattedCitation":"(Ichikawa et al., 2014)","plainTextFormattedCitation":"(Ichikawa et al., 2014)","previouslyFormattedCitation":"(Ichikawa et al., 2014)"},"properties":{"noteIndex":0},"schema":"https://github.com/citation-style-language/schema/raw/master/csl-citation.json"}</w:instrText>
            </w:r>
            <w:r>
              <w:rPr>
                <w:sz w:val="14"/>
                <w:szCs w:val="16"/>
              </w:rPr>
              <w:fldChar w:fldCharType="separate"/>
            </w:r>
            <w:r w:rsidRPr="00E67500">
              <w:rPr>
                <w:noProof/>
                <w:sz w:val="14"/>
                <w:szCs w:val="16"/>
              </w:rPr>
              <w:t>(Ichikawa et al., 2014)</w:t>
            </w:r>
            <w:r>
              <w:rPr>
                <w:sz w:val="14"/>
                <w:szCs w:val="16"/>
              </w:rPr>
              <w:fldChar w:fldCharType="end"/>
            </w:r>
          </w:p>
        </w:tc>
      </w:tr>
      <w:tr w:rsidR="001B3AFC" w:rsidRPr="002815CC" w14:paraId="5898BAA7" w14:textId="77777777" w:rsidTr="00515216">
        <w:trPr>
          <w:trHeight w:val="20"/>
        </w:trPr>
        <w:tc>
          <w:tcPr>
            <w:tcW w:w="1242" w:type="dxa"/>
            <w:tcBorders>
              <w:top w:val="nil"/>
              <w:left w:val="nil"/>
              <w:bottom w:val="nil"/>
              <w:right w:val="nil"/>
            </w:tcBorders>
            <w:shd w:val="clear" w:color="auto" w:fill="auto"/>
          </w:tcPr>
          <w:p w14:paraId="50170970" w14:textId="77777777" w:rsidR="001B3AFC" w:rsidRPr="002815CC" w:rsidRDefault="001B3AFC" w:rsidP="00515216">
            <w:pPr>
              <w:pStyle w:val="NoSpacing"/>
              <w:jc w:val="both"/>
              <w:rPr>
                <w:sz w:val="14"/>
                <w:szCs w:val="16"/>
              </w:rPr>
            </w:pPr>
          </w:p>
        </w:tc>
        <w:tc>
          <w:tcPr>
            <w:tcW w:w="1560" w:type="dxa"/>
            <w:gridSpan w:val="2"/>
            <w:tcBorders>
              <w:top w:val="nil"/>
              <w:left w:val="nil"/>
              <w:bottom w:val="single" w:sz="4" w:space="0" w:color="auto"/>
              <w:right w:val="nil"/>
            </w:tcBorders>
            <w:shd w:val="clear" w:color="auto" w:fill="auto"/>
          </w:tcPr>
          <w:p w14:paraId="1ED1FA09" w14:textId="77777777" w:rsidR="001B3AFC" w:rsidRPr="002815CC" w:rsidRDefault="001B3AFC" w:rsidP="00515216">
            <w:pPr>
              <w:pStyle w:val="NoSpacing"/>
              <w:jc w:val="both"/>
              <w:rPr>
                <w:sz w:val="14"/>
                <w:szCs w:val="16"/>
              </w:rPr>
            </w:pPr>
          </w:p>
        </w:tc>
        <w:tc>
          <w:tcPr>
            <w:tcW w:w="1167" w:type="dxa"/>
            <w:tcBorders>
              <w:top w:val="nil"/>
              <w:left w:val="nil"/>
              <w:bottom w:val="single" w:sz="4" w:space="0" w:color="auto"/>
              <w:right w:val="nil"/>
            </w:tcBorders>
            <w:shd w:val="clear" w:color="auto" w:fill="auto"/>
          </w:tcPr>
          <w:p w14:paraId="7871F7C5" w14:textId="77777777" w:rsidR="001B3AFC" w:rsidRPr="002815CC" w:rsidRDefault="001B3AFC" w:rsidP="00515216">
            <w:pPr>
              <w:pStyle w:val="NoSpacing"/>
              <w:jc w:val="both"/>
              <w:rPr>
                <w:sz w:val="14"/>
                <w:szCs w:val="16"/>
              </w:rPr>
            </w:pPr>
          </w:p>
        </w:tc>
        <w:tc>
          <w:tcPr>
            <w:tcW w:w="1418" w:type="dxa"/>
            <w:gridSpan w:val="2"/>
            <w:tcBorders>
              <w:top w:val="nil"/>
              <w:left w:val="nil"/>
              <w:bottom w:val="single" w:sz="4" w:space="0" w:color="auto"/>
              <w:right w:val="nil"/>
            </w:tcBorders>
            <w:shd w:val="clear" w:color="auto" w:fill="auto"/>
          </w:tcPr>
          <w:p w14:paraId="473B2BDD" w14:textId="77777777" w:rsidR="001B3AFC" w:rsidRPr="002815CC" w:rsidRDefault="001B3AFC" w:rsidP="00515216">
            <w:pPr>
              <w:pStyle w:val="NoSpacing"/>
              <w:jc w:val="both"/>
              <w:rPr>
                <w:sz w:val="14"/>
                <w:szCs w:val="16"/>
              </w:rPr>
            </w:pPr>
            <w:r w:rsidRPr="002815CC">
              <w:rPr>
                <w:sz w:val="14"/>
                <w:szCs w:val="16"/>
              </w:rPr>
              <w:t>AtVAMP722</w:t>
            </w:r>
          </w:p>
        </w:tc>
        <w:tc>
          <w:tcPr>
            <w:tcW w:w="1276" w:type="dxa"/>
            <w:tcBorders>
              <w:top w:val="nil"/>
              <w:left w:val="nil"/>
              <w:bottom w:val="single" w:sz="4" w:space="0" w:color="auto"/>
              <w:right w:val="nil"/>
            </w:tcBorders>
            <w:shd w:val="clear" w:color="auto" w:fill="auto"/>
          </w:tcPr>
          <w:p w14:paraId="440E9B52" w14:textId="77777777" w:rsidR="001B3AFC" w:rsidRPr="002815CC" w:rsidRDefault="001B3AFC" w:rsidP="00515216">
            <w:pPr>
              <w:pStyle w:val="NoSpacing"/>
              <w:jc w:val="both"/>
              <w:rPr>
                <w:sz w:val="14"/>
                <w:szCs w:val="16"/>
              </w:rPr>
            </w:pPr>
            <w:r w:rsidRPr="002815CC">
              <w:rPr>
                <w:sz w:val="14"/>
                <w:szCs w:val="16"/>
              </w:rPr>
              <w:t>Pull-down,</w:t>
            </w:r>
          </w:p>
          <w:p w14:paraId="7F69710D" w14:textId="77777777" w:rsidR="001B3AFC" w:rsidRPr="002815CC" w:rsidRDefault="001B3AFC" w:rsidP="00515216">
            <w:pPr>
              <w:pStyle w:val="NoSpacing"/>
              <w:jc w:val="both"/>
              <w:rPr>
                <w:sz w:val="14"/>
                <w:szCs w:val="16"/>
              </w:rPr>
            </w:pPr>
            <w:r w:rsidRPr="002815CC">
              <w:rPr>
                <w:sz w:val="14"/>
                <w:szCs w:val="16"/>
              </w:rPr>
              <w:t>Split luciferase</w:t>
            </w:r>
          </w:p>
        </w:tc>
        <w:tc>
          <w:tcPr>
            <w:tcW w:w="2162" w:type="dxa"/>
            <w:tcBorders>
              <w:top w:val="nil"/>
              <w:left w:val="nil"/>
              <w:bottom w:val="single" w:sz="4" w:space="0" w:color="auto"/>
              <w:right w:val="nil"/>
            </w:tcBorders>
            <w:shd w:val="clear" w:color="auto" w:fill="auto"/>
          </w:tcPr>
          <w:p w14:paraId="0B22FEE1" w14:textId="77777777" w:rsidR="001B3AFC" w:rsidRPr="002815CC" w:rsidRDefault="001B3AFC" w:rsidP="00515216">
            <w:pPr>
              <w:pStyle w:val="NoSpacing"/>
              <w:jc w:val="both"/>
              <w:rPr>
                <w:sz w:val="14"/>
                <w:szCs w:val="16"/>
              </w:rPr>
            </w:pPr>
            <w:r>
              <w:rPr>
                <w:sz w:val="14"/>
                <w:szCs w:val="16"/>
              </w:rPr>
              <w:fldChar w:fldCharType="begin" w:fldLock="1"/>
            </w:r>
            <w:r>
              <w:rPr>
                <w:sz w:val="14"/>
                <w:szCs w:val="16"/>
              </w:rPr>
              <w:instrText>ADDIN CSL_CITATION {"citationItems":[{"id":"ITEM-1","itemData":{"DOI":"10.1093/pcp/pcu048","ISBN":"1471-9053 (Electronic)\\r0032-0781 (Linking)","ISSN":"14719053","PMID":"24642714","abstract":"Root hairs are fast-growing tubular protrusions on root epidermal cells that play important roles in water and nutrient uptake in plants. The tip-focused polarized growth of root hairs is accomplished by the secretion of newly synthesized materials to the tip via the polarized membrane trafficking mechanism. Here, we report the function of two different types of plasma membrane (PM) Qa-SNAREs (soluble N-ethylmaleimide-sensitive factor attachment protein receptors), SYP123 and SYP132, in the growth of root hair in Arabidopsis. We found that SYP123, but not SYP132, localizes in the tip region of root hairs by recycling between the brefeldin A (BFA)-sensitive endosomes and the PM of the expanding tip in an F-actin-dependent manner. The vesicle-associated membrane proteins VAMP721/722/724 also exhibited tip-focused localization in root hairs and formed ternary SNARE complexes with both SYP123 and SYP132. These results demonstrate that SYP123 and SYP132 act in a coordinated fashion to mediate tip-focused membrane trafficking for root hair tip growth.","author":[{"dropping-particle":"","family":"Ichikawa","given":"Mie","non-dropping-particle":"","parse-names":false,"suffix":""},{"dropping-particle":"","family":"Hirano","given":"Tomoko","non-dropping-particle":"","parse-names":false,"suffix":""},{"dropping-particle":"","family":"Enami","given":"Kazuhiko","non-dropping-particle":"","parse-names":false,"suffix":""},{"dropping-particle":"","family":"Fuselier","given":"Taylor","non-dropping-particle":"","parse-names":false,"suffix":""},{"dropping-particle":"","family":"Kato","given":"Naohiro","non-dropping-particle":"","parse-names":false,"suffix":""},{"dropping-particle":"","family":"Kwon","given":"Chian","non-dropping-particle":"","parse-names":false,"suffix":""},{"dropping-particle":"","family":"Voigt","given":"Boris","non-dropping-particle":"","parse-names":false,"suffix":""},{"dropping-particle":"","family":"Schulze-Lefert","given":"Paul","non-dropping-particle":"","parse-names":false,"suffix":""},{"dropping-particle":"","family":"Baluška","given":"František","non-dropping-particle":"","parse-names":false,"suffix":""},{"dropping-particle":"","family":"Sato","given":"Masa H.","non-dropping-particle":"","parse-names":false,"suffix":""}],"container-title":"Plant and Cell Physiology","id":"ITEM-1","issue":"4","issued":{"date-parts":[["2014"]]},"page":"790-800","title":"Syntaxin of plant proteins SYP123 and SYP132 mediate root hair tip growth in arabidopsis thaliana","type":"article-journal","volume":"55"},"uris":["http://www.mendeley.com/documents/?uuid=5d857d3a-68e6-4631-ad4c-445266ced161"]}],"mendeley":{"formattedCitation":"(Ichikawa et al., 2014)","plainTextFormattedCitation":"(Ichikawa et al., 2014)","previouslyFormattedCitation":"(Ichikawa et al., 2014)"},"properties":{"noteIndex":0},"schema":"https://github.com/citation-style-language/schema/raw/master/csl-citation.json"}</w:instrText>
            </w:r>
            <w:r>
              <w:rPr>
                <w:sz w:val="14"/>
                <w:szCs w:val="16"/>
              </w:rPr>
              <w:fldChar w:fldCharType="separate"/>
            </w:r>
            <w:r w:rsidRPr="00E67500">
              <w:rPr>
                <w:noProof/>
                <w:sz w:val="14"/>
                <w:szCs w:val="16"/>
              </w:rPr>
              <w:t>(Ichikawa et al., 2014)</w:t>
            </w:r>
            <w:r>
              <w:rPr>
                <w:sz w:val="14"/>
                <w:szCs w:val="16"/>
              </w:rPr>
              <w:fldChar w:fldCharType="end"/>
            </w:r>
          </w:p>
        </w:tc>
      </w:tr>
      <w:tr w:rsidR="001B3AFC" w:rsidRPr="002815CC" w14:paraId="06D6FD73" w14:textId="77777777" w:rsidTr="00515216">
        <w:trPr>
          <w:trHeight w:val="20"/>
        </w:trPr>
        <w:tc>
          <w:tcPr>
            <w:tcW w:w="1242" w:type="dxa"/>
            <w:tcBorders>
              <w:top w:val="nil"/>
              <w:left w:val="nil"/>
              <w:bottom w:val="single" w:sz="4" w:space="0" w:color="auto"/>
              <w:right w:val="nil"/>
            </w:tcBorders>
            <w:shd w:val="clear" w:color="auto" w:fill="auto"/>
          </w:tcPr>
          <w:p w14:paraId="763D8C5B" w14:textId="77777777" w:rsidR="001B3AFC" w:rsidRPr="002815CC" w:rsidRDefault="001B3AFC" w:rsidP="00515216">
            <w:pPr>
              <w:pStyle w:val="NoSpacing"/>
              <w:jc w:val="both"/>
              <w:rPr>
                <w:sz w:val="14"/>
                <w:szCs w:val="16"/>
              </w:rPr>
            </w:pPr>
          </w:p>
        </w:tc>
        <w:tc>
          <w:tcPr>
            <w:tcW w:w="1560" w:type="dxa"/>
            <w:gridSpan w:val="2"/>
            <w:tcBorders>
              <w:top w:val="single" w:sz="4" w:space="0" w:color="auto"/>
              <w:left w:val="nil"/>
              <w:bottom w:val="single" w:sz="4" w:space="0" w:color="auto"/>
              <w:right w:val="nil"/>
            </w:tcBorders>
            <w:shd w:val="clear" w:color="auto" w:fill="auto"/>
          </w:tcPr>
          <w:p w14:paraId="323E6A48" w14:textId="77777777" w:rsidR="001B3AFC" w:rsidRPr="002815CC" w:rsidRDefault="001B3AFC" w:rsidP="00515216">
            <w:pPr>
              <w:pStyle w:val="NoSpacing"/>
              <w:jc w:val="both"/>
              <w:rPr>
                <w:sz w:val="14"/>
                <w:szCs w:val="16"/>
              </w:rPr>
            </w:pPr>
            <w:r w:rsidRPr="002815CC">
              <w:rPr>
                <w:sz w:val="14"/>
                <w:szCs w:val="16"/>
              </w:rPr>
              <w:t>VAMP72IV</w:t>
            </w:r>
          </w:p>
        </w:tc>
        <w:tc>
          <w:tcPr>
            <w:tcW w:w="1167" w:type="dxa"/>
            <w:tcBorders>
              <w:top w:val="single" w:sz="4" w:space="0" w:color="auto"/>
              <w:left w:val="nil"/>
              <w:bottom w:val="single" w:sz="4" w:space="0" w:color="auto"/>
              <w:right w:val="nil"/>
            </w:tcBorders>
            <w:shd w:val="clear" w:color="auto" w:fill="auto"/>
          </w:tcPr>
          <w:p w14:paraId="1F80234D" w14:textId="77777777" w:rsidR="001B3AFC" w:rsidRPr="002815CC" w:rsidRDefault="001B3AFC" w:rsidP="00515216">
            <w:pPr>
              <w:pStyle w:val="NoSpacing"/>
              <w:jc w:val="both"/>
              <w:rPr>
                <w:sz w:val="14"/>
                <w:szCs w:val="16"/>
              </w:rPr>
            </w:pPr>
            <w:proofErr w:type="spellStart"/>
            <w:r w:rsidRPr="00BE283E">
              <w:rPr>
                <w:sz w:val="14"/>
                <w:szCs w:val="16"/>
                <w:lang w:val="en-US"/>
              </w:rPr>
              <w:t>AtSYP</w:t>
            </w:r>
            <w:proofErr w:type="spellEnd"/>
            <w:r w:rsidRPr="002815CC">
              <w:rPr>
                <w:sz w:val="14"/>
                <w:szCs w:val="16"/>
              </w:rPr>
              <w:t>123</w:t>
            </w:r>
          </w:p>
        </w:tc>
        <w:tc>
          <w:tcPr>
            <w:tcW w:w="1418" w:type="dxa"/>
            <w:gridSpan w:val="2"/>
            <w:tcBorders>
              <w:top w:val="single" w:sz="4" w:space="0" w:color="auto"/>
              <w:left w:val="nil"/>
              <w:bottom w:val="single" w:sz="4" w:space="0" w:color="auto"/>
              <w:right w:val="nil"/>
            </w:tcBorders>
            <w:shd w:val="clear" w:color="auto" w:fill="auto"/>
          </w:tcPr>
          <w:p w14:paraId="11D6FDF8" w14:textId="77777777" w:rsidR="001B3AFC" w:rsidRPr="002815CC" w:rsidRDefault="001B3AFC" w:rsidP="00515216">
            <w:pPr>
              <w:pStyle w:val="NoSpacing"/>
              <w:jc w:val="both"/>
              <w:rPr>
                <w:sz w:val="14"/>
                <w:szCs w:val="16"/>
              </w:rPr>
            </w:pPr>
            <w:r w:rsidRPr="002815CC">
              <w:rPr>
                <w:sz w:val="14"/>
                <w:szCs w:val="16"/>
              </w:rPr>
              <w:t>AtVAMP724</w:t>
            </w:r>
          </w:p>
        </w:tc>
        <w:tc>
          <w:tcPr>
            <w:tcW w:w="1276" w:type="dxa"/>
            <w:tcBorders>
              <w:top w:val="single" w:sz="4" w:space="0" w:color="auto"/>
              <w:left w:val="nil"/>
              <w:bottom w:val="single" w:sz="4" w:space="0" w:color="auto"/>
              <w:right w:val="nil"/>
            </w:tcBorders>
            <w:shd w:val="clear" w:color="auto" w:fill="auto"/>
          </w:tcPr>
          <w:p w14:paraId="7FD9C105" w14:textId="77777777" w:rsidR="001B3AFC" w:rsidRPr="002815CC" w:rsidRDefault="001B3AFC" w:rsidP="00515216">
            <w:pPr>
              <w:pStyle w:val="NoSpacing"/>
              <w:jc w:val="both"/>
              <w:rPr>
                <w:sz w:val="14"/>
                <w:szCs w:val="16"/>
              </w:rPr>
            </w:pPr>
            <w:r w:rsidRPr="002815CC">
              <w:rPr>
                <w:sz w:val="14"/>
                <w:szCs w:val="16"/>
              </w:rPr>
              <w:t>Pull-down,</w:t>
            </w:r>
          </w:p>
          <w:p w14:paraId="5FCEEA48" w14:textId="77777777" w:rsidR="001B3AFC" w:rsidRPr="002815CC" w:rsidRDefault="001B3AFC" w:rsidP="00515216">
            <w:pPr>
              <w:pStyle w:val="NoSpacing"/>
              <w:jc w:val="both"/>
              <w:rPr>
                <w:sz w:val="14"/>
                <w:szCs w:val="16"/>
              </w:rPr>
            </w:pPr>
            <w:r w:rsidRPr="002815CC">
              <w:rPr>
                <w:sz w:val="14"/>
                <w:szCs w:val="16"/>
              </w:rPr>
              <w:t>Split luciferase</w:t>
            </w:r>
          </w:p>
        </w:tc>
        <w:tc>
          <w:tcPr>
            <w:tcW w:w="2162" w:type="dxa"/>
            <w:tcBorders>
              <w:top w:val="single" w:sz="4" w:space="0" w:color="auto"/>
              <w:left w:val="nil"/>
              <w:bottom w:val="single" w:sz="4" w:space="0" w:color="auto"/>
              <w:right w:val="nil"/>
            </w:tcBorders>
            <w:shd w:val="clear" w:color="auto" w:fill="auto"/>
          </w:tcPr>
          <w:p w14:paraId="1FFEA39A" w14:textId="77777777" w:rsidR="001B3AFC" w:rsidRPr="002815CC" w:rsidRDefault="001B3AFC" w:rsidP="00515216">
            <w:pPr>
              <w:pStyle w:val="NoSpacing"/>
              <w:jc w:val="both"/>
              <w:rPr>
                <w:sz w:val="14"/>
                <w:szCs w:val="16"/>
              </w:rPr>
            </w:pPr>
            <w:r>
              <w:rPr>
                <w:sz w:val="14"/>
                <w:szCs w:val="16"/>
              </w:rPr>
              <w:fldChar w:fldCharType="begin" w:fldLock="1"/>
            </w:r>
            <w:r>
              <w:rPr>
                <w:sz w:val="14"/>
                <w:szCs w:val="16"/>
              </w:rPr>
              <w:instrText>ADDIN CSL_CITATION {"citationItems":[{"id":"ITEM-1","itemData":{"DOI":"10.1093/pcp/pcu048","ISBN":"1471-9053 (Electronic)\\r0032-0781 (Linking)","ISSN":"14719053","PMID":"24642714","abstract":"Root hairs are fast-growing tubular protrusions on root epidermal cells that play important roles in water and nutrient uptake in plants. The tip-focused polarized growth of root hairs is accomplished by the secretion of newly synthesized materials to the tip via the polarized membrane trafficking mechanism. Here, we report the function of two different types of plasma membrane (PM) Qa-SNAREs (soluble N-ethylmaleimide-sensitive factor attachment protein receptors), SYP123 and SYP132, in the growth of root hair in Arabidopsis. We found that SYP123, but not SYP132, localizes in the tip region of root hairs by recycling between the brefeldin A (BFA)-sensitive endosomes and the PM of the expanding tip in an F-actin-dependent manner. The vesicle-associated membrane proteins VAMP721/722/724 also exhibited tip-focused localization in root hairs and formed ternary SNARE complexes with both SYP123 and SYP132. These results demonstrate that SYP123 and SYP132 act in a coordinated fashion to mediate tip-focused membrane trafficking for root hair tip growth.","author":[{"dropping-particle":"","family":"Ichikawa","given":"Mie","non-dropping-particle":"","parse-names":false,"suffix":""},{"dropping-particle":"","family":"Hirano","given":"Tomoko","non-dropping-particle":"","parse-names":false,"suffix":""},{"dropping-particle":"","family":"Enami","given":"Kazuhiko","non-dropping-particle":"","parse-names":false,"suffix":""},{"dropping-particle":"","family":"Fuselier","given":"Taylor","non-dropping-particle":"","parse-names":false,"suffix":""},{"dropping-particle":"","family":"Kato","given":"Naohiro","non-dropping-particle":"","parse-names":false,"suffix":""},{"dropping-particle":"","family":"Kwon","given":"Chian","non-dropping-particle":"","parse-names":false,"suffix":""},{"dropping-particle":"","family":"Voigt","given":"Boris","non-dropping-particle":"","parse-names":false,"suffix":""},{"dropping-particle":"","family":"Schulze-Lefert","given":"Paul","non-dropping-particle":"","parse-names":false,"suffix":""},{"dropping-particle":"","family":"Baluška","given":"František","non-dropping-particle":"","parse-names":false,"suffix":""},{"dropping-particle":"","family":"Sato","given":"Masa H.","non-dropping-particle":"","parse-names":false,"suffix":""}],"container-title":"Plant and Cell Physiology","id":"ITEM-1","issue":"4","issued":{"date-parts":[["2014"]]},"page":"790-800","title":"Syntaxin of plant proteins SYP123 and SYP132 mediate root hair tip growth in arabidopsis thaliana","type":"article-journal","volume":"55"},"uris":["http://www.mendeley.com/documents/?uuid=5d857d3a-68e6-4631-ad4c-445266ced161"]}],"mendeley":{"formattedCitation":"(Ichikawa et al., 2014)","plainTextFormattedCitation":"(Ichikawa et al., 2014)","previouslyFormattedCitation":"(Ichikawa et al., 2014)"},"properties":{"noteIndex":0},"schema":"https://github.com/citation-style-language/schema/raw/master/csl-citation.json"}</w:instrText>
            </w:r>
            <w:r>
              <w:rPr>
                <w:sz w:val="14"/>
                <w:szCs w:val="16"/>
              </w:rPr>
              <w:fldChar w:fldCharType="separate"/>
            </w:r>
            <w:r w:rsidRPr="00E67500">
              <w:rPr>
                <w:noProof/>
                <w:sz w:val="14"/>
                <w:szCs w:val="16"/>
              </w:rPr>
              <w:t>(Ichikawa et al., 2014)</w:t>
            </w:r>
            <w:r>
              <w:rPr>
                <w:sz w:val="14"/>
                <w:szCs w:val="16"/>
              </w:rPr>
              <w:fldChar w:fldCharType="end"/>
            </w:r>
          </w:p>
        </w:tc>
      </w:tr>
      <w:tr w:rsidR="001B3AFC" w:rsidRPr="002815CC" w14:paraId="6AC149FD" w14:textId="77777777" w:rsidTr="00515216">
        <w:trPr>
          <w:trHeight w:val="20"/>
        </w:trPr>
        <w:tc>
          <w:tcPr>
            <w:tcW w:w="1242" w:type="dxa"/>
            <w:vMerge w:val="restart"/>
            <w:tcBorders>
              <w:top w:val="single" w:sz="4" w:space="0" w:color="auto"/>
              <w:left w:val="nil"/>
              <w:right w:val="nil"/>
            </w:tcBorders>
            <w:shd w:val="clear" w:color="auto" w:fill="auto"/>
          </w:tcPr>
          <w:p w14:paraId="00C5E897" w14:textId="77777777" w:rsidR="001B3AFC" w:rsidRPr="002815CC" w:rsidRDefault="001B3AFC" w:rsidP="00515216">
            <w:pPr>
              <w:pStyle w:val="NoSpacing"/>
              <w:jc w:val="both"/>
              <w:rPr>
                <w:sz w:val="14"/>
                <w:szCs w:val="16"/>
              </w:rPr>
            </w:pPr>
            <w:r w:rsidRPr="002815CC">
              <w:rPr>
                <w:sz w:val="14"/>
                <w:szCs w:val="16"/>
              </w:rPr>
              <w:t>SYP13I</w:t>
            </w:r>
          </w:p>
        </w:tc>
        <w:tc>
          <w:tcPr>
            <w:tcW w:w="1560" w:type="dxa"/>
            <w:gridSpan w:val="2"/>
            <w:vMerge w:val="restart"/>
            <w:tcBorders>
              <w:top w:val="single" w:sz="4" w:space="0" w:color="auto"/>
              <w:left w:val="nil"/>
              <w:right w:val="nil"/>
            </w:tcBorders>
            <w:shd w:val="clear" w:color="auto" w:fill="auto"/>
          </w:tcPr>
          <w:p w14:paraId="4378AB18" w14:textId="77777777" w:rsidR="001B3AFC" w:rsidRPr="002815CC" w:rsidRDefault="001B3AFC" w:rsidP="00515216">
            <w:pPr>
              <w:pStyle w:val="NoSpacing"/>
              <w:jc w:val="both"/>
              <w:rPr>
                <w:sz w:val="14"/>
                <w:szCs w:val="16"/>
              </w:rPr>
            </w:pPr>
            <w:r w:rsidRPr="002815CC">
              <w:rPr>
                <w:sz w:val="14"/>
                <w:szCs w:val="16"/>
              </w:rPr>
              <w:t>VAMP72I</w:t>
            </w:r>
          </w:p>
        </w:tc>
        <w:tc>
          <w:tcPr>
            <w:tcW w:w="1167" w:type="dxa"/>
            <w:vMerge w:val="restart"/>
            <w:tcBorders>
              <w:top w:val="single" w:sz="4" w:space="0" w:color="auto"/>
              <w:left w:val="nil"/>
              <w:right w:val="nil"/>
            </w:tcBorders>
            <w:shd w:val="clear" w:color="auto" w:fill="auto"/>
          </w:tcPr>
          <w:p w14:paraId="07488114" w14:textId="77777777" w:rsidR="001B3AFC" w:rsidRPr="002815CC" w:rsidRDefault="001B3AFC" w:rsidP="00515216">
            <w:pPr>
              <w:pStyle w:val="NoSpacing"/>
              <w:jc w:val="both"/>
              <w:rPr>
                <w:sz w:val="14"/>
                <w:szCs w:val="16"/>
              </w:rPr>
            </w:pPr>
            <w:r w:rsidRPr="002815CC">
              <w:rPr>
                <w:sz w:val="14"/>
                <w:szCs w:val="16"/>
              </w:rPr>
              <w:t>AtSYP132</w:t>
            </w:r>
          </w:p>
        </w:tc>
        <w:tc>
          <w:tcPr>
            <w:tcW w:w="1418" w:type="dxa"/>
            <w:gridSpan w:val="2"/>
            <w:vMerge w:val="restart"/>
            <w:tcBorders>
              <w:top w:val="single" w:sz="4" w:space="0" w:color="auto"/>
              <w:left w:val="nil"/>
              <w:right w:val="nil"/>
            </w:tcBorders>
            <w:shd w:val="clear" w:color="auto" w:fill="auto"/>
          </w:tcPr>
          <w:p w14:paraId="038C948A" w14:textId="77777777" w:rsidR="001B3AFC" w:rsidRPr="002815CC" w:rsidRDefault="001B3AFC" w:rsidP="00515216">
            <w:pPr>
              <w:pStyle w:val="NoSpacing"/>
              <w:jc w:val="both"/>
              <w:rPr>
                <w:sz w:val="14"/>
                <w:szCs w:val="16"/>
              </w:rPr>
            </w:pPr>
            <w:r w:rsidRPr="002815CC">
              <w:rPr>
                <w:sz w:val="14"/>
                <w:szCs w:val="16"/>
              </w:rPr>
              <w:t>AtVAMP721</w:t>
            </w:r>
          </w:p>
          <w:p w14:paraId="432B356B" w14:textId="77777777" w:rsidR="001B3AFC" w:rsidRPr="002815CC" w:rsidRDefault="001B3AFC" w:rsidP="00515216">
            <w:pPr>
              <w:pStyle w:val="NoSpacing"/>
              <w:jc w:val="both"/>
              <w:rPr>
                <w:sz w:val="14"/>
                <w:szCs w:val="16"/>
              </w:rPr>
            </w:pPr>
          </w:p>
        </w:tc>
        <w:tc>
          <w:tcPr>
            <w:tcW w:w="1276" w:type="dxa"/>
            <w:tcBorders>
              <w:top w:val="single" w:sz="4" w:space="0" w:color="auto"/>
              <w:left w:val="nil"/>
              <w:bottom w:val="nil"/>
              <w:right w:val="nil"/>
            </w:tcBorders>
            <w:shd w:val="clear" w:color="auto" w:fill="auto"/>
          </w:tcPr>
          <w:p w14:paraId="6BAD280E" w14:textId="77777777" w:rsidR="001B3AFC" w:rsidRPr="002815CC" w:rsidRDefault="001B3AFC" w:rsidP="00515216">
            <w:pPr>
              <w:pStyle w:val="NoSpacing"/>
              <w:jc w:val="both"/>
              <w:rPr>
                <w:sz w:val="14"/>
                <w:szCs w:val="16"/>
              </w:rPr>
            </w:pPr>
            <w:r w:rsidRPr="002815CC">
              <w:rPr>
                <w:sz w:val="14"/>
                <w:szCs w:val="16"/>
              </w:rPr>
              <w:t>Pull-down,</w:t>
            </w:r>
          </w:p>
          <w:p w14:paraId="6CE68749" w14:textId="77777777" w:rsidR="001B3AFC" w:rsidRPr="002815CC" w:rsidRDefault="001B3AFC" w:rsidP="00515216">
            <w:pPr>
              <w:pStyle w:val="NoSpacing"/>
              <w:jc w:val="both"/>
              <w:rPr>
                <w:sz w:val="14"/>
                <w:szCs w:val="16"/>
              </w:rPr>
            </w:pPr>
            <w:r w:rsidRPr="002815CC">
              <w:rPr>
                <w:sz w:val="14"/>
                <w:szCs w:val="16"/>
              </w:rPr>
              <w:t>split luciferase</w:t>
            </w:r>
          </w:p>
        </w:tc>
        <w:tc>
          <w:tcPr>
            <w:tcW w:w="2162" w:type="dxa"/>
            <w:tcBorders>
              <w:top w:val="single" w:sz="4" w:space="0" w:color="auto"/>
              <w:left w:val="nil"/>
              <w:bottom w:val="nil"/>
              <w:right w:val="nil"/>
            </w:tcBorders>
            <w:shd w:val="clear" w:color="auto" w:fill="auto"/>
          </w:tcPr>
          <w:p w14:paraId="62E0F26E" w14:textId="77777777" w:rsidR="001B3AFC" w:rsidRPr="002815CC" w:rsidRDefault="001B3AFC" w:rsidP="00515216">
            <w:pPr>
              <w:pStyle w:val="NoSpacing"/>
              <w:jc w:val="both"/>
              <w:rPr>
                <w:sz w:val="14"/>
                <w:szCs w:val="16"/>
              </w:rPr>
            </w:pPr>
            <w:r>
              <w:rPr>
                <w:sz w:val="14"/>
                <w:szCs w:val="16"/>
              </w:rPr>
              <w:fldChar w:fldCharType="begin" w:fldLock="1"/>
            </w:r>
            <w:r>
              <w:rPr>
                <w:sz w:val="14"/>
                <w:szCs w:val="16"/>
              </w:rPr>
              <w:instrText>ADDIN CSL_CITATION {"citationItems":[{"id":"ITEM-1","itemData":{"DOI":"10.1007/s10059-013-2130-2","ISBN":"1016-8478","ISSN":"10168478","PMID":"23661365","abstract":"Extracellular immune responses to ascomycete and oomycete pathogens in Arabidopsis are dependent on vesicle-associated secretion mediated by the SNARE proteins PEN1 syntaxin, SNAP33 and endomembrane-resident VAMP721/722. Continuous movement of functional GFP-VAMP722 to and from the plasma membrane in non-stimulated cells reflects the second proposed function of VAMP721/722 in constitutive secretion during plant growth and development. Application of the bacterium-derived elicitor flg22 stabilizes VAMP721/722 that are otherwise constitutively degraded via the 26S proteasome pathway. Depletion of VAMP721/722 levels by reducing VAMP721/722 gene dosage enhances flg22-induced seedling growth inhibition in spite of elevated VAMP721/722 abundance. We therefore propose that plants prioritize the deployment of the corresponding secretory pathway for defense over plant growth. Interstingly, VAMP721/722 specifically interact in vitro and in vivo with the plasma membrane syntaxin SYP132 that is required for plant growth and resistance to bacteria. This suggests that the plant growth/immunity-involved VAMP721/722 form SNARE complexes with multiple plasma membrane syntaxins to discharge cue-dependent cargo molecules.","author":[{"dropping-particle":"","family":"Yun","given":"Hye Sup","non-dropping-particle":"","parse-names":false,"suffix":""},{"dropping-particle":"","family":"Kwaaitaal","given":"Mark","non-dropping-particle":"","parse-names":false,"suffix":""},{"dropping-particle":"","family":"Kato","given":"Naohiro","non-dropping-particle":"","parse-names":false,"suffix":""},{"dropping-particle":"","family":"Yi","given":"Changhyun","non-dropping-particle":"","parse-names":false,"suffix":""},{"dropping-particle":"","family":"Park","given":"Sohyeon","non-dropping-particle":"","parse-names":false,"suffix":""},{"dropping-particle":"","family":"Sato","given":"Masa H.","non-dropping-particle":"","parse-names":false,"suffix":""},{"dropping-particle":"","family":"Schulze-Lefert","given":"Paul","non-dropping-particle":"","parse-names":false,"suffix":""},{"dropping-particle":"","family":"Kwon","given":"Chian","non-dropping-particle":"","parse-names":false,"suffix":""}],"container-title":"Molecules and Cells","id":"ITEM-1","issued":{"date-parts":[["2013"]]},"page":"1-8","title":"Requirement of vesicle-associated membrane protein 721 and 722 for sustained growth during immune responses in Arabidopsis","type":"article-journal"},"uris":["http://www.mendeley.com/documents/?uuid=d05a2941-0798-4a77-9e0c-38c6cc2bfeed"]}],"mendeley":{"formattedCitation":"(Yun et al., 2013)","plainTextFormattedCitation":"(Yun et al., 2013)","previouslyFormattedCitation":"(Yun et al., 2013)"},"properties":{"noteIndex":0},"schema":"https://github.com/citation-style-language/schema/raw/master/csl-citation.json"}</w:instrText>
            </w:r>
            <w:r>
              <w:rPr>
                <w:sz w:val="14"/>
                <w:szCs w:val="16"/>
              </w:rPr>
              <w:fldChar w:fldCharType="separate"/>
            </w:r>
            <w:r w:rsidRPr="00E67500">
              <w:rPr>
                <w:noProof/>
                <w:sz w:val="14"/>
                <w:szCs w:val="16"/>
              </w:rPr>
              <w:t>(Yun et al., 2013)</w:t>
            </w:r>
            <w:r>
              <w:rPr>
                <w:sz w:val="14"/>
                <w:szCs w:val="16"/>
              </w:rPr>
              <w:fldChar w:fldCharType="end"/>
            </w:r>
          </w:p>
        </w:tc>
      </w:tr>
      <w:tr w:rsidR="001B3AFC" w:rsidRPr="002815CC" w14:paraId="5A4E89D7" w14:textId="77777777" w:rsidTr="00515216">
        <w:trPr>
          <w:trHeight w:val="20"/>
        </w:trPr>
        <w:tc>
          <w:tcPr>
            <w:tcW w:w="1242" w:type="dxa"/>
            <w:vMerge/>
            <w:tcBorders>
              <w:top w:val="single" w:sz="4" w:space="0" w:color="auto"/>
              <w:left w:val="nil"/>
              <w:right w:val="nil"/>
            </w:tcBorders>
            <w:shd w:val="clear" w:color="auto" w:fill="auto"/>
          </w:tcPr>
          <w:p w14:paraId="14405B8F" w14:textId="77777777" w:rsidR="001B3AFC" w:rsidRPr="002815CC" w:rsidRDefault="001B3AFC" w:rsidP="00515216">
            <w:pPr>
              <w:pStyle w:val="NoSpacing"/>
              <w:jc w:val="both"/>
              <w:rPr>
                <w:sz w:val="14"/>
                <w:szCs w:val="16"/>
              </w:rPr>
            </w:pPr>
          </w:p>
        </w:tc>
        <w:tc>
          <w:tcPr>
            <w:tcW w:w="1560" w:type="dxa"/>
            <w:gridSpan w:val="2"/>
            <w:vMerge/>
            <w:tcBorders>
              <w:top w:val="single" w:sz="4" w:space="0" w:color="auto"/>
              <w:left w:val="nil"/>
              <w:right w:val="nil"/>
            </w:tcBorders>
            <w:shd w:val="clear" w:color="auto" w:fill="auto"/>
          </w:tcPr>
          <w:p w14:paraId="04053EF7" w14:textId="77777777" w:rsidR="001B3AFC" w:rsidRPr="002815CC" w:rsidRDefault="001B3AFC" w:rsidP="00515216">
            <w:pPr>
              <w:pStyle w:val="NoSpacing"/>
              <w:jc w:val="both"/>
              <w:rPr>
                <w:sz w:val="14"/>
                <w:szCs w:val="16"/>
              </w:rPr>
            </w:pPr>
          </w:p>
        </w:tc>
        <w:tc>
          <w:tcPr>
            <w:tcW w:w="1167" w:type="dxa"/>
            <w:vMerge/>
            <w:tcBorders>
              <w:top w:val="single" w:sz="4" w:space="0" w:color="auto"/>
              <w:left w:val="nil"/>
              <w:right w:val="nil"/>
            </w:tcBorders>
            <w:shd w:val="clear" w:color="auto" w:fill="auto"/>
          </w:tcPr>
          <w:p w14:paraId="584D3E2E" w14:textId="77777777" w:rsidR="001B3AFC" w:rsidRPr="002815CC" w:rsidRDefault="001B3AFC" w:rsidP="00515216">
            <w:pPr>
              <w:pStyle w:val="NoSpacing"/>
              <w:jc w:val="both"/>
              <w:rPr>
                <w:sz w:val="14"/>
                <w:szCs w:val="16"/>
              </w:rPr>
            </w:pPr>
          </w:p>
        </w:tc>
        <w:tc>
          <w:tcPr>
            <w:tcW w:w="1418" w:type="dxa"/>
            <w:gridSpan w:val="2"/>
            <w:vMerge/>
            <w:tcBorders>
              <w:left w:val="nil"/>
              <w:bottom w:val="nil"/>
              <w:right w:val="nil"/>
            </w:tcBorders>
            <w:shd w:val="clear" w:color="auto" w:fill="auto"/>
          </w:tcPr>
          <w:p w14:paraId="26574A3F" w14:textId="77777777" w:rsidR="001B3AFC" w:rsidRPr="002815CC" w:rsidRDefault="001B3AFC" w:rsidP="00515216">
            <w:pPr>
              <w:pStyle w:val="NoSpacing"/>
              <w:jc w:val="both"/>
              <w:rPr>
                <w:sz w:val="14"/>
                <w:szCs w:val="16"/>
              </w:rPr>
            </w:pPr>
          </w:p>
        </w:tc>
        <w:tc>
          <w:tcPr>
            <w:tcW w:w="1276" w:type="dxa"/>
            <w:tcBorders>
              <w:top w:val="nil"/>
              <w:left w:val="nil"/>
              <w:bottom w:val="nil"/>
              <w:right w:val="nil"/>
            </w:tcBorders>
            <w:shd w:val="clear" w:color="auto" w:fill="auto"/>
          </w:tcPr>
          <w:p w14:paraId="7DC81D10" w14:textId="77777777" w:rsidR="001B3AFC" w:rsidRPr="002815CC" w:rsidRDefault="001B3AFC" w:rsidP="00515216">
            <w:pPr>
              <w:pStyle w:val="NoSpacing"/>
              <w:jc w:val="both"/>
              <w:rPr>
                <w:sz w:val="14"/>
                <w:szCs w:val="16"/>
              </w:rPr>
            </w:pPr>
            <w:r w:rsidRPr="002815CC">
              <w:rPr>
                <w:sz w:val="14"/>
                <w:szCs w:val="16"/>
              </w:rPr>
              <w:t>split luciferase</w:t>
            </w:r>
          </w:p>
        </w:tc>
        <w:tc>
          <w:tcPr>
            <w:tcW w:w="2162" w:type="dxa"/>
            <w:tcBorders>
              <w:top w:val="nil"/>
              <w:left w:val="nil"/>
              <w:bottom w:val="nil"/>
              <w:right w:val="nil"/>
            </w:tcBorders>
            <w:shd w:val="clear" w:color="auto" w:fill="auto"/>
          </w:tcPr>
          <w:p w14:paraId="010FE847" w14:textId="77777777" w:rsidR="001B3AFC" w:rsidRPr="002815CC" w:rsidRDefault="001B3AFC" w:rsidP="00515216">
            <w:pPr>
              <w:pStyle w:val="NoSpacing"/>
              <w:jc w:val="both"/>
              <w:rPr>
                <w:sz w:val="14"/>
                <w:szCs w:val="16"/>
              </w:rPr>
            </w:pPr>
            <w:r>
              <w:rPr>
                <w:sz w:val="14"/>
                <w:szCs w:val="16"/>
              </w:rPr>
              <w:fldChar w:fldCharType="begin" w:fldLock="1"/>
            </w:r>
            <w:r>
              <w:rPr>
                <w:sz w:val="14"/>
                <w:szCs w:val="16"/>
              </w:rPr>
              <w:instrText>ADDIN CSL_CITATION {"citationItems":[{"id":"ITEM-1","itemData":{"DOI":"10.1093/pcp/pcu048","ISBN":"1471-9053 (Electronic)\\r0032-0781 (Linking)","ISSN":"14719053","PMID":"24642714","abstract":"Root hairs are fast-growing tubular protrusions on root epidermal cells that play important roles in water and nutrient uptake in plants. The tip-focused polarized growth of root hairs is accomplished by the secretion of newly synthesized materials to the tip via the polarized membrane trafficking mechanism. Here, we report the function of two different types of plasma membrane (PM) Qa-SNAREs (soluble N-ethylmaleimide-sensitive factor attachment protein receptors), SYP123 and SYP132, in the growth of root hair in Arabidopsis. We found that SYP123, but not SYP132, localizes in the tip region of root hairs by recycling between the brefeldin A (BFA)-sensitive endosomes and the PM of the expanding tip in an F-actin-dependent manner. The vesicle-associated membrane proteins VAMP721/722/724 also exhibited tip-focused localization in root hairs and formed ternary SNARE complexes with both SYP123 and SYP132. These results demonstrate that SYP123 and SYP132 act in a coordinated fashion to mediate tip-focused membrane trafficking for root hair tip growth.","author":[{"dropping-particle":"","family":"Ichikawa","given":"Mie","non-dropping-particle":"","parse-names":false,"suffix":""},{"dropping-particle":"","family":"Hirano","given":"Tomoko","non-dropping-particle":"","parse-names":false,"suffix":""},{"dropping-particle":"","family":"Enami","given":"Kazuhiko","non-dropping-particle":"","parse-names":false,"suffix":""},{"dropping-particle":"","family":"Fuselier","given":"Taylor","non-dropping-particle":"","parse-names":false,"suffix":""},{"dropping-particle":"","family":"Kato","given":"Naohiro","non-dropping-particle":"","parse-names":false,"suffix":""},{"dropping-particle":"","family":"Kwon","given":"Chian","non-dropping-particle":"","parse-names":false,"suffix":""},{"dropping-particle":"","family":"Voigt","given":"Boris","non-dropping-particle":"","parse-names":false,"suffix":""},{"dropping-particle":"","family":"Schulze-Lefert","given":"Paul","non-dropping-particle":"","parse-names":false,"suffix":""},{"dropping-particle":"","family":"Baluška","given":"František","non-dropping-particle":"","parse-names":false,"suffix":""},{"dropping-particle":"","family":"Sato","given":"Masa H.","non-dropping-particle":"","parse-names":false,"suffix":""}],"container-title":"Plant and Cell Physiology","id":"ITEM-1","issue":"4","issued":{"date-parts":[["2014"]]},"page":"790-800","title":"Syntaxin of plant proteins SYP123 and SYP132 mediate root hair tip growth in arabidopsis thaliana","type":"article-journal","volume":"55"},"uris":["http://www.mendeley.com/documents/?uuid=5d857d3a-68e6-4631-ad4c-445266ced161"]}],"mendeley":{"formattedCitation":"(Ichikawa et al., 2014)","plainTextFormattedCitation":"(Ichikawa et al., 2014)","previouslyFormattedCitation":"(Ichikawa et al., 2014)"},"properties":{"noteIndex":0},"schema":"https://github.com/citation-style-language/schema/raw/master/csl-citation.json"}</w:instrText>
            </w:r>
            <w:r>
              <w:rPr>
                <w:sz w:val="14"/>
                <w:szCs w:val="16"/>
              </w:rPr>
              <w:fldChar w:fldCharType="separate"/>
            </w:r>
            <w:r w:rsidRPr="00E67500">
              <w:rPr>
                <w:noProof/>
                <w:sz w:val="14"/>
                <w:szCs w:val="16"/>
              </w:rPr>
              <w:t>(Ichikawa et al., 2014)</w:t>
            </w:r>
            <w:r>
              <w:rPr>
                <w:sz w:val="14"/>
                <w:szCs w:val="16"/>
              </w:rPr>
              <w:fldChar w:fldCharType="end"/>
            </w:r>
          </w:p>
        </w:tc>
      </w:tr>
      <w:tr w:rsidR="001B3AFC" w:rsidRPr="002815CC" w14:paraId="03D7CB31" w14:textId="77777777" w:rsidTr="00515216">
        <w:trPr>
          <w:trHeight w:val="20"/>
        </w:trPr>
        <w:tc>
          <w:tcPr>
            <w:tcW w:w="1242" w:type="dxa"/>
            <w:vMerge/>
            <w:tcBorders>
              <w:left w:val="nil"/>
              <w:right w:val="nil"/>
            </w:tcBorders>
            <w:shd w:val="clear" w:color="auto" w:fill="auto"/>
          </w:tcPr>
          <w:p w14:paraId="120AD0BB" w14:textId="77777777" w:rsidR="001B3AFC" w:rsidRPr="002815CC" w:rsidRDefault="001B3AFC" w:rsidP="00515216">
            <w:pPr>
              <w:pStyle w:val="NoSpacing"/>
              <w:jc w:val="both"/>
              <w:rPr>
                <w:sz w:val="14"/>
                <w:szCs w:val="16"/>
              </w:rPr>
            </w:pPr>
          </w:p>
        </w:tc>
        <w:tc>
          <w:tcPr>
            <w:tcW w:w="1560" w:type="dxa"/>
            <w:gridSpan w:val="2"/>
            <w:vMerge/>
            <w:tcBorders>
              <w:left w:val="nil"/>
              <w:right w:val="nil"/>
            </w:tcBorders>
            <w:shd w:val="clear" w:color="auto" w:fill="auto"/>
          </w:tcPr>
          <w:p w14:paraId="43F649C9" w14:textId="77777777" w:rsidR="001B3AFC" w:rsidRPr="002815CC" w:rsidRDefault="001B3AFC" w:rsidP="00515216">
            <w:pPr>
              <w:pStyle w:val="NoSpacing"/>
              <w:jc w:val="both"/>
              <w:rPr>
                <w:sz w:val="14"/>
                <w:szCs w:val="16"/>
              </w:rPr>
            </w:pPr>
          </w:p>
        </w:tc>
        <w:tc>
          <w:tcPr>
            <w:tcW w:w="1167" w:type="dxa"/>
            <w:vMerge/>
            <w:tcBorders>
              <w:left w:val="nil"/>
              <w:right w:val="nil"/>
            </w:tcBorders>
            <w:shd w:val="clear" w:color="auto" w:fill="auto"/>
          </w:tcPr>
          <w:p w14:paraId="5A79722B" w14:textId="77777777" w:rsidR="001B3AFC" w:rsidRPr="002815CC" w:rsidRDefault="001B3AFC" w:rsidP="00515216">
            <w:pPr>
              <w:pStyle w:val="NoSpacing"/>
              <w:jc w:val="both"/>
              <w:rPr>
                <w:sz w:val="14"/>
                <w:szCs w:val="16"/>
              </w:rPr>
            </w:pPr>
          </w:p>
        </w:tc>
        <w:tc>
          <w:tcPr>
            <w:tcW w:w="1418" w:type="dxa"/>
            <w:gridSpan w:val="2"/>
            <w:vMerge w:val="restart"/>
            <w:tcBorders>
              <w:top w:val="nil"/>
              <w:left w:val="nil"/>
              <w:right w:val="nil"/>
            </w:tcBorders>
            <w:shd w:val="clear" w:color="auto" w:fill="auto"/>
          </w:tcPr>
          <w:p w14:paraId="001DC6C6" w14:textId="77777777" w:rsidR="001B3AFC" w:rsidRPr="002815CC" w:rsidRDefault="001B3AFC" w:rsidP="00515216">
            <w:pPr>
              <w:pStyle w:val="NoSpacing"/>
              <w:jc w:val="both"/>
              <w:rPr>
                <w:sz w:val="14"/>
                <w:szCs w:val="16"/>
              </w:rPr>
            </w:pPr>
            <w:r w:rsidRPr="002815CC">
              <w:rPr>
                <w:sz w:val="14"/>
                <w:szCs w:val="16"/>
              </w:rPr>
              <w:t>AtVAMP722</w:t>
            </w:r>
          </w:p>
          <w:p w14:paraId="115F43AB" w14:textId="77777777" w:rsidR="001B3AFC" w:rsidRPr="002815CC" w:rsidRDefault="001B3AFC" w:rsidP="00515216">
            <w:pPr>
              <w:pStyle w:val="NoSpacing"/>
              <w:jc w:val="both"/>
              <w:rPr>
                <w:sz w:val="14"/>
                <w:szCs w:val="16"/>
              </w:rPr>
            </w:pPr>
          </w:p>
        </w:tc>
        <w:tc>
          <w:tcPr>
            <w:tcW w:w="1276" w:type="dxa"/>
            <w:tcBorders>
              <w:top w:val="nil"/>
              <w:left w:val="nil"/>
              <w:bottom w:val="nil"/>
              <w:right w:val="nil"/>
            </w:tcBorders>
            <w:shd w:val="clear" w:color="auto" w:fill="auto"/>
          </w:tcPr>
          <w:p w14:paraId="0EB3B145" w14:textId="77777777" w:rsidR="001B3AFC" w:rsidRPr="002815CC" w:rsidRDefault="001B3AFC" w:rsidP="00515216">
            <w:pPr>
              <w:pStyle w:val="NoSpacing"/>
              <w:jc w:val="both"/>
              <w:rPr>
                <w:sz w:val="14"/>
                <w:szCs w:val="16"/>
              </w:rPr>
            </w:pPr>
            <w:r w:rsidRPr="002815CC">
              <w:rPr>
                <w:sz w:val="14"/>
                <w:szCs w:val="16"/>
              </w:rPr>
              <w:t>Pull-down,</w:t>
            </w:r>
          </w:p>
          <w:p w14:paraId="1EA4641D" w14:textId="77777777" w:rsidR="001B3AFC" w:rsidRPr="002815CC" w:rsidRDefault="001B3AFC" w:rsidP="00515216">
            <w:pPr>
              <w:pStyle w:val="NoSpacing"/>
              <w:jc w:val="both"/>
              <w:rPr>
                <w:sz w:val="14"/>
                <w:szCs w:val="16"/>
              </w:rPr>
            </w:pPr>
            <w:r w:rsidRPr="002815CC">
              <w:rPr>
                <w:sz w:val="14"/>
                <w:szCs w:val="16"/>
              </w:rPr>
              <w:t>split luciferase</w:t>
            </w:r>
          </w:p>
        </w:tc>
        <w:tc>
          <w:tcPr>
            <w:tcW w:w="2162" w:type="dxa"/>
            <w:tcBorders>
              <w:top w:val="nil"/>
              <w:left w:val="nil"/>
              <w:bottom w:val="nil"/>
              <w:right w:val="nil"/>
            </w:tcBorders>
            <w:shd w:val="clear" w:color="auto" w:fill="auto"/>
          </w:tcPr>
          <w:p w14:paraId="23A1737A" w14:textId="77777777" w:rsidR="001B3AFC" w:rsidRPr="002815CC" w:rsidRDefault="001B3AFC" w:rsidP="00515216">
            <w:pPr>
              <w:pStyle w:val="NoSpacing"/>
              <w:jc w:val="both"/>
              <w:rPr>
                <w:sz w:val="14"/>
                <w:szCs w:val="16"/>
              </w:rPr>
            </w:pPr>
            <w:r>
              <w:rPr>
                <w:sz w:val="14"/>
                <w:szCs w:val="16"/>
              </w:rPr>
              <w:fldChar w:fldCharType="begin" w:fldLock="1"/>
            </w:r>
            <w:r>
              <w:rPr>
                <w:sz w:val="14"/>
                <w:szCs w:val="16"/>
              </w:rPr>
              <w:instrText>ADDIN CSL_CITATION {"citationItems":[{"id":"ITEM-1","itemData":{"DOI":"10.1007/s10059-013-2130-2","ISBN":"1016-8478","ISSN":"10168478","PMID":"23661365","abstract":"Extracellular immune responses to ascomycete and oomycete pathogens in Arabidopsis are dependent on vesicle-associated secretion mediated by the SNARE proteins PEN1 syntaxin, SNAP33 and endomembrane-resident VAMP721/722. Continuous movement of functional GFP-VAMP722 to and from the plasma membrane in non-stimulated cells reflects the second proposed function of VAMP721/722 in constitutive secretion during plant growth and development. Application of the bacterium-derived elicitor flg22 stabilizes VAMP721/722 that are otherwise constitutively degraded via the 26S proteasome pathway. Depletion of VAMP721/722 levels by reducing VAMP721/722 gene dosage enhances flg22-induced seedling growth inhibition in spite of elevated VAMP721/722 abundance. We therefore propose that plants prioritize the deployment of the corresponding secretory pathway for defense over plant growth. Interstingly, VAMP721/722 specifically interact in vitro and in vivo with the plasma membrane syntaxin SYP132 that is required for plant growth and resistance to bacteria. This suggests that the plant growth/immunity-involved VAMP721/722 form SNARE complexes with multiple plasma membrane syntaxins to discharge cue-dependent cargo molecules.","author":[{"dropping-particle":"","family":"Yun","given":"Hye Sup","non-dropping-particle":"","parse-names":false,"suffix":""},{"dropping-particle":"","family":"Kwaaitaal","given":"Mark","non-dropping-particle":"","parse-names":false,"suffix":""},{"dropping-particle":"","family":"Kato","given":"Naohiro","non-dropping-particle":"","parse-names":false,"suffix":""},{"dropping-particle":"","family":"Yi","given":"Changhyun","non-dropping-particle":"","parse-names":false,"suffix":""},{"dropping-particle":"","family":"Park","given":"Sohyeon","non-dropping-particle":"","parse-names":false,"suffix":""},{"dropping-particle":"","family":"Sato","given":"Masa H.","non-dropping-particle":"","parse-names":false,"suffix":""},{"dropping-particle":"","family":"Schulze-Lefert","given":"Paul","non-dropping-particle":"","parse-names":false,"suffix":""},{"dropping-particle":"","family":"Kwon","given":"Chian","non-dropping-particle":"","parse-names":false,"suffix":""}],"container-title":"Molecules and Cells","id":"ITEM-1","issued":{"date-parts":[["2013"]]},"page":"1-8","title":"Requirement of vesicle-associated membrane protein 721 and 722 for sustained growth during immune responses in Arabidopsis","type":"article-journal"},"uris":["http://www.mendeley.com/documents/?uuid=d05a2941-0798-4a77-9e0c-38c6cc2bfeed"]}],"mendeley":{"formattedCitation":"(Yun et al., 2013)","plainTextFormattedCitation":"(Yun et al., 2013)","previouslyFormattedCitation":"(Yun et al., 2013)"},"properties":{"noteIndex":0},"schema":"https://github.com/citation-style-language/schema/raw/master/csl-citation.json"}</w:instrText>
            </w:r>
            <w:r>
              <w:rPr>
                <w:sz w:val="14"/>
                <w:szCs w:val="16"/>
              </w:rPr>
              <w:fldChar w:fldCharType="separate"/>
            </w:r>
            <w:r w:rsidRPr="00E67500">
              <w:rPr>
                <w:noProof/>
                <w:sz w:val="14"/>
                <w:szCs w:val="16"/>
              </w:rPr>
              <w:t>(Yun et al., 2013)</w:t>
            </w:r>
            <w:r>
              <w:rPr>
                <w:sz w:val="14"/>
                <w:szCs w:val="16"/>
              </w:rPr>
              <w:fldChar w:fldCharType="end"/>
            </w:r>
          </w:p>
        </w:tc>
      </w:tr>
      <w:tr w:rsidR="001B3AFC" w:rsidRPr="002815CC" w14:paraId="289BC388" w14:textId="77777777" w:rsidTr="00515216">
        <w:trPr>
          <w:trHeight w:val="20"/>
        </w:trPr>
        <w:tc>
          <w:tcPr>
            <w:tcW w:w="1242" w:type="dxa"/>
            <w:vMerge/>
            <w:tcBorders>
              <w:left w:val="nil"/>
              <w:right w:val="nil"/>
            </w:tcBorders>
            <w:shd w:val="clear" w:color="auto" w:fill="auto"/>
          </w:tcPr>
          <w:p w14:paraId="089ACF4D" w14:textId="77777777" w:rsidR="001B3AFC" w:rsidRPr="002815CC" w:rsidRDefault="001B3AFC" w:rsidP="00515216">
            <w:pPr>
              <w:pStyle w:val="NoSpacing"/>
              <w:jc w:val="both"/>
              <w:rPr>
                <w:sz w:val="14"/>
                <w:szCs w:val="16"/>
              </w:rPr>
            </w:pPr>
          </w:p>
        </w:tc>
        <w:tc>
          <w:tcPr>
            <w:tcW w:w="1560" w:type="dxa"/>
            <w:gridSpan w:val="2"/>
            <w:vMerge/>
            <w:tcBorders>
              <w:left w:val="nil"/>
              <w:bottom w:val="single" w:sz="4" w:space="0" w:color="auto"/>
              <w:right w:val="nil"/>
            </w:tcBorders>
            <w:shd w:val="clear" w:color="auto" w:fill="auto"/>
          </w:tcPr>
          <w:p w14:paraId="360F6ECD" w14:textId="77777777" w:rsidR="001B3AFC" w:rsidRPr="002815CC" w:rsidRDefault="001B3AFC" w:rsidP="00515216">
            <w:pPr>
              <w:pStyle w:val="NoSpacing"/>
              <w:jc w:val="both"/>
              <w:rPr>
                <w:sz w:val="14"/>
                <w:szCs w:val="16"/>
              </w:rPr>
            </w:pPr>
          </w:p>
        </w:tc>
        <w:tc>
          <w:tcPr>
            <w:tcW w:w="1167" w:type="dxa"/>
            <w:vMerge/>
            <w:tcBorders>
              <w:left w:val="nil"/>
              <w:bottom w:val="single" w:sz="4" w:space="0" w:color="auto"/>
              <w:right w:val="nil"/>
            </w:tcBorders>
            <w:shd w:val="clear" w:color="auto" w:fill="auto"/>
          </w:tcPr>
          <w:p w14:paraId="091A804C" w14:textId="77777777" w:rsidR="001B3AFC" w:rsidRPr="002815CC" w:rsidRDefault="001B3AFC" w:rsidP="00515216">
            <w:pPr>
              <w:pStyle w:val="NoSpacing"/>
              <w:jc w:val="both"/>
              <w:rPr>
                <w:sz w:val="14"/>
                <w:szCs w:val="16"/>
              </w:rPr>
            </w:pPr>
          </w:p>
        </w:tc>
        <w:tc>
          <w:tcPr>
            <w:tcW w:w="1418" w:type="dxa"/>
            <w:gridSpan w:val="2"/>
            <w:vMerge/>
            <w:tcBorders>
              <w:left w:val="nil"/>
              <w:bottom w:val="single" w:sz="4" w:space="0" w:color="auto"/>
              <w:right w:val="nil"/>
            </w:tcBorders>
            <w:shd w:val="clear" w:color="auto" w:fill="auto"/>
          </w:tcPr>
          <w:p w14:paraId="58B8A492" w14:textId="77777777" w:rsidR="001B3AFC" w:rsidRPr="002815CC" w:rsidRDefault="001B3AFC" w:rsidP="00515216">
            <w:pPr>
              <w:pStyle w:val="NoSpacing"/>
              <w:jc w:val="both"/>
              <w:rPr>
                <w:sz w:val="14"/>
                <w:szCs w:val="16"/>
              </w:rPr>
            </w:pPr>
          </w:p>
        </w:tc>
        <w:tc>
          <w:tcPr>
            <w:tcW w:w="1276" w:type="dxa"/>
            <w:tcBorders>
              <w:top w:val="nil"/>
              <w:left w:val="nil"/>
              <w:bottom w:val="single" w:sz="4" w:space="0" w:color="auto"/>
              <w:right w:val="nil"/>
            </w:tcBorders>
            <w:shd w:val="clear" w:color="auto" w:fill="auto"/>
          </w:tcPr>
          <w:p w14:paraId="3E8E6163" w14:textId="77777777" w:rsidR="001B3AFC" w:rsidRPr="002815CC" w:rsidRDefault="001B3AFC" w:rsidP="00515216">
            <w:pPr>
              <w:pStyle w:val="NoSpacing"/>
              <w:jc w:val="both"/>
              <w:rPr>
                <w:sz w:val="14"/>
                <w:szCs w:val="16"/>
              </w:rPr>
            </w:pPr>
            <w:r w:rsidRPr="002815CC">
              <w:rPr>
                <w:sz w:val="14"/>
                <w:szCs w:val="16"/>
              </w:rPr>
              <w:t>split luciferase</w:t>
            </w:r>
          </w:p>
        </w:tc>
        <w:tc>
          <w:tcPr>
            <w:tcW w:w="2162" w:type="dxa"/>
            <w:tcBorders>
              <w:top w:val="nil"/>
              <w:left w:val="nil"/>
              <w:bottom w:val="single" w:sz="4" w:space="0" w:color="auto"/>
              <w:right w:val="nil"/>
            </w:tcBorders>
            <w:shd w:val="clear" w:color="auto" w:fill="auto"/>
          </w:tcPr>
          <w:p w14:paraId="773ADF77" w14:textId="77777777" w:rsidR="001B3AFC" w:rsidRPr="002815CC" w:rsidRDefault="001B3AFC" w:rsidP="00515216">
            <w:pPr>
              <w:pStyle w:val="NoSpacing"/>
              <w:jc w:val="both"/>
              <w:rPr>
                <w:sz w:val="14"/>
                <w:szCs w:val="16"/>
              </w:rPr>
            </w:pPr>
            <w:r>
              <w:rPr>
                <w:sz w:val="14"/>
                <w:szCs w:val="16"/>
              </w:rPr>
              <w:fldChar w:fldCharType="begin" w:fldLock="1"/>
            </w:r>
            <w:r>
              <w:rPr>
                <w:sz w:val="14"/>
                <w:szCs w:val="16"/>
              </w:rPr>
              <w:instrText>ADDIN CSL_CITATION {"citationItems":[{"id":"ITEM-1","itemData":{"DOI":"10.1093/pcp/pcu048","ISBN":"1471-9053 (Electronic)\\r0032-0781 (Linking)","ISSN":"14719053","PMID":"24642714","abstract":"Root hairs are fast-growing tubular protrusions on root epidermal cells that play important roles in water and nutrient uptake in plants. The tip-focused polarized growth of root hairs is accomplished by the secretion of newly synthesized materials to the tip via the polarized membrane trafficking mechanism. Here, we report the function of two different types of plasma membrane (PM) Qa-SNAREs (soluble N-ethylmaleimide-sensitive factor attachment protein receptors), SYP123 and SYP132, in the growth of root hair in Arabidopsis. We found that SYP123, but not SYP132, localizes in the tip region of root hairs by recycling between the brefeldin A (BFA)-sensitive endosomes and the PM of the expanding tip in an F-actin-dependent manner. The vesicle-associated membrane proteins VAMP721/722/724 also exhibited tip-focused localization in root hairs and formed ternary SNARE complexes with both SYP123 and SYP132. These results demonstrate that SYP123 and SYP132 act in a coordinated fashion to mediate tip-focused membrane trafficking for root hair tip growth.","author":[{"dropping-particle":"","family":"Ichikawa","given":"Mie","non-dropping-particle":"","parse-names":false,"suffix":""},{"dropping-particle":"","family":"Hirano","given":"Tomoko","non-dropping-particle":"","parse-names":false,"suffix":""},{"dropping-particle":"","family":"Enami","given":"Kazuhiko","non-dropping-particle":"","parse-names":false,"suffix":""},{"dropping-particle":"","family":"Fuselier","given":"Taylor","non-dropping-particle":"","parse-names":false,"suffix":""},{"dropping-particle":"","family":"Kato","given":"Naohiro","non-dropping-particle":"","parse-names":false,"suffix":""},{"dropping-particle":"","family":"Kwon","given":"Chian","non-dropping-particle":"","parse-names":false,"suffix":""},{"dropping-particle":"","family":"Voigt","given":"Boris","non-dropping-particle":"","parse-names":false,"suffix":""},{"dropping-particle":"","family":"Schulze-Lefert","given":"Paul","non-dropping-particle":"","parse-names":false,"suffix":""},{"dropping-particle":"","family":"Baluška","given":"František","non-dropping-particle":"","parse-names":false,"suffix":""},{"dropping-particle":"","family":"Sato","given":"Masa H.","non-dropping-particle":"","parse-names":false,"suffix":""}],"container-title":"Plant and Cell Physiology","id":"ITEM-1","issue":"4","issued":{"date-parts":[["2014"]]},"page":"790-800","title":"Syntaxin of plant proteins SYP123 and SYP132 mediate root hair tip growth in arabidopsis thaliana","type":"article-journal","volume":"55"},"uris":["http://www.mendeley.com/documents/?uuid=5d857d3a-68e6-4631-ad4c-445266ced161"]}],"mendeley":{"formattedCitation":"(Ichikawa et al., 2014)","plainTextFormattedCitation":"(Ichikawa et al., 2014)","previouslyFormattedCitation":"(Ichikawa et al., 2014)"},"properties":{"noteIndex":0},"schema":"https://github.com/citation-style-language/schema/raw/master/csl-citation.json"}</w:instrText>
            </w:r>
            <w:r>
              <w:rPr>
                <w:sz w:val="14"/>
                <w:szCs w:val="16"/>
              </w:rPr>
              <w:fldChar w:fldCharType="separate"/>
            </w:r>
            <w:r w:rsidRPr="00E67500">
              <w:rPr>
                <w:noProof/>
                <w:sz w:val="14"/>
                <w:szCs w:val="16"/>
              </w:rPr>
              <w:t>(Ichikawa et al., 2014)</w:t>
            </w:r>
            <w:r>
              <w:rPr>
                <w:sz w:val="14"/>
                <w:szCs w:val="16"/>
              </w:rPr>
              <w:fldChar w:fldCharType="end"/>
            </w:r>
          </w:p>
        </w:tc>
      </w:tr>
      <w:tr w:rsidR="001B3AFC" w:rsidRPr="002815CC" w14:paraId="04324894" w14:textId="77777777" w:rsidTr="00515216">
        <w:trPr>
          <w:trHeight w:val="20"/>
        </w:trPr>
        <w:tc>
          <w:tcPr>
            <w:tcW w:w="1242" w:type="dxa"/>
            <w:vMerge/>
            <w:tcBorders>
              <w:left w:val="nil"/>
              <w:bottom w:val="single" w:sz="4" w:space="0" w:color="auto"/>
              <w:right w:val="nil"/>
            </w:tcBorders>
            <w:shd w:val="clear" w:color="auto" w:fill="auto"/>
          </w:tcPr>
          <w:p w14:paraId="7AA8F013" w14:textId="77777777" w:rsidR="001B3AFC" w:rsidRPr="002815CC" w:rsidRDefault="001B3AFC" w:rsidP="00515216">
            <w:pPr>
              <w:pStyle w:val="NoSpacing"/>
              <w:jc w:val="both"/>
              <w:rPr>
                <w:sz w:val="14"/>
                <w:szCs w:val="16"/>
              </w:rPr>
            </w:pPr>
          </w:p>
        </w:tc>
        <w:tc>
          <w:tcPr>
            <w:tcW w:w="1560" w:type="dxa"/>
            <w:gridSpan w:val="2"/>
            <w:tcBorders>
              <w:top w:val="single" w:sz="4" w:space="0" w:color="auto"/>
              <w:left w:val="nil"/>
              <w:bottom w:val="single" w:sz="4" w:space="0" w:color="auto"/>
              <w:right w:val="nil"/>
            </w:tcBorders>
            <w:shd w:val="clear" w:color="auto" w:fill="auto"/>
          </w:tcPr>
          <w:p w14:paraId="3E0F0788" w14:textId="77777777" w:rsidR="001B3AFC" w:rsidRPr="002815CC" w:rsidRDefault="001B3AFC" w:rsidP="00515216">
            <w:pPr>
              <w:pStyle w:val="NoSpacing"/>
              <w:jc w:val="both"/>
              <w:rPr>
                <w:sz w:val="14"/>
                <w:szCs w:val="16"/>
              </w:rPr>
            </w:pPr>
            <w:r w:rsidRPr="002815CC">
              <w:rPr>
                <w:sz w:val="14"/>
                <w:szCs w:val="16"/>
              </w:rPr>
              <w:t>VAMP72IV</w:t>
            </w:r>
          </w:p>
        </w:tc>
        <w:tc>
          <w:tcPr>
            <w:tcW w:w="1167" w:type="dxa"/>
            <w:tcBorders>
              <w:top w:val="single" w:sz="4" w:space="0" w:color="auto"/>
              <w:left w:val="nil"/>
              <w:bottom w:val="single" w:sz="4" w:space="0" w:color="auto"/>
              <w:right w:val="nil"/>
            </w:tcBorders>
            <w:shd w:val="clear" w:color="auto" w:fill="auto"/>
          </w:tcPr>
          <w:p w14:paraId="61A0C558" w14:textId="77777777" w:rsidR="001B3AFC" w:rsidRPr="002815CC" w:rsidRDefault="001B3AFC" w:rsidP="00515216">
            <w:pPr>
              <w:pStyle w:val="NoSpacing"/>
              <w:jc w:val="both"/>
              <w:rPr>
                <w:sz w:val="14"/>
                <w:szCs w:val="16"/>
              </w:rPr>
            </w:pPr>
          </w:p>
        </w:tc>
        <w:tc>
          <w:tcPr>
            <w:tcW w:w="1418" w:type="dxa"/>
            <w:gridSpan w:val="2"/>
            <w:tcBorders>
              <w:top w:val="single" w:sz="4" w:space="0" w:color="auto"/>
              <w:left w:val="nil"/>
              <w:bottom w:val="single" w:sz="4" w:space="0" w:color="auto"/>
              <w:right w:val="nil"/>
            </w:tcBorders>
            <w:shd w:val="clear" w:color="auto" w:fill="auto"/>
          </w:tcPr>
          <w:p w14:paraId="6FBFB21C" w14:textId="77777777" w:rsidR="001B3AFC" w:rsidRPr="002815CC" w:rsidRDefault="001B3AFC" w:rsidP="00515216">
            <w:pPr>
              <w:pStyle w:val="NoSpacing"/>
              <w:jc w:val="both"/>
              <w:rPr>
                <w:sz w:val="14"/>
                <w:szCs w:val="16"/>
              </w:rPr>
            </w:pPr>
            <w:r w:rsidRPr="002815CC">
              <w:rPr>
                <w:sz w:val="14"/>
                <w:szCs w:val="16"/>
              </w:rPr>
              <w:t>AtVAMP724</w:t>
            </w:r>
          </w:p>
        </w:tc>
        <w:tc>
          <w:tcPr>
            <w:tcW w:w="1276" w:type="dxa"/>
            <w:tcBorders>
              <w:top w:val="single" w:sz="4" w:space="0" w:color="auto"/>
              <w:left w:val="nil"/>
              <w:bottom w:val="single" w:sz="4" w:space="0" w:color="auto"/>
              <w:right w:val="nil"/>
            </w:tcBorders>
            <w:shd w:val="clear" w:color="auto" w:fill="auto"/>
          </w:tcPr>
          <w:p w14:paraId="2820C0A7" w14:textId="77777777" w:rsidR="001B3AFC" w:rsidRPr="002815CC" w:rsidRDefault="001B3AFC" w:rsidP="00515216">
            <w:pPr>
              <w:pStyle w:val="NoSpacing"/>
              <w:jc w:val="both"/>
              <w:rPr>
                <w:sz w:val="14"/>
                <w:szCs w:val="16"/>
              </w:rPr>
            </w:pPr>
            <w:r w:rsidRPr="002815CC">
              <w:rPr>
                <w:sz w:val="14"/>
                <w:szCs w:val="16"/>
              </w:rPr>
              <w:t>split luciferase</w:t>
            </w:r>
          </w:p>
        </w:tc>
        <w:tc>
          <w:tcPr>
            <w:tcW w:w="2162" w:type="dxa"/>
            <w:tcBorders>
              <w:top w:val="single" w:sz="4" w:space="0" w:color="auto"/>
              <w:left w:val="nil"/>
              <w:bottom w:val="single" w:sz="4" w:space="0" w:color="auto"/>
              <w:right w:val="nil"/>
            </w:tcBorders>
            <w:shd w:val="clear" w:color="auto" w:fill="auto"/>
          </w:tcPr>
          <w:p w14:paraId="0B8B907A" w14:textId="77777777" w:rsidR="001B3AFC" w:rsidRPr="002815CC" w:rsidRDefault="001B3AFC" w:rsidP="00515216">
            <w:pPr>
              <w:pStyle w:val="NoSpacing"/>
              <w:jc w:val="both"/>
              <w:rPr>
                <w:sz w:val="14"/>
                <w:szCs w:val="16"/>
              </w:rPr>
            </w:pPr>
            <w:r>
              <w:rPr>
                <w:sz w:val="14"/>
                <w:szCs w:val="16"/>
              </w:rPr>
              <w:fldChar w:fldCharType="begin" w:fldLock="1"/>
            </w:r>
            <w:r>
              <w:rPr>
                <w:sz w:val="14"/>
                <w:szCs w:val="16"/>
              </w:rPr>
              <w:instrText>ADDIN CSL_CITATION {"citationItems":[{"id":"ITEM-1","itemData":{"DOI":"10.1093/pcp/pcu048","ISBN":"1471-9053 (Electronic)\\r0032-0781 (Linking)","ISSN":"14719053","PMID":"24642714","abstract":"Root hairs are fast-growing tubular protrusions on root epidermal cells that play important roles in water and nutrient uptake in plants. The tip-focused polarized growth of root hairs is accomplished by the secretion of newly synthesized materials to the tip via the polarized membrane trafficking mechanism. Here, we report the function of two different types of plasma membrane (PM) Qa-SNAREs (soluble N-ethylmaleimide-sensitive factor attachment protein receptors), SYP123 and SYP132, in the growth of root hair in Arabidopsis. We found that SYP123, but not SYP132, localizes in the tip region of root hairs by recycling between the brefeldin A (BFA)-sensitive endosomes and the PM of the expanding tip in an F-actin-dependent manner. The vesicle-associated membrane proteins VAMP721/722/724 also exhibited tip-focused localization in root hairs and formed ternary SNARE complexes with both SYP123 and SYP132. These results demonstrate that SYP123 and SYP132 act in a coordinated fashion to mediate tip-focused membrane trafficking for root hair tip growth.","author":[{"dropping-particle":"","family":"Ichikawa","given":"Mie","non-dropping-particle":"","parse-names":false,"suffix":""},{"dropping-particle":"","family":"Hirano","given":"Tomoko","non-dropping-particle":"","parse-names":false,"suffix":""},{"dropping-particle":"","family":"Enami","given":"Kazuhiko","non-dropping-particle":"","parse-names":false,"suffix":""},{"dropping-particle":"","family":"Fuselier","given":"Taylor","non-dropping-particle":"","parse-names":false,"suffix":""},{"dropping-particle":"","family":"Kato","given":"Naohiro","non-dropping-particle":"","parse-names":false,"suffix":""},{"dropping-particle":"","family":"Kwon","given":"Chian","non-dropping-particle":"","parse-names":false,"suffix":""},{"dropping-particle":"","family":"Voigt","given":"Boris","non-dropping-particle":"","parse-names":false,"suffix":""},{"dropping-particle":"","family":"Schulze-Lefert","given":"Paul","non-dropping-particle":"","parse-names":false,"suffix":""},{"dropping-particle":"","family":"Baluška","given":"František","non-dropping-particle":"","parse-names":false,"suffix":""},{"dropping-particle":"","family":"Sato","given":"Masa H.","non-dropping-particle":"","parse-names":false,"suffix":""}],"container-title":"Plant and Cell Physiology","id":"ITEM-1","issue":"4","issued":{"date-parts":[["2014"]]},"page":"790-800","title":"Syntaxin of plant proteins SYP123 and SYP132 mediate root hair tip growth in arabidopsis thaliana","type":"article-journal","volume":"55"},"uris":["http://www.mendeley.com/documents/?uuid=5d857d3a-68e6-4631-ad4c-445266ced161"]}],"mendeley":{"formattedCitation":"(Ichikawa et al., 2014)","plainTextFormattedCitation":"(Ichikawa et al., 2014)","previouslyFormattedCitation":"(Ichikawa et al., 2014)"},"properties":{"noteIndex":0},"schema":"https://github.com/citation-style-language/schema/raw/master/csl-citation.json"}</w:instrText>
            </w:r>
            <w:r>
              <w:rPr>
                <w:sz w:val="14"/>
                <w:szCs w:val="16"/>
              </w:rPr>
              <w:fldChar w:fldCharType="separate"/>
            </w:r>
            <w:r w:rsidRPr="00E67500">
              <w:rPr>
                <w:noProof/>
                <w:sz w:val="14"/>
                <w:szCs w:val="16"/>
              </w:rPr>
              <w:t>(Ichikawa et al., 2014)</w:t>
            </w:r>
            <w:r>
              <w:rPr>
                <w:sz w:val="14"/>
                <w:szCs w:val="16"/>
              </w:rPr>
              <w:fldChar w:fldCharType="end"/>
            </w:r>
          </w:p>
        </w:tc>
      </w:tr>
      <w:tr w:rsidR="001B3AFC" w:rsidRPr="002815CC" w14:paraId="31B29DDE" w14:textId="77777777" w:rsidTr="00515216">
        <w:trPr>
          <w:trHeight w:val="20"/>
        </w:trPr>
        <w:tc>
          <w:tcPr>
            <w:tcW w:w="8825" w:type="dxa"/>
            <w:gridSpan w:val="8"/>
            <w:tcBorders>
              <w:left w:val="nil"/>
              <w:bottom w:val="single" w:sz="4" w:space="0" w:color="auto"/>
              <w:right w:val="nil"/>
            </w:tcBorders>
            <w:shd w:val="pct10" w:color="auto" w:fill="auto"/>
          </w:tcPr>
          <w:p w14:paraId="18170858" w14:textId="77777777" w:rsidR="001B3AFC" w:rsidRPr="002815CC" w:rsidRDefault="001B3AFC" w:rsidP="00515216">
            <w:pPr>
              <w:pStyle w:val="NoSpacing"/>
              <w:jc w:val="both"/>
              <w:rPr>
                <w:b/>
                <w:sz w:val="14"/>
                <w:szCs w:val="16"/>
              </w:rPr>
            </w:pPr>
          </w:p>
          <w:p w14:paraId="46A7E2BF" w14:textId="77777777" w:rsidR="001B3AFC" w:rsidRPr="002815CC" w:rsidRDefault="001B3AFC" w:rsidP="00515216">
            <w:pPr>
              <w:pStyle w:val="NoSpacing"/>
              <w:jc w:val="both"/>
              <w:rPr>
                <w:b/>
                <w:sz w:val="14"/>
                <w:szCs w:val="16"/>
              </w:rPr>
            </w:pPr>
            <w:r w:rsidRPr="002815CC">
              <w:rPr>
                <w:b/>
                <w:sz w:val="14"/>
                <w:szCs w:val="16"/>
              </w:rPr>
              <w:t>Absence of interaction found between exocytosis related SNAREs</w:t>
            </w:r>
          </w:p>
        </w:tc>
      </w:tr>
      <w:tr w:rsidR="001B3AFC" w:rsidRPr="002815CC" w14:paraId="74EA7D64" w14:textId="77777777" w:rsidTr="00515216">
        <w:trPr>
          <w:trHeight w:val="20"/>
        </w:trPr>
        <w:tc>
          <w:tcPr>
            <w:tcW w:w="1242" w:type="dxa"/>
            <w:tcBorders>
              <w:top w:val="single" w:sz="4" w:space="0" w:color="auto"/>
              <w:left w:val="nil"/>
              <w:right w:val="nil"/>
            </w:tcBorders>
            <w:shd w:val="clear" w:color="auto" w:fill="auto"/>
          </w:tcPr>
          <w:p w14:paraId="2C5F1761" w14:textId="77777777" w:rsidR="001B3AFC" w:rsidRPr="002815CC" w:rsidRDefault="001B3AFC" w:rsidP="00515216">
            <w:pPr>
              <w:pStyle w:val="NoSpacing"/>
              <w:jc w:val="both"/>
              <w:rPr>
                <w:b/>
                <w:sz w:val="14"/>
                <w:szCs w:val="16"/>
              </w:rPr>
            </w:pPr>
            <w:r w:rsidRPr="002815CC">
              <w:rPr>
                <w:b/>
                <w:sz w:val="14"/>
                <w:szCs w:val="16"/>
              </w:rPr>
              <w:br w:type="column"/>
            </w:r>
            <w:r w:rsidRPr="002815CC">
              <w:rPr>
                <w:b/>
                <w:sz w:val="14"/>
                <w:szCs w:val="16"/>
              </w:rPr>
              <w:br w:type="column"/>
            </w:r>
            <w:proofErr w:type="spellStart"/>
            <w:r w:rsidRPr="002815CC">
              <w:rPr>
                <w:b/>
                <w:sz w:val="14"/>
                <w:szCs w:val="16"/>
              </w:rPr>
              <w:t>Syntaxin</w:t>
            </w:r>
            <w:proofErr w:type="spellEnd"/>
            <w:r w:rsidRPr="002815CC">
              <w:rPr>
                <w:b/>
                <w:sz w:val="14"/>
                <w:szCs w:val="16"/>
              </w:rPr>
              <w:t xml:space="preserve"> </w:t>
            </w:r>
            <w:proofErr w:type="spellStart"/>
            <w:r w:rsidRPr="002815CC">
              <w:rPr>
                <w:b/>
                <w:sz w:val="14"/>
                <w:szCs w:val="16"/>
              </w:rPr>
              <w:t>orthogroup</w:t>
            </w:r>
            <w:proofErr w:type="spellEnd"/>
          </w:p>
        </w:tc>
        <w:tc>
          <w:tcPr>
            <w:tcW w:w="1452" w:type="dxa"/>
            <w:tcBorders>
              <w:top w:val="single" w:sz="4" w:space="0" w:color="auto"/>
              <w:left w:val="nil"/>
              <w:bottom w:val="single" w:sz="4" w:space="0" w:color="auto"/>
              <w:right w:val="nil"/>
            </w:tcBorders>
            <w:shd w:val="clear" w:color="auto" w:fill="auto"/>
          </w:tcPr>
          <w:p w14:paraId="5710B3E3" w14:textId="77777777" w:rsidR="001B3AFC" w:rsidRPr="002815CC" w:rsidRDefault="001B3AFC" w:rsidP="00515216">
            <w:pPr>
              <w:pStyle w:val="NoSpacing"/>
              <w:jc w:val="both"/>
              <w:rPr>
                <w:b/>
                <w:sz w:val="14"/>
                <w:szCs w:val="16"/>
              </w:rPr>
            </w:pPr>
            <w:r w:rsidRPr="002815CC">
              <w:rPr>
                <w:b/>
                <w:sz w:val="14"/>
                <w:szCs w:val="16"/>
              </w:rPr>
              <w:t>VAMP</w:t>
            </w:r>
          </w:p>
          <w:p w14:paraId="36D1E887" w14:textId="77777777" w:rsidR="001B3AFC" w:rsidRPr="002815CC" w:rsidRDefault="001B3AFC" w:rsidP="00515216">
            <w:pPr>
              <w:pStyle w:val="NoSpacing"/>
              <w:jc w:val="both"/>
              <w:rPr>
                <w:b/>
                <w:sz w:val="14"/>
                <w:szCs w:val="16"/>
                <w:vertAlign w:val="superscript"/>
              </w:rPr>
            </w:pPr>
            <w:proofErr w:type="spellStart"/>
            <w:r w:rsidRPr="002815CC">
              <w:rPr>
                <w:b/>
                <w:sz w:val="14"/>
                <w:szCs w:val="16"/>
              </w:rPr>
              <w:t>Orthogroup</w:t>
            </w:r>
            <w:proofErr w:type="spellEnd"/>
          </w:p>
          <w:p w14:paraId="2DD24D73" w14:textId="77777777" w:rsidR="001B3AFC" w:rsidRPr="002815CC" w:rsidRDefault="001B3AFC" w:rsidP="00515216">
            <w:pPr>
              <w:pStyle w:val="NoSpacing"/>
              <w:jc w:val="both"/>
              <w:rPr>
                <w:b/>
                <w:sz w:val="14"/>
                <w:szCs w:val="16"/>
              </w:rPr>
            </w:pPr>
          </w:p>
        </w:tc>
        <w:tc>
          <w:tcPr>
            <w:tcW w:w="1417" w:type="dxa"/>
            <w:gridSpan w:val="3"/>
            <w:tcBorders>
              <w:top w:val="single" w:sz="4" w:space="0" w:color="auto"/>
              <w:left w:val="nil"/>
              <w:bottom w:val="single" w:sz="4" w:space="0" w:color="auto"/>
              <w:right w:val="nil"/>
            </w:tcBorders>
            <w:shd w:val="clear" w:color="auto" w:fill="auto"/>
          </w:tcPr>
          <w:p w14:paraId="77F1F669" w14:textId="77777777" w:rsidR="001B3AFC" w:rsidRPr="002815CC" w:rsidRDefault="001B3AFC" w:rsidP="00515216">
            <w:pPr>
              <w:pStyle w:val="NoSpacing"/>
              <w:jc w:val="both"/>
              <w:rPr>
                <w:b/>
                <w:sz w:val="14"/>
                <w:szCs w:val="16"/>
              </w:rPr>
            </w:pPr>
            <w:proofErr w:type="spellStart"/>
            <w:r w:rsidRPr="002815CC">
              <w:rPr>
                <w:b/>
                <w:sz w:val="14"/>
                <w:szCs w:val="16"/>
              </w:rPr>
              <w:t>Syntaxin</w:t>
            </w:r>
            <w:proofErr w:type="spellEnd"/>
          </w:p>
        </w:tc>
        <w:tc>
          <w:tcPr>
            <w:tcW w:w="1276" w:type="dxa"/>
            <w:tcBorders>
              <w:top w:val="single" w:sz="4" w:space="0" w:color="auto"/>
              <w:left w:val="nil"/>
              <w:bottom w:val="single" w:sz="4" w:space="0" w:color="auto"/>
              <w:right w:val="nil"/>
            </w:tcBorders>
            <w:shd w:val="clear" w:color="auto" w:fill="auto"/>
          </w:tcPr>
          <w:p w14:paraId="18871ED8" w14:textId="77777777" w:rsidR="001B3AFC" w:rsidRPr="002815CC" w:rsidRDefault="001B3AFC" w:rsidP="00515216">
            <w:pPr>
              <w:pStyle w:val="NoSpacing"/>
              <w:jc w:val="both"/>
              <w:rPr>
                <w:b/>
                <w:sz w:val="14"/>
                <w:szCs w:val="16"/>
              </w:rPr>
            </w:pPr>
            <w:r w:rsidRPr="002815CC">
              <w:rPr>
                <w:b/>
                <w:sz w:val="14"/>
                <w:szCs w:val="16"/>
              </w:rPr>
              <w:t>VAMP</w:t>
            </w:r>
          </w:p>
        </w:tc>
        <w:tc>
          <w:tcPr>
            <w:tcW w:w="1276" w:type="dxa"/>
            <w:tcBorders>
              <w:top w:val="single" w:sz="4" w:space="0" w:color="auto"/>
              <w:left w:val="nil"/>
              <w:bottom w:val="single" w:sz="4" w:space="0" w:color="auto"/>
              <w:right w:val="nil"/>
            </w:tcBorders>
            <w:shd w:val="clear" w:color="auto" w:fill="auto"/>
          </w:tcPr>
          <w:p w14:paraId="12B71253" w14:textId="77777777" w:rsidR="001B3AFC" w:rsidRPr="002815CC" w:rsidRDefault="001B3AFC" w:rsidP="00515216">
            <w:pPr>
              <w:pStyle w:val="NoSpacing"/>
              <w:jc w:val="both"/>
              <w:rPr>
                <w:b/>
                <w:sz w:val="14"/>
                <w:szCs w:val="16"/>
              </w:rPr>
            </w:pPr>
            <w:r w:rsidRPr="002815CC">
              <w:rPr>
                <w:b/>
                <w:sz w:val="14"/>
                <w:szCs w:val="16"/>
              </w:rPr>
              <w:t>Assay</w:t>
            </w:r>
          </w:p>
        </w:tc>
        <w:tc>
          <w:tcPr>
            <w:tcW w:w="2162" w:type="dxa"/>
            <w:tcBorders>
              <w:top w:val="single" w:sz="4" w:space="0" w:color="auto"/>
              <w:left w:val="nil"/>
              <w:bottom w:val="single" w:sz="4" w:space="0" w:color="auto"/>
              <w:right w:val="nil"/>
            </w:tcBorders>
            <w:shd w:val="clear" w:color="auto" w:fill="auto"/>
          </w:tcPr>
          <w:p w14:paraId="1446A311" w14:textId="77777777" w:rsidR="001B3AFC" w:rsidRPr="002815CC" w:rsidRDefault="001B3AFC" w:rsidP="00515216">
            <w:pPr>
              <w:pStyle w:val="NoSpacing"/>
              <w:jc w:val="both"/>
              <w:rPr>
                <w:b/>
                <w:sz w:val="14"/>
                <w:szCs w:val="16"/>
                <w:lang w:val="en-US"/>
              </w:rPr>
            </w:pPr>
            <w:r w:rsidRPr="002815CC">
              <w:rPr>
                <w:b/>
                <w:sz w:val="14"/>
                <w:szCs w:val="16"/>
              </w:rPr>
              <w:t>Reference</w:t>
            </w:r>
          </w:p>
        </w:tc>
      </w:tr>
      <w:tr w:rsidR="001B3AFC" w:rsidRPr="00AA2BB2" w14:paraId="41CC3D2F" w14:textId="77777777" w:rsidTr="00515216">
        <w:trPr>
          <w:trHeight w:val="20"/>
        </w:trPr>
        <w:tc>
          <w:tcPr>
            <w:tcW w:w="1242" w:type="dxa"/>
            <w:tcBorders>
              <w:top w:val="single" w:sz="4" w:space="0" w:color="auto"/>
              <w:left w:val="nil"/>
              <w:right w:val="nil"/>
            </w:tcBorders>
            <w:shd w:val="clear" w:color="auto" w:fill="auto"/>
          </w:tcPr>
          <w:p w14:paraId="62D96AB3" w14:textId="77777777" w:rsidR="001B3AFC" w:rsidRPr="002815CC" w:rsidRDefault="001B3AFC" w:rsidP="00515216">
            <w:pPr>
              <w:pStyle w:val="NoSpacing"/>
              <w:jc w:val="both"/>
              <w:rPr>
                <w:sz w:val="14"/>
                <w:szCs w:val="16"/>
              </w:rPr>
            </w:pPr>
            <w:r w:rsidRPr="002815CC">
              <w:rPr>
                <w:sz w:val="14"/>
                <w:szCs w:val="16"/>
              </w:rPr>
              <w:t>SYP11I</w:t>
            </w:r>
          </w:p>
        </w:tc>
        <w:tc>
          <w:tcPr>
            <w:tcW w:w="1452" w:type="dxa"/>
            <w:tcBorders>
              <w:top w:val="single" w:sz="4" w:space="0" w:color="auto"/>
              <w:left w:val="nil"/>
              <w:bottom w:val="single" w:sz="4" w:space="0" w:color="auto"/>
              <w:right w:val="nil"/>
            </w:tcBorders>
            <w:shd w:val="clear" w:color="auto" w:fill="auto"/>
          </w:tcPr>
          <w:p w14:paraId="49DF3B28" w14:textId="77777777" w:rsidR="001B3AFC" w:rsidRPr="002815CC" w:rsidRDefault="001B3AFC" w:rsidP="00515216">
            <w:pPr>
              <w:pStyle w:val="NoSpacing"/>
              <w:jc w:val="both"/>
              <w:rPr>
                <w:sz w:val="14"/>
                <w:szCs w:val="16"/>
              </w:rPr>
            </w:pPr>
            <w:r w:rsidRPr="002815CC">
              <w:rPr>
                <w:sz w:val="14"/>
                <w:szCs w:val="16"/>
              </w:rPr>
              <w:t>VAMP72VII</w:t>
            </w:r>
          </w:p>
        </w:tc>
        <w:tc>
          <w:tcPr>
            <w:tcW w:w="1417" w:type="dxa"/>
            <w:gridSpan w:val="3"/>
            <w:tcBorders>
              <w:top w:val="single" w:sz="4" w:space="0" w:color="auto"/>
              <w:left w:val="nil"/>
              <w:bottom w:val="single" w:sz="4" w:space="0" w:color="auto"/>
              <w:right w:val="nil"/>
            </w:tcBorders>
            <w:shd w:val="clear" w:color="auto" w:fill="auto"/>
          </w:tcPr>
          <w:p w14:paraId="13ED371D" w14:textId="77777777" w:rsidR="001B3AFC" w:rsidRPr="002815CC" w:rsidRDefault="001B3AFC" w:rsidP="00515216">
            <w:pPr>
              <w:pStyle w:val="NoSpacing"/>
              <w:jc w:val="both"/>
              <w:rPr>
                <w:sz w:val="14"/>
                <w:szCs w:val="16"/>
              </w:rPr>
            </w:pPr>
            <w:r w:rsidRPr="002815CC">
              <w:rPr>
                <w:sz w:val="14"/>
                <w:szCs w:val="16"/>
              </w:rPr>
              <w:t>AtSYP111</w:t>
            </w:r>
          </w:p>
        </w:tc>
        <w:tc>
          <w:tcPr>
            <w:tcW w:w="1276" w:type="dxa"/>
            <w:tcBorders>
              <w:top w:val="single" w:sz="4" w:space="0" w:color="auto"/>
              <w:left w:val="nil"/>
              <w:bottom w:val="single" w:sz="4" w:space="0" w:color="auto"/>
              <w:right w:val="nil"/>
            </w:tcBorders>
            <w:shd w:val="clear" w:color="auto" w:fill="auto"/>
          </w:tcPr>
          <w:p w14:paraId="0E681540" w14:textId="77777777" w:rsidR="001B3AFC" w:rsidRPr="002815CC" w:rsidRDefault="001B3AFC" w:rsidP="00515216">
            <w:pPr>
              <w:pStyle w:val="NoSpacing"/>
              <w:jc w:val="both"/>
              <w:rPr>
                <w:sz w:val="14"/>
                <w:szCs w:val="16"/>
              </w:rPr>
            </w:pPr>
            <w:r w:rsidRPr="002815CC">
              <w:rPr>
                <w:sz w:val="14"/>
                <w:szCs w:val="16"/>
              </w:rPr>
              <w:t>AtVAMP727</w:t>
            </w:r>
          </w:p>
        </w:tc>
        <w:tc>
          <w:tcPr>
            <w:tcW w:w="1276" w:type="dxa"/>
            <w:tcBorders>
              <w:top w:val="single" w:sz="4" w:space="0" w:color="auto"/>
              <w:left w:val="nil"/>
              <w:bottom w:val="single" w:sz="4" w:space="0" w:color="auto"/>
              <w:right w:val="nil"/>
            </w:tcBorders>
            <w:shd w:val="clear" w:color="auto" w:fill="auto"/>
          </w:tcPr>
          <w:p w14:paraId="4A03F731" w14:textId="77777777" w:rsidR="001B3AFC" w:rsidRPr="002815CC" w:rsidRDefault="001B3AFC" w:rsidP="00515216">
            <w:pPr>
              <w:pStyle w:val="NoSpacing"/>
              <w:jc w:val="both"/>
              <w:rPr>
                <w:sz w:val="14"/>
                <w:szCs w:val="16"/>
              </w:rPr>
            </w:pPr>
            <w:r w:rsidRPr="002815CC">
              <w:rPr>
                <w:sz w:val="14"/>
                <w:szCs w:val="16"/>
              </w:rPr>
              <w:t>Co-IP</w:t>
            </w:r>
          </w:p>
        </w:tc>
        <w:tc>
          <w:tcPr>
            <w:tcW w:w="2162" w:type="dxa"/>
            <w:tcBorders>
              <w:top w:val="single" w:sz="4" w:space="0" w:color="auto"/>
              <w:left w:val="nil"/>
              <w:bottom w:val="single" w:sz="4" w:space="0" w:color="auto"/>
              <w:right w:val="nil"/>
            </w:tcBorders>
            <w:shd w:val="clear" w:color="auto" w:fill="auto"/>
          </w:tcPr>
          <w:p w14:paraId="152EDC75" w14:textId="77777777" w:rsidR="001B3AFC" w:rsidRPr="00AA2BB2" w:rsidRDefault="001B3AFC" w:rsidP="00515216">
            <w:pPr>
              <w:pStyle w:val="NoSpacing"/>
              <w:jc w:val="both"/>
              <w:rPr>
                <w:sz w:val="14"/>
                <w:szCs w:val="16"/>
                <w:lang w:val="it-IT"/>
              </w:rPr>
            </w:pPr>
            <w:r>
              <w:rPr>
                <w:sz w:val="14"/>
                <w:szCs w:val="16"/>
              </w:rPr>
              <w:fldChar w:fldCharType="begin" w:fldLock="1"/>
            </w:r>
            <w:r>
              <w:rPr>
                <w:sz w:val="14"/>
                <w:szCs w:val="16"/>
              </w:rPr>
              <w:instrText>ADDIN CSL_CITATION {"citationItems":[{"id":"ITEM-1","itemData":{"DOI":"10.1038/ncb2270","ISBN":"1476-4679 (Electronic)\\n1465-7392 (Linking)","ISSN":"1465-7392","PMID":"21666683","abstract":"Endosomal trafficking plays an integral role in various eukaryotic cell activities and serves as a basis for higher-order functions in multicellular organisms. An understanding of the importance of endosomal trafficking in plants is rapidly developing, but its molecular mechanism is mostly unknown. Several key regulators of endosomal trafficking, including RAB5, which regulates diverse endocytic events in animal cells, are highly conserved. However, the identification of lineage-specific regulators in eukaryotes indicates that endosomal trafficking is diversified according to distinct body plans and lifestyles. In addition to orthologues of metazoan RAB5, land plants possess a unique RAB5 molecule, which is one of the most prominent features of plant RAB GTPase organization. Plants have also evolved a unique repertoire of SNAREs, the most distinctive of which are diverse VAMP7-related longins, including plant-unique VAMP72 derivatives. Here, we demonstrate that a plant-unique RAB5 protein, ARA6, acts in an endosomal trafficking pathway in Arabidopsis thaliana. ARA6 modulates the assembly of a distinct SNARE complex from conventional RAB5, and has a functional role in the salinity stress response. Our results indicate that plants possess a unique endosomal trafficking network and provide the first indication of a functional link between a specific RAB and a specific SNARE complex in plants.","author":[{"dropping-particle":"","family":"Ebine","given":"Kazuo","non-dropping-particle":"","parse-names":false,"suffix":""},{"dropping-particle":"","family":"Fujimoto","given":"Masaru","non-dropping-particle":"","parse-names":false,"suffix":""},{"dropping-particle":"","family":"Okatani","given":"Yusuke","non-dropping-particle":"","parse-names":false,"suffix":""},{"dropping-particle":"","family":"Nishiyama","given":"Tomoaki","non-dropping-particle":"","parse-names":false,"suffix":""},{"dropping-particle":"","family":"Goh","given":"Tatsuaki","non-dropping-particle":"","parse-names":false,"suffix":""},{"dropping-particle":"","family":"Ito","given":"Emi","non-dropping-particle":"","parse-names":false,"suffix":""},{"dropping-particle":"","family":"Dainobu","given":"Tomoko","non-dropping-particle":"","parse-names":false,"suffix":""},{"dropp</w:instrText>
            </w:r>
            <w:r w:rsidRPr="00AA2BB2">
              <w:rPr>
                <w:sz w:val="14"/>
                <w:szCs w:val="16"/>
                <w:lang w:val="it-IT"/>
              </w:rPr>
              <w:instrText>ing-particle":"","family":"Nishitani","given":"Aiko","non-dropping-particle":"","parse-names":false,"suffix":""},{"dropping-particle":"","family":"Uemura","given":"Tomohiro","non-dropping-particle":"","parse-names":false,"suffix":""},{"dropping-particle":"","family":"Sato","given":"Masa H","non-dropping-particle":"","parse-names":false,"suffix":""},{"dropping-particle":"","family":"Thordal-Christensen","given":"Hans","non-dropping-particle":"","parse-names":false,"suffix":""},{"dropping-particle":"","family":"Tsutsumi","given":"Nobuhiro","non-dropping-particle":"","parse-names":false,"suffix":""},{"dropping-particle":"","family":"Nakano","given":"Akihiko","non-dropping-particle":"","parse-names":false,"suffix":""},{"dropping-particle":"","family":"Ueda","given":"Takashi","non-dropping-particle":"","parse-names":false,"suffix":""}],"container-title":"Nature cell biology","id":"ITEM-1","issue":"7","issued":{"date-parts":[["2011"]]},"page":"853-859","publisher":"Nature Publishing Group","title":"A membrane trafficking pathway regulated by the plant-specific RAB GTPase ARA6.","type":"article-journal","volume":"13"},"uris":["http://www.mendeley.com/documents/?uuid=3a3d0d00-6c09-443e-b17f-ef228c52586b"]}],"mendeley":{"formattedCitation":"(Ebine et al., 2011)","plainTextFormattedCitation":"(Ebine et al., 2011)","previouslyFormattedCitation":"(Ebine et al., 2011)"},"properties":{"noteIndex":0},"schema":"https://github.com/citation-style-language/schema/raw/master/csl-citation.json"}</w:instrText>
            </w:r>
            <w:r>
              <w:rPr>
                <w:sz w:val="14"/>
                <w:szCs w:val="16"/>
              </w:rPr>
              <w:fldChar w:fldCharType="separate"/>
            </w:r>
            <w:r w:rsidRPr="00AA2BB2">
              <w:rPr>
                <w:noProof/>
                <w:sz w:val="14"/>
                <w:szCs w:val="16"/>
                <w:lang w:val="it-IT"/>
              </w:rPr>
              <w:t>(Ebine et al., 2011)</w:t>
            </w:r>
            <w:r>
              <w:rPr>
                <w:sz w:val="14"/>
                <w:szCs w:val="16"/>
              </w:rPr>
              <w:fldChar w:fldCharType="end"/>
            </w:r>
          </w:p>
        </w:tc>
      </w:tr>
      <w:tr w:rsidR="001B3AFC" w:rsidRPr="002815CC" w14:paraId="4ED09B83" w14:textId="77777777" w:rsidTr="00515216">
        <w:trPr>
          <w:trHeight w:val="20"/>
        </w:trPr>
        <w:tc>
          <w:tcPr>
            <w:tcW w:w="1242" w:type="dxa"/>
            <w:tcBorders>
              <w:left w:val="nil"/>
              <w:right w:val="nil"/>
            </w:tcBorders>
            <w:shd w:val="clear" w:color="auto" w:fill="auto"/>
          </w:tcPr>
          <w:p w14:paraId="53541541" w14:textId="77777777" w:rsidR="001B3AFC" w:rsidRPr="00AA2BB2" w:rsidRDefault="001B3AFC" w:rsidP="00515216">
            <w:pPr>
              <w:pStyle w:val="NoSpacing"/>
              <w:jc w:val="both"/>
              <w:rPr>
                <w:sz w:val="14"/>
                <w:szCs w:val="16"/>
                <w:lang w:val="it-IT"/>
              </w:rPr>
            </w:pPr>
            <w:r w:rsidRPr="00AA2BB2">
              <w:rPr>
                <w:sz w:val="14"/>
                <w:szCs w:val="16"/>
                <w:lang w:val="it-IT"/>
              </w:rPr>
              <w:t>SYP12I</w:t>
            </w:r>
          </w:p>
        </w:tc>
        <w:tc>
          <w:tcPr>
            <w:tcW w:w="1452" w:type="dxa"/>
            <w:tcBorders>
              <w:top w:val="single" w:sz="4" w:space="0" w:color="auto"/>
              <w:left w:val="nil"/>
              <w:right w:val="nil"/>
            </w:tcBorders>
            <w:shd w:val="clear" w:color="auto" w:fill="auto"/>
          </w:tcPr>
          <w:p w14:paraId="5BC04F01" w14:textId="77777777" w:rsidR="001B3AFC" w:rsidRPr="00AA2BB2" w:rsidRDefault="001B3AFC" w:rsidP="00515216">
            <w:pPr>
              <w:pStyle w:val="NoSpacing"/>
              <w:jc w:val="both"/>
              <w:rPr>
                <w:sz w:val="14"/>
                <w:szCs w:val="16"/>
                <w:lang w:val="it-IT"/>
              </w:rPr>
            </w:pPr>
            <w:r w:rsidRPr="00AA2BB2">
              <w:rPr>
                <w:sz w:val="14"/>
                <w:szCs w:val="16"/>
                <w:lang w:val="it-IT"/>
              </w:rPr>
              <w:t>VAMP72I</w:t>
            </w:r>
          </w:p>
          <w:p w14:paraId="7BA3C4E2" w14:textId="77777777" w:rsidR="001B3AFC" w:rsidRPr="00AA2BB2" w:rsidRDefault="001B3AFC" w:rsidP="00515216">
            <w:pPr>
              <w:pStyle w:val="NoSpacing"/>
              <w:jc w:val="both"/>
              <w:rPr>
                <w:sz w:val="14"/>
                <w:szCs w:val="16"/>
                <w:lang w:val="it-IT"/>
              </w:rPr>
            </w:pPr>
          </w:p>
        </w:tc>
        <w:tc>
          <w:tcPr>
            <w:tcW w:w="1417" w:type="dxa"/>
            <w:gridSpan w:val="3"/>
            <w:tcBorders>
              <w:top w:val="single" w:sz="4" w:space="0" w:color="auto"/>
              <w:left w:val="nil"/>
              <w:bottom w:val="nil"/>
              <w:right w:val="nil"/>
            </w:tcBorders>
            <w:shd w:val="clear" w:color="auto" w:fill="auto"/>
          </w:tcPr>
          <w:p w14:paraId="54C5050A" w14:textId="77777777" w:rsidR="001B3AFC" w:rsidRPr="00AA2BB2" w:rsidRDefault="001B3AFC" w:rsidP="00515216">
            <w:pPr>
              <w:pStyle w:val="NoSpacing"/>
              <w:jc w:val="both"/>
              <w:rPr>
                <w:sz w:val="14"/>
                <w:szCs w:val="16"/>
                <w:lang w:val="it-IT"/>
              </w:rPr>
            </w:pPr>
            <w:r w:rsidRPr="00AA2BB2">
              <w:rPr>
                <w:sz w:val="14"/>
                <w:szCs w:val="16"/>
                <w:lang w:val="it-IT"/>
              </w:rPr>
              <w:t>AtSYP121</w:t>
            </w:r>
          </w:p>
        </w:tc>
        <w:tc>
          <w:tcPr>
            <w:tcW w:w="1276" w:type="dxa"/>
            <w:tcBorders>
              <w:top w:val="single" w:sz="4" w:space="0" w:color="auto"/>
              <w:left w:val="nil"/>
              <w:bottom w:val="nil"/>
              <w:right w:val="nil"/>
            </w:tcBorders>
            <w:shd w:val="clear" w:color="auto" w:fill="auto"/>
          </w:tcPr>
          <w:p w14:paraId="255F430D" w14:textId="77777777" w:rsidR="001B3AFC" w:rsidRPr="00AA2BB2" w:rsidRDefault="001B3AFC" w:rsidP="00515216">
            <w:pPr>
              <w:pStyle w:val="NoSpacing"/>
              <w:jc w:val="both"/>
              <w:rPr>
                <w:sz w:val="14"/>
                <w:szCs w:val="16"/>
                <w:lang w:val="it-IT"/>
              </w:rPr>
            </w:pPr>
            <w:r w:rsidRPr="00AA2BB2">
              <w:rPr>
                <w:sz w:val="14"/>
                <w:szCs w:val="16"/>
                <w:lang w:val="it-IT"/>
              </w:rPr>
              <w:t>AtVAMP723</w:t>
            </w:r>
          </w:p>
          <w:p w14:paraId="529C0B36" w14:textId="77777777" w:rsidR="001B3AFC" w:rsidRPr="00AA2BB2" w:rsidRDefault="001B3AFC" w:rsidP="00515216">
            <w:pPr>
              <w:pStyle w:val="NoSpacing"/>
              <w:jc w:val="both"/>
              <w:rPr>
                <w:sz w:val="14"/>
                <w:szCs w:val="16"/>
                <w:lang w:val="it-IT"/>
              </w:rPr>
            </w:pPr>
            <w:r w:rsidRPr="00AA2BB2">
              <w:rPr>
                <w:sz w:val="14"/>
                <w:szCs w:val="16"/>
                <w:lang w:val="it-IT"/>
              </w:rPr>
              <w:t>(ER/</w:t>
            </w:r>
            <w:proofErr w:type="spellStart"/>
            <w:r w:rsidRPr="00AA2BB2">
              <w:rPr>
                <w:sz w:val="14"/>
                <w:szCs w:val="16"/>
                <w:lang w:val="it-IT"/>
              </w:rPr>
              <w:t>pseudogene</w:t>
            </w:r>
            <w:proofErr w:type="spellEnd"/>
            <w:r w:rsidRPr="00AA2BB2">
              <w:rPr>
                <w:sz w:val="14"/>
                <w:szCs w:val="16"/>
                <w:lang w:val="it-IT"/>
              </w:rPr>
              <w:t>)</w:t>
            </w:r>
          </w:p>
        </w:tc>
        <w:tc>
          <w:tcPr>
            <w:tcW w:w="1276" w:type="dxa"/>
            <w:tcBorders>
              <w:top w:val="single" w:sz="4" w:space="0" w:color="auto"/>
              <w:left w:val="nil"/>
              <w:bottom w:val="nil"/>
              <w:right w:val="nil"/>
            </w:tcBorders>
            <w:shd w:val="clear" w:color="auto" w:fill="auto"/>
          </w:tcPr>
          <w:p w14:paraId="4766E704" w14:textId="77777777" w:rsidR="001B3AFC" w:rsidRPr="00AA2BB2" w:rsidRDefault="001B3AFC" w:rsidP="00515216">
            <w:pPr>
              <w:pStyle w:val="NoSpacing"/>
              <w:jc w:val="both"/>
              <w:rPr>
                <w:sz w:val="14"/>
                <w:szCs w:val="16"/>
                <w:lang w:val="it-IT"/>
              </w:rPr>
            </w:pPr>
            <w:r w:rsidRPr="00AA2BB2">
              <w:rPr>
                <w:sz w:val="14"/>
                <w:szCs w:val="16"/>
                <w:lang w:val="it-IT"/>
              </w:rPr>
              <w:t xml:space="preserve">split </w:t>
            </w:r>
            <w:proofErr w:type="spellStart"/>
            <w:r w:rsidRPr="00AA2BB2">
              <w:rPr>
                <w:sz w:val="14"/>
                <w:szCs w:val="16"/>
                <w:lang w:val="it-IT"/>
              </w:rPr>
              <w:t>luciferase</w:t>
            </w:r>
            <w:proofErr w:type="spellEnd"/>
          </w:p>
        </w:tc>
        <w:tc>
          <w:tcPr>
            <w:tcW w:w="2162" w:type="dxa"/>
            <w:tcBorders>
              <w:top w:val="single" w:sz="4" w:space="0" w:color="auto"/>
              <w:left w:val="nil"/>
              <w:bottom w:val="nil"/>
              <w:right w:val="nil"/>
            </w:tcBorders>
            <w:shd w:val="clear" w:color="auto" w:fill="auto"/>
          </w:tcPr>
          <w:p w14:paraId="51B95A78" w14:textId="77777777" w:rsidR="001B3AFC" w:rsidRPr="002815CC" w:rsidRDefault="001B3AFC" w:rsidP="00515216">
            <w:pPr>
              <w:pStyle w:val="NoSpacing"/>
              <w:jc w:val="both"/>
              <w:rPr>
                <w:sz w:val="14"/>
                <w:szCs w:val="16"/>
              </w:rPr>
            </w:pPr>
            <w:r>
              <w:rPr>
                <w:sz w:val="14"/>
                <w:szCs w:val="16"/>
              </w:rPr>
              <w:fldChar w:fldCharType="begin" w:fldLock="1"/>
            </w:r>
            <w:r w:rsidRPr="00AA2BB2">
              <w:rPr>
                <w:sz w:val="14"/>
                <w:szCs w:val="16"/>
                <w:lang w:val="it-IT"/>
              </w:rPr>
              <w:instrText>ADDIN CSL_CITATION {"citationItems":[{"id":"ITEM-1","itemData":{"DOI":"10.1093/pcp/pcu048","ISBN":"1471-9053 (Electronic)\\r0032-0781 (Linking)","ISSN":"14719053","PMID":"24642714","abstract":"Root hairs are fast-growing tubular protrusions on root epidermal cells that play important roles in water and nutrient uptake in plants. The tip-focused polarized growth of root hairs is accomplished by the secretion of newly synthesized materials to the tip via the polarized membrane trafficking mechanism. Here, we report the function of two different types of plasma membrane (PM) Qa-SNAREs (soluble N-ethylmaleimide-sensitive factor attachment protein receptors), SYP123 and SYP132, in the growth of root hair in Arabidopsis. We found that SYP123, but not SYP132, localizes in the tip region of root hairs by recycling between the brefeldin A (BFA)-sensitive endosomes and the PM of the expanding tip in an F-actin-dependent manner. The vesicle-associated membrane proteins VAMP721/722/724 also exhibited tip-focused localization in root hairs and formed ternary SNARE complexes with both SYP123 and SYP132. These results demonstrate that SYP123 and SYP132 act in a coordinated fashion to mediate tip-focused membrane trafficking for root hair tip growth.","author":[{"dropping-particle":"","family":"Ichikawa","given":"Mie","non-dropping-particle":"","parse-names":false,"suffix":""},{"dropping-particle":"",</w:instrText>
            </w:r>
            <w:r>
              <w:rPr>
                <w:sz w:val="14"/>
                <w:szCs w:val="16"/>
              </w:rPr>
              <w:instrText>"family":"Hirano","given":"Tomoko","non-dropping-particle":"","parse-names":false,"suffix":""},{"dropping-particle":"","family":"Enami","given":"Kazuhiko","non-dropping-particle":"","parse-names":false,"suffix":""},{"dropping-particle":"","family":"Fuselier","given":"Taylor","non-dropping-particle":"","parse-names":false,"suffix":""},{"dropping-particle":"","family":"Kato","given":"Naohiro","non-dropping-particle":"","parse-names":false,"suffix":""},{"dropping-particle":"","family":"Kwon","given":"Chian","non-dropping-particle":"","parse-names":false,"suffix":""},{"dropping-particle":"","family":"Voigt","given":"Boris","non-dropping-particle":"","parse-names":false,"suffix":""},{"dropping-particle":"","family":"Schulze-Lefert","given":"Paul","non-dropping-particle":"","parse-names":false,"suffix":""},{"dropping-particle":"","family":"Baluška","given":"František","non-dropping-particle":"","parse-names":false,"suffix":""},{"dropping-particle":"","family":"Sato","given":"Masa H.","non-dropping-particle":"","parse-names":false,"suffix":""}],"container-title":"Plant and Cell Physiology","id":"ITEM-1","issue":"4","issued":{"date-parts":[["2014"]]},"page":"790-800","title":"Syntaxin of plant proteins SYP123 and SYP132 mediate root hair tip growth in arabidopsis thaliana","type":"article-journal","volume":"55"},"uris":["http://www.mendeley.com/documents/?uuid=5d857d3a-68e6-4631-ad4c-445266ced161"]}],"mendeley":{"formattedCitation":"(Ichikawa et al., 2014)","plainTextFormattedCitation":"(Ichikawa et al., 2014)","previouslyFormattedCitation":"(Ichikawa et al., 2014)"},"properties":{"noteIndex":0},"schema":"https://github.com/citation-style-language/schema/raw/master/csl-citation.json"}</w:instrText>
            </w:r>
            <w:r>
              <w:rPr>
                <w:sz w:val="14"/>
                <w:szCs w:val="16"/>
              </w:rPr>
              <w:fldChar w:fldCharType="separate"/>
            </w:r>
            <w:r w:rsidRPr="00E67500">
              <w:rPr>
                <w:noProof/>
                <w:sz w:val="14"/>
                <w:szCs w:val="16"/>
              </w:rPr>
              <w:t>(Ichikawa et al., 2014)</w:t>
            </w:r>
            <w:r>
              <w:rPr>
                <w:sz w:val="14"/>
                <w:szCs w:val="16"/>
              </w:rPr>
              <w:fldChar w:fldCharType="end"/>
            </w:r>
          </w:p>
        </w:tc>
      </w:tr>
      <w:tr w:rsidR="001B3AFC" w:rsidRPr="002815CC" w14:paraId="79500AFE" w14:textId="77777777" w:rsidTr="00515216">
        <w:trPr>
          <w:trHeight w:val="20"/>
        </w:trPr>
        <w:tc>
          <w:tcPr>
            <w:tcW w:w="1242" w:type="dxa"/>
            <w:tcBorders>
              <w:top w:val="single" w:sz="4" w:space="0" w:color="auto"/>
              <w:left w:val="nil"/>
              <w:right w:val="nil"/>
            </w:tcBorders>
            <w:shd w:val="clear" w:color="auto" w:fill="auto"/>
          </w:tcPr>
          <w:p w14:paraId="33EADC56" w14:textId="77777777" w:rsidR="001B3AFC" w:rsidRPr="002815CC" w:rsidRDefault="001B3AFC" w:rsidP="00515216">
            <w:pPr>
              <w:pStyle w:val="NoSpacing"/>
              <w:jc w:val="both"/>
              <w:rPr>
                <w:sz w:val="14"/>
                <w:szCs w:val="16"/>
              </w:rPr>
            </w:pPr>
            <w:r w:rsidRPr="002815CC">
              <w:rPr>
                <w:sz w:val="14"/>
                <w:szCs w:val="16"/>
              </w:rPr>
              <w:t>SYP12IV</w:t>
            </w:r>
          </w:p>
        </w:tc>
        <w:tc>
          <w:tcPr>
            <w:tcW w:w="1452" w:type="dxa"/>
            <w:tcBorders>
              <w:top w:val="single" w:sz="4" w:space="0" w:color="auto"/>
              <w:left w:val="nil"/>
              <w:right w:val="nil"/>
            </w:tcBorders>
            <w:shd w:val="clear" w:color="auto" w:fill="auto"/>
          </w:tcPr>
          <w:p w14:paraId="5413B0B9" w14:textId="77777777" w:rsidR="001B3AFC" w:rsidRPr="002815CC" w:rsidRDefault="001B3AFC" w:rsidP="00515216">
            <w:pPr>
              <w:pStyle w:val="NoSpacing"/>
              <w:jc w:val="both"/>
              <w:rPr>
                <w:sz w:val="14"/>
                <w:szCs w:val="16"/>
              </w:rPr>
            </w:pPr>
            <w:r w:rsidRPr="002815CC">
              <w:rPr>
                <w:sz w:val="14"/>
                <w:szCs w:val="16"/>
              </w:rPr>
              <w:t>VAMP72I</w:t>
            </w:r>
          </w:p>
        </w:tc>
        <w:tc>
          <w:tcPr>
            <w:tcW w:w="1417" w:type="dxa"/>
            <w:gridSpan w:val="3"/>
            <w:tcBorders>
              <w:top w:val="single" w:sz="4" w:space="0" w:color="auto"/>
              <w:left w:val="nil"/>
              <w:right w:val="nil"/>
            </w:tcBorders>
            <w:shd w:val="clear" w:color="auto" w:fill="auto"/>
          </w:tcPr>
          <w:p w14:paraId="126F8F1D" w14:textId="77777777" w:rsidR="001B3AFC" w:rsidRPr="002815CC" w:rsidRDefault="001B3AFC" w:rsidP="00515216">
            <w:pPr>
              <w:pStyle w:val="NoSpacing"/>
              <w:jc w:val="both"/>
              <w:rPr>
                <w:sz w:val="14"/>
                <w:szCs w:val="16"/>
              </w:rPr>
            </w:pPr>
            <w:r w:rsidRPr="002815CC">
              <w:rPr>
                <w:sz w:val="14"/>
                <w:szCs w:val="16"/>
              </w:rPr>
              <w:t>AtSYP123</w:t>
            </w:r>
          </w:p>
        </w:tc>
        <w:tc>
          <w:tcPr>
            <w:tcW w:w="1276" w:type="dxa"/>
            <w:tcBorders>
              <w:top w:val="single" w:sz="4" w:space="0" w:color="auto"/>
              <w:left w:val="nil"/>
              <w:right w:val="nil"/>
            </w:tcBorders>
            <w:shd w:val="clear" w:color="auto" w:fill="auto"/>
          </w:tcPr>
          <w:p w14:paraId="5CD20035" w14:textId="77777777" w:rsidR="001B3AFC" w:rsidRPr="002815CC" w:rsidRDefault="001B3AFC" w:rsidP="00515216">
            <w:pPr>
              <w:pStyle w:val="NoSpacing"/>
              <w:jc w:val="both"/>
              <w:rPr>
                <w:sz w:val="14"/>
                <w:szCs w:val="16"/>
              </w:rPr>
            </w:pPr>
            <w:r w:rsidRPr="002815CC">
              <w:rPr>
                <w:sz w:val="14"/>
                <w:szCs w:val="16"/>
              </w:rPr>
              <w:t>AtVAMP723</w:t>
            </w:r>
          </w:p>
          <w:p w14:paraId="7F5EE5B0" w14:textId="77777777" w:rsidR="001B3AFC" w:rsidRPr="002815CC" w:rsidRDefault="001B3AFC" w:rsidP="00515216">
            <w:pPr>
              <w:pStyle w:val="NoSpacing"/>
              <w:jc w:val="both"/>
              <w:rPr>
                <w:sz w:val="14"/>
                <w:szCs w:val="16"/>
              </w:rPr>
            </w:pPr>
            <w:r w:rsidRPr="002815CC">
              <w:rPr>
                <w:sz w:val="14"/>
                <w:szCs w:val="16"/>
              </w:rPr>
              <w:t>(ER/</w:t>
            </w:r>
            <w:r w:rsidRPr="00BE283E">
              <w:rPr>
                <w:sz w:val="14"/>
                <w:szCs w:val="16"/>
                <w:lang w:val="en-US"/>
              </w:rPr>
              <w:t xml:space="preserve"> pseudo</w:t>
            </w:r>
            <w:r w:rsidRPr="002815CC">
              <w:rPr>
                <w:sz w:val="14"/>
                <w:szCs w:val="16"/>
              </w:rPr>
              <w:t>gene)</w:t>
            </w:r>
          </w:p>
        </w:tc>
        <w:tc>
          <w:tcPr>
            <w:tcW w:w="1276" w:type="dxa"/>
            <w:tcBorders>
              <w:top w:val="single" w:sz="4" w:space="0" w:color="auto"/>
              <w:left w:val="nil"/>
              <w:bottom w:val="nil"/>
              <w:right w:val="nil"/>
            </w:tcBorders>
            <w:shd w:val="clear" w:color="auto" w:fill="auto"/>
          </w:tcPr>
          <w:p w14:paraId="769E9B7A" w14:textId="77777777" w:rsidR="001B3AFC" w:rsidRPr="002815CC" w:rsidRDefault="001B3AFC" w:rsidP="00515216">
            <w:pPr>
              <w:pStyle w:val="NoSpacing"/>
              <w:jc w:val="both"/>
              <w:rPr>
                <w:sz w:val="14"/>
                <w:szCs w:val="16"/>
              </w:rPr>
            </w:pPr>
            <w:r w:rsidRPr="002815CC">
              <w:rPr>
                <w:sz w:val="14"/>
                <w:szCs w:val="16"/>
              </w:rPr>
              <w:t>split luciferase</w:t>
            </w:r>
          </w:p>
        </w:tc>
        <w:tc>
          <w:tcPr>
            <w:tcW w:w="2162" w:type="dxa"/>
            <w:tcBorders>
              <w:top w:val="single" w:sz="4" w:space="0" w:color="auto"/>
              <w:left w:val="nil"/>
              <w:bottom w:val="nil"/>
              <w:right w:val="nil"/>
            </w:tcBorders>
            <w:shd w:val="clear" w:color="auto" w:fill="auto"/>
          </w:tcPr>
          <w:p w14:paraId="3DBF91FA" w14:textId="77777777" w:rsidR="001B3AFC" w:rsidRPr="002815CC" w:rsidRDefault="001B3AFC" w:rsidP="00515216">
            <w:pPr>
              <w:pStyle w:val="NoSpacing"/>
              <w:jc w:val="both"/>
              <w:rPr>
                <w:sz w:val="14"/>
                <w:szCs w:val="16"/>
              </w:rPr>
            </w:pPr>
            <w:r>
              <w:rPr>
                <w:sz w:val="14"/>
                <w:szCs w:val="16"/>
              </w:rPr>
              <w:fldChar w:fldCharType="begin" w:fldLock="1"/>
            </w:r>
            <w:r>
              <w:rPr>
                <w:sz w:val="14"/>
                <w:szCs w:val="16"/>
              </w:rPr>
              <w:instrText>ADDIN CSL_CITATION {"citationItems":[{"id":"ITEM-1","itemData":{"DOI":"10.1093/pcp/pcu048","ISBN":"1471-9053 (Electronic)\\r0032-0781 (Linking)","ISSN":"14719053","PMID":"24642714","abstract":"Root hairs are fast-growing tubular protrusions on root epidermal cells that play important roles in water and nutrient uptake in plants. The tip-focused polarized growth of root hairs is accomplished by the secretion of newly synthesized materials to the tip via the polarized membrane trafficking mechanism. Here, we report the function of two different types of plasma membrane (PM) Qa-SNAREs (soluble N-ethylmaleimide-sensitive factor attachment protein receptors), SYP123 and SYP132, in the growth of root hair in Arabidopsis. We found that SYP123, but not SYP132, localizes in the tip region of root hairs by recycling between the brefeldin A (BFA)-sensitive endosomes and the PM of the expanding tip in an F-actin-dependent manner. The vesicle-associated membrane proteins VAMP721/722/724 also exhibited tip-focused localization in root hairs and formed ternary SNARE complexes with both SYP123 and SYP132. These results demonstrate that SYP123 and SYP132 act in a coordinated fashion to mediate tip-focused membrane trafficking for root hair tip growth.","author":[{"dropping-particle":"","family":"Ichikawa","given":"Mie","non-dropping-particle":"","parse-names":false,"suffix":""},{"dropping-particle":"","family":"Hirano","given":"Tomoko","non-dropping-particle":"","parse-names":false,"suffix":""},{"dropping-particle":"","family":"Enami","given":"Kazuhiko","non-dropping-particle":"","parse-names":false,"suffix":""},{"dropping-particle":"","family":"Fuselier","given":"Taylor","non-dropping-particle":"","parse-names":false,"suffix":""},{"dropping-particle":"","family":"Kato","given":"Naohiro","non-dropping-particle":"","parse-names":false,"suffix":""},{"dropping-particle":"","family":"Kwon","given":"Chian","non-dropping-particle":"","parse-names":false,"suffix":""},{"dropping-particle":"","family":"Voigt","given":"Boris","non-dropping-particle":"","parse-names":false,"suffix":""},{"dropping-particle":"","family":"Schulze-Lefert","given":"Paul","non-dropping-particle":"","parse-names":false,"suffix":""},{"dropping-particle":"","family":"Baluška","given":"František","non-dropping-particle":"","parse-names":false,"suffix":""},{"dropping-particle":"","family":"Sato","given":"Masa H.","non-dropping-particle":"","parse-names":false,"suffix":""}],"container-title":"Plant and Cell Physiology","id":"ITEM-1","issue":"4","issued":{"date-parts":[["2014"]]},"page":"790-800","title":"Syntaxin of plant proteins SYP123 and SYP132 mediate root hair tip growth in arabidopsis thaliana","type":"article-journal","volume":"55"},"uris":["http://www.mendeley.com/documents/?uuid=5d857d3a-68e6-4631-ad4c-445266ced161"]}],"mendeley":{"formattedCitation":"(Ichikawa et al., 2014)","plainTextFormattedCitation":"(Ichikawa et al., 2014)","previouslyFormattedCitation":"(Ichikawa et al., 2014)"},"properties":{"noteIndex":0},"schema":"https://github.com/citation-style-language/schema/raw/master/csl-citation.json"}</w:instrText>
            </w:r>
            <w:r>
              <w:rPr>
                <w:sz w:val="14"/>
                <w:szCs w:val="16"/>
              </w:rPr>
              <w:fldChar w:fldCharType="separate"/>
            </w:r>
            <w:r w:rsidRPr="00E67500">
              <w:rPr>
                <w:noProof/>
                <w:sz w:val="14"/>
                <w:szCs w:val="16"/>
              </w:rPr>
              <w:t>(Ichikawa et al., 2014)</w:t>
            </w:r>
            <w:r>
              <w:rPr>
                <w:sz w:val="14"/>
                <w:szCs w:val="16"/>
              </w:rPr>
              <w:fldChar w:fldCharType="end"/>
            </w:r>
          </w:p>
        </w:tc>
      </w:tr>
      <w:tr w:rsidR="001B3AFC" w:rsidRPr="002815CC" w14:paraId="5204FBED" w14:textId="77777777" w:rsidTr="00515216">
        <w:trPr>
          <w:trHeight w:val="20"/>
        </w:trPr>
        <w:tc>
          <w:tcPr>
            <w:tcW w:w="1242" w:type="dxa"/>
            <w:vMerge w:val="restart"/>
            <w:tcBorders>
              <w:top w:val="single" w:sz="4" w:space="0" w:color="auto"/>
              <w:left w:val="nil"/>
              <w:right w:val="nil"/>
            </w:tcBorders>
            <w:shd w:val="clear" w:color="auto" w:fill="auto"/>
          </w:tcPr>
          <w:p w14:paraId="0EC2B70D" w14:textId="77777777" w:rsidR="001B3AFC" w:rsidRPr="002815CC" w:rsidRDefault="001B3AFC" w:rsidP="00515216">
            <w:pPr>
              <w:pStyle w:val="NoSpacing"/>
              <w:jc w:val="both"/>
              <w:rPr>
                <w:sz w:val="14"/>
                <w:szCs w:val="16"/>
              </w:rPr>
            </w:pPr>
            <w:r w:rsidRPr="002815CC">
              <w:rPr>
                <w:sz w:val="14"/>
                <w:szCs w:val="16"/>
              </w:rPr>
              <w:t>SYP13I</w:t>
            </w:r>
          </w:p>
        </w:tc>
        <w:tc>
          <w:tcPr>
            <w:tcW w:w="1452" w:type="dxa"/>
            <w:vMerge w:val="restart"/>
            <w:tcBorders>
              <w:top w:val="single" w:sz="4" w:space="0" w:color="auto"/>
              <w:left w:val="nil"/>
              <w:right w:val="nil"/>
            </w:tcBorders>
            <w:shd w:val="clear" w:color="auto" w:fill="auto"/>
          </w:tcPr>
          <w:p w14:paraId="5EF51C1A" w14:textId="77777777" w:rsidR="001B3AFC" w:rsidRPr="002815CC" w:rsidRDefault="001B3AFC" w:rsidP="00515216">
            <w:pPr>
              <w:pStyle w:val="NoSpacing"/>
              <w:jc w:val="both"/>
              <w:rPr>
                <w:sz w:val="14"/>
                <w:szCs w:val="16"/>
              </w:rPr>
            </w:pPr>
            <w:r w:rsidRPr="002815CC">
              <w:rPr>
                <w:sz w:val="14"/>
                <w:szCs w:val="16"/>
              </w:rPr>
              <w:t>VAMP72I</w:t>
            </w:r>
          </w:p>
        </w:tc>
        <w:tc>
          <w:tcPr>
            <w:tcW w:w="1417" w:type="dxa"/>
            <w:gridSpan w:val="3"/>
            <w:vMerge w:val="restart"/>
            <w:tcBorders>
              <w:top w:val="single" w:sz="4" w:space="0" w:color="auto"/>
              <w:left w:val="nil"/>
              <w:right w:val="nil"/>
            </w:tcBorders>
            <w:shd w:val="clear" w:color="auto" w:fill="auto"/>
          </w:tcPr>
          <w:p w14:paraId="7C43FBFD" w14:textId="77777777" w:rsidR="001B3AFC" w:rsidRPr="002815CC" w:rsidRDefault="001B3AFC" w:rsidP="00515216">
            <w:pPr>
              <w:pStyle w:val="NoSpacing"/>
              <w:jc w:val="both"/>
              <w:rPr>
                <w:sz w:val="14"/>
                <w:szCs w:val="16"/>
              </w:rPr>
            </w:pPr>
            <w:r w:rsidRPr="002815CC">
              <w:rPr>
                <w:sz w:val="14"/>
                <w:szCs w:val="16"/>
              </w:rPr>
              <w:t>AtSYP132</w:t>
            </w:r>
          </w:p>
        </w:tc>
        <w:tc>
          <w:tcPr>
            <w:tcW w:w="1276" w:type="dxa"/>
            <w:vMerge w:val="restart"/>
            <w:tcBorders>
              <w:top w:val="single" w:sz="4" w:space="0" w:color="auto"/>
              <w:left w:val="nil"/>
              <w:right w:val="nil"/>
            </w:tcBorders>
            <w:shd w:val="clear" w:color="auto" w:fill="auto"/>
          </w:tcPr>
          <w:p w14:paraId="5727245A" w14:textId="77777777" w:rsidR="001B3AFC" w:rsidRPr="002815CC" w:rsidRDefault="001B3AFC" w:rsidP="00515216">
            <w:pPr>
              <w:pStyle w:val="NoSpacing"/>
              <w:jc w:val="both"/>
              <w:rPr>
                <w:sz w:val="14"/>
                <w:szCs w:val="16"/>
              </w:rPr>
            </w:pPr>
            <w:r w:rsidRPr="002815CC">
              <w:rPr>
                <w:sz w:val="14"/>
                <w:szCs w:val="16"/>
              </w:rPr>
              <w:t>AtVAMP723</w:t>
            </w:r>
          </w:p>
          <w:p w14:paraId="13AA6BE3" w14:textId="77777777" w:rsidR="001B3AFC" w:rsidRPr="002815CC" w:rsidRDefault="001B3AFC" w:rsidP="00515216">
            <w:pPr>
              <w:pStyle w:val="NoSpacing"/>
              <w:jc w:val="both"/>
              <w:rPr>
                <w:sz w:val="14"/>
                <w:szCs w:val="16"/>
              </w:rPr>
            </w:pPr>
            <w:r w:rsidRPr="002815CC">
              <w:rPr>
                <w:sz w:val="14"/>
                <w:szCs w:val="16"/>
              </w:rPr>
              <w:t>(ER/</w:t>
            </w:r>
            <w:r w:rsidRPr="00BE283E">
              <w:rPr>
                <w:sz w:val="14"/>
                <w:szCs w:val="16"/>
                <w:lang w:val="en-US"/>
              </w:rPr>
              <w:t xml:space="preserve"> pseudo</w:t>
            </w:r>
            <w:r w:rsidRPr="002815CC">
              <w:rPr>
                <w:sz w:val="14"/>
                <w:szCs w:val="16"/>
              </w:rPr>
              <w:t>gene)</w:t>
            </w:r>
          </w:p>
        </w:tc>
        <w:tc>
          <w:tcPr>
            <w:tcW w:w="1276" w:type="dxa"/>
            <w:tcBorders>
              <w:top w:val="single" w:sz="4" w:space="0" w:color="auto"/>
              <w:left w:val="nil"/>
              <w:bottom w:val="nil"/>
              <w:right w:val="nil"/>
            </w:tcBorders>
            <w:shd w:val="clear" w:color="auto" w:fill="auto"/>
          </w:tcPr>
          <w:p w14:paraId="0BF9991E" w14:textId="77777777" w:rsidR="001B3AFC" w:rsidRPr="002815CC" w:rsidRDefault="001B3AFC" w:rsidP="00515216">
            <w:pPr>
              <w:pStyle w:val="NoSpacing"/>
              <w:jc w:val="both"/>
              <w:rPr>
                <w:sz w:val="14"/>
                <w:szCs w:val="16"/>
              </w:rPr>
            </w:pPr>
            <w:r w:rsidRPr="002815CC">
              <w:rPr>
                <w:sz w:val="14"/>
                <w:szCs w:val="16"/>
              </w:rPr>
              <w:t>split luciferase</w:t>
            </w:r>
          </w:p>
        </w:tc>
        <w:tc>
          <w:tcPr>
            <w:tcW w:w="2162" w:type="dxa"/>
            <w:tcBorders>
              <w:top w:val="single" w:sz="4" w:space="0" w:color="auto"/>
              <w:left w:val="nil"/>
              <w:bottom w:val="nil"/>
              <w:right w:val="nil"/>
            </w:tcBorders>
            <w:shd w:val="clear" w:color="auto" w:fill="auto"/>
          </w:tcPr>
          <w:p w14:paraId="0173C97A" w14:textId="77777777" w:rsidR="001B3AFC" w:rsidRPr="002815CC" w:rsidRDefault="001B3AFC" w:rsidP="00515216">
            <w:pPr>
              <w:pStyle w:val="NoSpacing"/>
              <w:jc w:val="both"/>
              <w:rPr>
                <w:sz w:val="14"/>
                <w:szCs w:val="16"/>
              </w:rPr>
            </w:pPr>
            <w:r>
              <w:rPr>
                <w:sz w:val="14"/>
                <w:szCs w:val="16"/>
              </w:rPr>
              <w:fldChar w:fldCharType="begin" w:fldLock="1"/>
            </w:r>
            <w:r>
              <w:rPr>
                <w:sz w:val="14"/>
                <w:szCs w:val="16"/>
              </w:rPr>
              <w:instrText>ADDIN CSL_CITATION {"citationItems":[{"id":"ITEM-1","itemData":{"DOI":"10.1007/s10059-013-2130-2","ISBN":"1016-8478","ISSN":"10168478","PMID":"23661365","abstract":"Extracellular immune responses to ascomycete and oomycete pathogens in Arabidopsis are dependent on vesicle-associated secretion mediated by the SNARE proteins PEN1 syntaxin, SNAP33 and endomembrane-resident VAMP721/722. Continuous movement of functional GFP-VAMP722 to and from the plasma membrane in non-stimulated cells reflects the second proposed function of VAMP721/722 in constitutive secretion during plant growth and development. Application of the bacterium-derived elicitor flg22 stabilizes VAMP721/722 that are otherwise constitutively degraded via the 26S proteasome pathway. Depletion of VAMP721/722 levels by reducing VAMP721/722 gene dosage enhances flg22-induced seedling growth inhibition in spite of elevated VAMP721/722 abundance. We therefore propose that plants prioritize the deployment of the corresponding secretory pathway for defense over plant growth. Interstingly, VAMP721/722 specifically interact in vitro and in vivo with the plasma membrane syntaxin SYP132 that is required for plant growth and resistance to bacteria. This suggests that the plant growth/immunity-involved VAMP721/722 form SNARE complexes with multiple plasma membrane syntaxins to discharge cue-dependent cargo molecules.","author":[{"dropping-particle":"","family":"Yun","given":"Hye Sup","non-dropping-particle":"","parse-names":false,"suffix":""},{"dropping-particle":"","family":"Kwaaitaal","given":"Mark","non-dropping-particle":"","parse-names":false,"suffix":""},{"dropping-particle":"","family":"Kato","given":"Naohiro","non-dropping-particle":"","parse-names":false,"suffix":""},{"dropping-particle":"","family":"Yi","given":"Changhyun","non-dropping-particle":"","parse-names":false,"suffix":""},{"dropping-particle":"","family":"Park","given":"Sohyeon","non-dropping-particle":"","parse-names":false,"suffix":""},{"dropping-particle":"","family":"Sato","given":"Masa H.","non-dropping-particle":"","parse-names":false,"suffix":""},{"dropping-particle":"","family":"Schulze-Lefert","given":"Paul","non-dropping-particle":"","parse-names":false,"suffix":""},{"dropping-particle":"","family":"Kwon","given":"Chian","non-dropping-particle":"","parse-names":false,"suffix":""}],"container-title":"Molecules and Cells","id":"ITEM-1","issued":{"date-parts":[["2013"]]},"page":"1-8","title":"Requirement of vesicle-associated membrane protein 721 and 722 for sustained growth during immune responses in Arabidopsis","type":"article-journal"},"uris":["http://www.mendeley.com/documents/?uuid=d05a2941-0798-4a77-9e0c-38c6cc2bfeed"]}],"mendeley":{"formattedCitation":"(Yun et al., 2013)","plainTextFormattedCitation":"(Yun et al., 2013)","previouslyFormattedCitation":"(Yun et al., 2013)"},"properties":{"noteIndex":0},"schema":"https://github.com/citation-style-language/schema/raw/master/csl-citation.json"}</w:instrText>
            </w:r>
            <w:r>
              <w:rPr>
                <w:sz w:val="14"/>
                <w:szCs w:val="16"/>
              </w:rPr>
              <w:fldChar w:fldCharType="separate"/>
            </w:r>
            <w:r w:rsidRPr="00E67500">
              <w:rPr>
                <w:noProof/>
                <w:sz w:val="14"/>
                <w:szCs w:val="16"/>
              </w:rPr>
              <w:t>(Yun et al., 2013)</w:t>
            </w:r>
            <w:r>
              <w:rPr>
                <w:sz w:val="14"/>
                <w:szCs w:val="16"/>
              </w:rPr>
              <w:fldChar w:fldCharType="end"/>
            </w:r>
          </w:p>
        </w:tc>
      </w:tr>
      <w:tr w:rsidR="001B3AFC" w:rsidRPr="002815CC" w14:paraId="262F2321" w14:textId="77777777" w:rsidTr="00515216">
        <w:trPr>
          <w:trHeight w:val="20"/>
        </w:trPr>
        <w:tc>
          <w:tcPr>
            <w:tcW w:w="1242" w:type="dxa"/>
            <w:vMerge/>
            <w:tcBorders>
              <w:left w:val="nil"/>
              <w:bottom w:val="nil"/>
              <w:right w:val="nil"/>
            </w:tcBorders>
            <w:shd w:val="clear" w:color="auto" w:fill="auto"/>
          </w:tcPr>
          <w:p w14:paraId="24418C31" w14:textId="77777777" w:rsidR="001B3AFC" w:rsidRPr="002815CC" w:rsidRDefault="001B3AFC" w:rsidP="00515216">
            <w:pPr>
              <w:pStyle w:val="NoSpacing"/>
              <w:jc w:val="both"/>
              <w:rPr>
                <w:sz w:val="14"/>
                <w:szCs w:val="16"/>
              </w:rPr>
            </w:pPr>
          </w:p>
        </w:tc>
        <w:tc>
          <w:tcPr>
            <w:tcW w:w="1452" w:type="dxa"/>
            <w:vMerge/>
            <w:tcBorders>
              <w:left w:val="nil"/>
              <w:bottom w:val="nil"/>
              <w:right w:val="nil"/>
            </w:tcBorders>
            <w:shd w:val="clear" w:color="auto" w:fill="auto"/>
          </w:tcPr>
          <w:p w14:paraId="01ABF19F" w14:textId="77777777" w:rsidR="001B3AFC" w:rsidRPr="002815CC" w:rsidRDefault="001B3AFC" w:rsidP="00515216">
            <w:pPr>
              <w:pStyle w:val="NoSpacing"/>
              <w:jc w:val="both"/>
              <w:rPr>
                <w:sz w:val="14"/>
                <w:szCs w:val="16"/>
              </w:rPr>
            </w:pPr>
          </w:p>
        </w:tc>
        <w:tc>
          <w:tcPr>
            <w:tcW w:w="1417" w:type="dxa"/>
            <w:gridSpan w:val="3"/>
            <w:vMerge/>
            <w:tcBorders>
              <w:left w:val="nil"/>
              <w:bottom w:val="nil"/>
              <w:right w:val="nil"/>
            </w:tcBorders>
            <w:shd w:val="clear" w:color="auto" w:fill="auto"/>
          </w:tcPr>
          <w:p w14:paraId="3C610E9E" w14:textId="77777777" w:rsidR="001B3AFC" w:rsidRPr="002815CC" w:rsidRDefault="001B3AFC" w:rsidP="00515216">
            <w:pPr>
              <w:pStyle w:val="NoSpacing"/>
              <w:jc w:val="both"/>
              <w:rPr>
                <w:sz w:val="14"/>
                <w:szCs w:val="16"/>
              </w:rPr>
            </w:pPr>
          </w:p>
        </w:tc>
        <w:tc>
          <w:tcPr>
            <w:tcW w:w="1276" w:type="dxa"/>
            <w:vMerge/>
            <w:tcBorders>
              <w:left w:val="nil"/>
              <w:bottom w:val="nil"/>
              <w:right w:val="nil"/>
            </w:tcBorders>
            <w:shd w:val="clear" w:color="auto" w:fill="auto"/>
          </w:tcPr>
          <w:p w14:paraId="727AA388" w14:textId="77777777" w:rsidR="001B3AFC" w:rsidRPr="002815CC" w:rsidRDefault="001B3AFC" w:rsidP="00515216">
            <w:pPr>
              <w:pStyle w:val="NoSpacing"/>
              <w:jc w:val="both"/>
              <w:rPr>
                <w:sz w:val="14"/>
                <w:szCs w:val="16"/>
              </w:rPr>
            </w:pPr>
          </w:p>
        </w:tc>
        <w:tc>
          <w:tcPr>
            <w:tcW w:w="1276" w:type="dxa"/>
            <w:tcBorders>
              <w:top w:val="nil"/>
              <w:left w:val="nil"/>
              <w:bottom w:val="nil"/>
              <w:right w:val="nil"/>
            </w:tcBorders>
            <w:shd w:val="clear" w:color="auto" w:fill="auto"/>
          </w:tcPr>
          <w:p w14:paraId="65E08AF8" w14:textId="77777777" w:rsidR="001B3AFC" w:rsidRPr="002815CC" w:rsidRDefault="001B3AFC" w:rsidP="00515216">
            <w:pPr>
              <w:pStyle w:val="NoSpacing"/>
              <w:jc w:val="both"/>
              <w:rPr>
                <w:sz w:val="14"/>
                <w:szCs w:val="16"/>
              </w:rPr>
            </w:pPr>
            <w:r w:rsidRPr="002815CC">
              <w:rPr>
                <w:sz w:val="14"/>
                <w:szCs w:val="16"/>
              </w:rPr>
              <w:t>split luciferase</w:t>
            </w:r>
          </w:p>
        </w:tc>
        <w:tc>
          <w:tcPr>
            <w:tcW w:w="2162" w:type="dxa"/>
            <w:tcBorders>
              <w:top w:val="nil"/>
              <w:left w:val="nil"/>
              <w:bottom w:val="nil"/>
              <w:right w:val="nil"/>
            </w:tcBorders>
            <w:shd w:val="clear" w:color="auto" w:fill="auto"/>
          </w:tcPr>
          <w:p w14:paraId="724041F4" w14:textId="77777777" w:rsidR="001B3AFC" w:rsidRPr="002815CC" w:rsidRDefault="001B3AFC" w:rsidP="00515216">
            <w:pPr>
              <w:pStyle w:val="NoSpacing"/>
              <w:jc w:val="both"/>
              <w:rPr>
                <w:sz w:val="14"/>
                <w:szCs w:val="16"/>
              </w:rPr>
            </w:pPr>
            <w:r>
              <w:rPr>
                <w:sz w:val="14"/>
                <w:szCs w:val="16"/>
              </w:rPr>
              <w:fldChar w:fldCharType="begin" w:fldLock="1"/>
            </w:r>
            <w:r>
              <w:rPr>
                <w:sz w:val="14"/>
                <w:szCs w:val="16"/>
              </w:rPr>
              <w:instrText>ADDIN CSL_CITATION {"citationItems":[{"id":"ITEM-1","itemData":{"DOI":"10.1093/pcp/pcu048","ISBN":"1471-9053 (Electronic)\\r0032-0781 (Linking)","ISSN":"14719053","PMID":"24642714","abstract":"Root hairs are fast-growing tubular protrusions on root epidermal cells that play important roles in water and nutrient uptake in plants. The tip-focused polarized growth of root hairs is accomplished by the secretion of newly synthesized materials to the tip via the polarized membrane trafficking mechanism. Here, we report the function of two different types of plasma membrane (PM) Qa-SNAREs (soluble N-ethylmaleimide-sensitive factor attachment protein receptors), SYP123 and SYP132, in the growth of root hair in Arabidopsis. We found that SYP123, but not SYP132, localizes in the tip region of root hairs by recycling between the brefeldin A (BFA)-sensitive endosomes and the PM of the expanding tip in an F-actin-dependent manner. The vesicle-associated membrane proteins VAMP721/722/724 also exhibited tip-focused localization in root hairs and formed ternary SNARE complexes with both SYP123 and SYP132. These results demonstrate that SYP123 and SYP132 act in a coordinated fashion to mediate tip-focused membrane trafficking for root hair tip growth.","author":[{"dropping-particle":"","family":"Ichikawa","given":"Mie","non-dropping-particle":"","parse-names":false,"suffix":""},{"dropping-particle":"","family":"Hirano","given":"Tomoko","non-dropping-particle":"","parse-names":false,"suffix":""},{"dropping-particle":"","family":"Enami","given":"Kazuhiko","non-dropping-particle":"","parse-names":false,"suffix":""},{"dropping-particle":"","family":"Fuselier","given":"Taylor","non-dropping-particle":"","parse-names":false,"suffix":""},{"dropping-particle":"","family":"Kato","given":"Naohiro","non-dropping-particle":"","parse-names":false,"suffix":""},{"dropping-particle":"","family":"Kwon","given":"Chian","non-dropping-particle":"","parse-names":false,"suffix":""},{"dropping-particle":"","family":"Voigt","given":"Boris","non-dropping-particle":"","parse-names":false,"suffix":""},{"dropping-particle":"","family":"Schulze-Lefert","given":"Paul","non-dropping-particle":"","parse-names":false,"suffix":""},{"dropping-particle":"","family":"Baluška","given":"František","non-dropping-particle":"","parse-names":false,"suffix":""},{"dropping-particle":"","family":"Sato","given":"Masa H.","non-dropping-particle":"","parse-names":false,"suffix":""}],"container-title":"Plant and Cell Physiology","id":"ITEM-1","issue":"4","issued":{"date-parts":[["2014"]]},"page":"790-800","title":"Syntaxin of plant proteins SYP123 and SYP132 mediate root hair tip growth in arabidopsis thaliana","type":"article-journal","volume":"55"},"uris":["http://www.mendeley.com/documents/?uuid=5d857d3a-68e6-4631-ad4c-445266ced161"]}],"mendeley":{"formattedCitation":"(Ichikawa et al., 2014)","plainTextFormattedCitation":"(Ichikawa et al., 2014)","previouslyFormattedCitation":"(Ichikawa et al., 2014)"},"properties":{"noteIndex":0},"schema":"https://github.com/citation-style-language/schema/raw/master/csl-citation.json"}</w:instrText>
            </w:r>
            <w:r>
              <w:rPr>
                <w:sz w:val="14"/>
                <w:szCs w:val="16"/>
              </w:rPr>
              <w:fldChar w:fldCharType="separate"/>
            </w:r>
            <w:r w:rsidRPr="00E67500">
              <w:rPr>
                <w:noProof/>
                <w:sz w:val="14"/>
                <w:szCs w:val="16"/>
              </w:rPr>
              <w:t>(Ichikawa et al., 2014)</w:t>
            </w:r>
            <w:r>
              <w:rPr>
                <w:sz w:val="14"/>
                <w:szCs w:val="16"/>
              </w:rPr>
              <w:fldChar w:fldCharType="end"/>
            </w:r>
          </w:p>
        </w:tc>
      </w:tr>
    </w:tbl>
    <w:p w14:paraId="79637BA2" w14:textId="77777777" w:rsidR="001B3AFC" w:rsidRDefault="001B3AFC"/>
    <w:p w14:paraId="788ADD1A" w14:textId="77777777" w:rsidR="001B3AFC" w:rsidRPr="001B3AFC" w:rsidRDefault="001B3AFC" w:rsidP="001B3AFC">
      <w:pPr>
        <w:widowControl w:val="0"/>
        <w:autoSpaceDE w:val="0"/>
        <w:autoSpaceDN w:val="0"/>
        <w:adjustRightInd w:val="0"/>
        <w:spacing w:line="240" w:lineRule="auto"/>
        <w:ind w:left="480" w:hanging="480"/>
        <w:rPr>
          <w:rFonts w:cs="Times New Roman"/>
          <w:noProof/>
          <w:sz w:val="16"/>
          <w:szCs w:val="24"/>
        </w:rPr>
      </w:pPr>
      <w:r>
        <w:br w:type="column"/>
      </w:r>
      <w:r>
        <w:lastRenderedPageBreak/>
        <w:fldChar w:fldCharType="begin" w:fldLock="1"/>
      </w:r>
      <w:r>
        <w:instrText xml:space="preserve">ADDIN Mendeley Bibliography CSL_BIBLIOGRAPHY </w:instrText>
      </w:r>
      <w:r>
        <w:fldChar w:fldCharType="separate"/>
      </w:r>
      <w:r w:rsidRPr="001B3AFC">
        <w:rPr>
          <w:rFonts w:cs="Times New Roman"/>
          <w:noProof/>
          <w:sz w:val="16"/>
          <w:szCs w:val="24"/>
        </w:rPr>
        <w:t xml:space="preserve">Ebine, K., Fujimoto, M., Okatani, Y., Nishiyama, T., Goh, T., Ito, E., et al. (2011). A membrane trafficking pathway regulated by the plant-specific RAB GTPase ARA6. </w:t>
      </w:r>
      <w:r w:rsidRPr="001B3AFC">
        <w:rPr>
          <w:rFonts w:cs="Times New Roman"/>
          <w:i/>
          <w:iCs/>
          <w:noProof/>
          <w:sz w:val="16"/>
          <w:szCs w:val="24"/>
        </w:rPr>
        <w:t>Nat. Cell Biol.</w:t>
      </w:r>
      <w:r w:rsidRPr="001B3AFC">
        <w:rPr>
          <w:rFonts w:cs="Times New Roman"/>
          <w:noProof/>
          <w:sz w:val="16"/>
          <w:szCs w:val="24"/>
        </w:rPr>
        <w:t xml:space="preserve"> 13, 853–859. doi:10.1038/ncb2270.</w:t>
      </w:r>
    </w:p>
    <w:p w14:paraId="025113FA" w14:textId="77777777" w:rsidR="001B3AFC" w:rsidRPr="001B3AFC" w:rsidRDefault="001B3AFC" w:rsidP="001B3AFC">
      <w:pPr>
        <w:widowControl w:val="0"/>
        <w:autoSpaceDE w:val="0"/>
        <w:autoSpaceDN w:val="0"/>
        <w:adjustRightInd w:val="0"/>
        <w:spacing w:line="240" w:lineRule="auto"/>
        <w:ind w:left="480" w:hanging="480"/>
        <w:rPr>
          <w:rFonts w:cs="Times New Roman"/>
          <w:noProof/>
          <w:sz w:val="16"/>
          <w:szCs w:val="24"/>
        </w:rPr>
      </w:pPr>
      <w:r w:rsidRPr="001B3AFC">
        <w:rPr>
          <w:rFonts w:cs="Times New Roman"/>
          <w:noProof/>
          <w:sz w:val="16"/>
          <w:szCs w:val="24"/>
        </w:rPr>
        <w:t xml:space="preserve">El Kasmi, F., Krause, C., Hiller, U., Stierhof, Y.-D., Mayer, U., Conner, L., et al. (2013). SNARE complexes of different composition jointly mediate membrane fusion in Arabidopsis cytokinesis. </w:t>
      </w:r>
      <w:r w:rsidRPr="001B3AFC">
        <w:rPr>
          <w:rFonts w:cs="Times New Roman"/>
          <w:i/>
          <w:iCs/>
          <w:noProof/>
          <w:sz w:val="16"/>
          <w:szCs w:val="24"/>
        </w:rPr>
        <w:t>Mol. Biol. Cell</w:t>
      </w:r>
      <w:r w:rsidRPr="001B3AFC">
        <w:rPr>
          <w:rFonts w:cs="Times New Roman"/>
          <w:noProof/>
          <w:sz w:val="16"/>
          <w:szCs w:val="24"/>
        </w:rPr>
        <w:t xml:space="preserve"> 24, 1593–601. doi:10.1091/mbc.E13-02-0074.</w:t>
      </w:r>
    </w:p>
    <w:p w14:paraId="7B781617" w14:textId="77777777" w:rsidR="001B3AFC" w:rsidRPr="001B3AFC" w:rsidRDefault="001B3AFC" w:rsidP="001B3AFC">
      <w:pPr>
        <w:widowControl w:val="0"/>
        <w:autoSpaceDE w:val="0"/>
        <w:autoSpaceDN w:val="0"/>
        <w:adjustRightInd w:val="0"/>
        <w:spacing w:line="240" w:lineRule="auto"/>
        <w:ind w:left="480" w:hanging="480"/>
        <w:rPr>
          <w:rFonts w:cs="Times New Roman"/>
          <w:noProof/>
          <w:sz w:val="16"/>
          <w:szCs w:val="24"/>
        </w:rPr>
      </w:pPr>
      <w:r w:rsidRPr="001B3AFC">
        <w:rPr>
          <w:rFonts w:cs="Times New Roman"/>
          <w:noProof/>
          <w:sz w:val="16"/>
          <w:szCs w:val="24"/>
        </w:rPr>
        <w:t xml:space="preserve">Ichikawa, M., Hirano, T., Enami, K., Fuselier, T., Kato, N., Kwon, C., et al. (2014). Syntaxin of plant proteins SYP123 and SYP132 mediate root hair tip growth in arabidopsis thaliana. </w:t>
      </w:r>
      <w:r w:rsidRPr="001B3AFC">
        <w:rPr>
          <w:rFonts w:cs="Times New Roman"/>
          <w:i/>
          <w:iCs/>
          <w:noProof/>
          <w:sz w:val="16"/>
          <w:szCs w:val="24"/>
        </w:rPr>
        <w:t>Plant Cell Physiol.</w:t>
      </w:r>
      <w:r w:rsidRPr="001B3AFC">
        <w:rPr>
          <w:rFonts w:cs="Times New Roman"/>
          <w:noProof/>
          <w:sz w:val="16"/>
          <w:szCs w:val="24"/>
        </w:rPr>
        <w:t xml:space="preserve"> 55, 790–800. doi:10.1093/pcp/pcu048.</w:t>
      </w:r>
    </w:p>
    <w:p w14:paraId="48F45A02" w14:textId="77777777" w:rsidR="001B3AFC" w:rsidRPr="001B3AFC" w:rsidRDefault="001B3AFC" w:rsidP="001B3AFC">
      <w:pPr>
        <w:widowControl w:val="0"/>
        <w:autoSpaceDE w:val="0"/>
        <w:autoSpaceDN w:val="0"/>
        <w:adjustRightInd w:val="0"/>
        <w:spacing w:line="240" w:lineRule="auto"/>
        <w:ind w:left="480" w:hanging="480"/>
        <w:rPr>
          <w:rFonts w:cs="Times New Roman"/>
          <w:noProof/>
          <w:sz w:val="16"/>
          <w:szCs w:val="24"/>
        </w:rPr>
      </w:pPr>
      <w:r w:rsidRPr="001B3AFC">
        <w:rPr>
          <w:rFonts w:cs="Times New Roman"/>
          <w:noProof/>
          <w:sz w:val="16"/>
          <w:szCs w:val="24"/>
        </w:rPr>
        <w:t xml:space="preserve">Karnik, R., Grefen, C., Bayne, R., Honsbein, A., Köhler, T., Kioumourtzoglou, D., et al. (2013). Arabidopsis Sec1/Munc18 protein SEC11 Is a competitive and dynamic modulator of SNARE binding and SYP121-dependent vesicle traffic. </w:t>
      </w:r>
      <w:r w:rsidRPr="001B3AFC">
        <w:rPr>
          <w:rFonts w:cs="Times New Roman"/>
          <w:i/>
          <w:iCs/>
          <w:noProof/>
          <w:sz w:val="16"/>
          <w:szCs w:val="24"/>
        </w:rPr>
        <w:t>Plant Cell</w:t>
      </w:r>
      <w:r w:rsidRPr="001B3AFC">
        <w:rPr>
          <w:rFonts w:cs="Times New Roman"/>
          <w:noProof/>
          <w:sz w:val="16"/>
          <w:szCs w:val="24"/>
        </w:rPr>
        <w:t xml:space="preserve"> 25, 1368–1382. doi:10.1105/tpc.112.108506.</w:t>
      </w:r>
    </w:p>
    <w:p w14:paraId="612DCDA0" w14:textId="77777777" w:rsidR="001B3AFC" w:rsidRPr="001B3AFC" w:rsidRDefault="001B3AFC" w:rsidP="001B3AFC">
      <w:pPr>
        <w:widowControl w:val="0"/>
        <w:autoSpaceDE w:val="0"/>
        <w:autoSpaceDN w:val="0"/>
        <w:adjustRightInd w:val="0"/>
        <w:spacing w:line="240" w:lineRule="auto"/>
        <w:ind w:left="480" w:hanging="480"/>
        <w:rPr>
          <w:rFonts w:cs="Times New Roman"/>
          <w:noProof/>
          <w:sz w:val="16"/>
          <w:szCs w:val="24"/>
        </w:rPr>
      </w:pPr>
      <w:r w:rsidRPr="001B3AFC">
        <w:rPr>
          <w:rFonts w:cs="Times New Roman"/>
          <w:noProof/>
          <w:sz w:val="16"/>
          <w:szCs w:val="24"/>
        </w:rPr>
        <w:t xml:space="preserve">Kwaaitaal, M., Keinath, N. F., Pajonk, S., Biskup, C., and Panstruga, R. (2010). Combined bimolecular fluorescence complementation and Forster resonance energy transfer reveals ternary SNARE complex formation in living plant cells. </w:t>
      </w:r>
      <w:r w:rsidRPr="001B3AFC">
        <w:rPr>
          <w:rFonts w:cs="Times New Roman"/>
          <w:i/>
          <w:iCs/>
          <w:noProof/>
          <w:sz w:val="16"/>
          <w:szCs w:val="24"/>
        </w:rPr>
        <w:t>Plant Physiol.</w:t>
      </w:r>
      <w:r w:rsidRPr="001B3AFC">
        <w:rPr>
          <w:rFonts w:cs="Times New Roman"/>
          <w:noProof/>
          <w:sz w:val="16"/>
          <w:szCs w:val="24"/>
        </w:rPr>
        <w:t xml:space="preserve"> 152, 1135–1147. doi:10.1104/pp.109.151142.</w:t>
      </w:r>
    </w:p>
    <w:p w14:paraId="3536573B" w14:textId="77777777" w:rsidR="001B3AFC" w:rsidRPr="001B3AFC" w:rsidRDefault="001B3AFC" w:rsidP="001B3AFC">
      <w:pPr>
        <w:widowControl w:val="0"/>
        <w:autoSpaceDE w:val="0"/>
        <w:autoSpaceDN w:val="0"/>
        <w:adjustRightInd w:val="0"/>
        <w:spacing w:line="240" w:lineRule="auto"/>
        <w:ind w:left="480" w:hanging="480"/>
        <w:rPr>
          <w:rFonts w:cs="Times New Roman"/>
          <w:noProof/>
          <w:sz w:val="16"/>
          <w:szCs w:val="24"/>
        </w:rPr>
      </w:pPr>
      <w:r w:rsidRPr="001B3AFC">
        <w:rPr>
          <w:rFonts w:cs="Times New Roman"/>
          <w:noProof/>
          <w:sz w:val="16"/>
          <w:szCs w:val="24"/>
        </w:rPr>
        <w:t xml:space="preserve">Kwon, C., Bednarek, P., and Schulze-Lefert, P. (2008). Secretory pathways in plant immune response. </w:t>
      </w:r>
      <w:r w:rsidRPr="001B3AFC">
        <w:rPr>
          <w:rFonts w:cs="Times New Roman"/>
          <w:i/>
          <w:iCs/>
          <w:noProof/>
          <w:sz w:val="16"/>
          <w:szCs w:val="24"/>
        </w:rPr>
        <w:t>Plant Physiol.</w:t>
      </w:r>
      <w:r w:rsidRPr="001B3AFC">
        <w:rPr>
          <w:rFonts w:cs="Times New Roman"/>
          <w:noProof/>
          <w:sz w:val="16"/>
          <w:szCs w:val="24"/>
        </w:rPr>
        <w:t xml:space="preserve"> 147, 1575–1583. doi:10.1104/pp.108.121566.</w:t>
      </w:r>
    </w:p>
    <w:p w14:paraId="00BD3FB0" w14:textId="77777777" w:rsidR="001B3AFC" w:rsidRPr="001B3AFC" w:rsidRDefault="001B3AFC" w:rsidP="001B3AFC">
      <w:pPr>
        <w:widowControl w:val="0"/>
        <w:autoSpaceDE w:val="0"/>
        <w:autoSpaceDN w:val="0"/>
        <w:adjustRightInd w:val="0"/>
        <w:spacing w:line="240" w:lineRule="auto"/>
        <w:ind w:left="480" w:hanging="480"/>
        <w:rPr>
          <w:rFonts w:cs="Times New Roman"/>
          <w:noProof/>
          <w:sz w:val="16"/>
          <w:szCs w:val="24"/>
        </w:rPr>
      </w:pPr>
      <w:r w:rsidRPr="001B3AFC">
        <w:rPr>
          <w:rFonts w:cs="Times New Roman"/>
          <w:noProof/>
          <w:sz w:val="16"/>
          <w:szCs w:val="24"/>
        </w:rPr>
        <w:t xml:space="preserve">Pajonk, S., Kwon, C., Clemens, N., Panstruga, R., and Schulze-Lefert, P. (2008). Activity determinants and functional specialization of Arabidopsis PEN1 syntaxin in innate immunity. </w:t>
      </w:r>
      <w:r w:rsidRPr="001B3AFC">
        <w:rPr>
          <w:rFonts w:cs="Times New Roman"/>
          <w:i/>
          <w:iCs/>
          <w:noProof/>
          <w:sz w:val="16"/>
          <w:szCs w:val="24"/>
        </w:rPr>
        <w:t>J. Biol. Chem.</w:t>
      </w:r>
      <w:r w:rsidRPr="001B3AFC">
        <w:rPr>
          <w:rFonts w:cs="Times New Roman"/>
          <w:noProof/>
          <w:sz w:val="16"/>
          <w:szCs w:val="24"/>
        </w:rPr>
        <w:t xml:space="preserve"> 283, 26974–26984. doi:10.1074/jbc.M805236200.</w:t>
      </w:r>
    </w:p>
    <w:p w14:paraId="774100D3" w14:textId="77777777" w:rsidR="001B3AFC" w:rsidRPr="001B3AFC" w:rsidRDefault="001B3AFC" w:rsidP="001B3AFC">
      <w:pPr>
        <w:widowControl w:val="0"/>
        <w:autoSpaceDE w:val="0"/>
        <w:autoSpaceDN w:val="0"/>
        <w:adjustRightInd w:val="0"/>
        <w:spacing w:line="240" w:lineRule="auto"/>
        <w:ind w:left="480" w:hanging="480"/>
        <w:rPr>
          <w:noProof/>
          <w:sz w:val="16"/>
        </w:rPr>
      </w:pPr>
      <w:r w:rsidRPr="001B3AFC">
        <w:rPr>
          <w:rFonts w:cs="Times New Roman"/>
          <w:noProof/>
          <w:sz w:val="16"/>
          <w:szCs w:val="24"/>
        </w:rPr>
        <w:t xml:space="preserve">Yun, H. S., Kwaaitaal, M., Kato, N., Yi, C., Park, S., Sato, M. H., et al. (2013). Requirement of vesicle-associated membrane protein 721 and 722 for sustained growth during immune responses in Arabidopsis. </w:t>
      </w:r>
      <w:r w:rsidRPr="001B3AFC">
        <w:rPr>
          <w:rFonts w:cs="Times New Roman"/>
          <w:i/>
          <w:iCs/>
          <w:noProof/>
          <w:sz w:val="16"/>
          <w:szCs w:val="24"/>
        </w:rPr>
        <w:t>Mol. Cells</w:t>
      </w:r>
      <w:r w:rsidRPr="001B3AFC">
        <w:rPr>
          <w:rFonts w:cs="Times New Roman"/>
          <w:noProof/>
          <w:sz w:val="16"/>
          <w:szCs w:val="24"/>
        </w:rPr>
        <w:t>, 1–8. doi:10.1007/s10059-013-2130-2.</w:t>
      </w:r>
    </w:p>
    <w:p w14:paraId="13C9A035" w14:textId="22C71148" w:rsidR="00AA2BB2" w:rsidRDefault="001B3AFC">
      <w:r>
        <w:fldChar w:fldCharType="end"/>
      </w:r>
    </w:p>
    <w:p w14:paraId="49EEC29C" w14:textId="77777777" w:rsidR="00AA2BB2" w:rsidRDefault="00AA2BB2">
      <w:pPr>
        <w:spacing w:after="160" w:line="302" w:lineRule="auto"/>
      </w:pPr>
      <w:r>
        <w:br w:type="page"/>
      </w:r>
    </w:p>
    <w:p w14:paraId="67ACB123" w14:textId="77777777" w:rsidR="00AA2BB2" w:rsidRPr="0005156A" w:rsidRDefault="00AA2BB2" w:rsidP="00AA2BB2">
      <w:pPr>
        <w:jc w:val="both"/>
        <w:rPr>
          <w:sz w:val="18"/>
          <w:szCs w:val="18"/>
        </w:rPr>
      </w:pPr>
      <w:r>
        <w:rPr>
          <w:b/>
        </w:rPr>
        <w:lastRenderedPageBreak/>
        <w:t>Table S2.</w:t>
      </w:r>
      <w:r>
        <w:t xml:space="preserve"> P</w:t>
      </w:r>
      <w:r w:rsidRPr="00877FBC">
        <w:t>rimers used</w:t>
      </w:r>
      <w:r>
        <w:t xml:space="preserve"> in this study.</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011"/>
        <w:gridCol w:w="941"/>
        <w:gridCol w:w="1777"/>
        <w:gridCol w:w="4333"/>
      </w:tblGrid>
      <w:tr w:rsidR="00AA2BB2" w:rsidRPr="002815CC" w14:paraId="66DF837D" w14:textId="77777777" w:rsidTr="00A9660E">
        <w:trPr>
          <w:trHeight w:val="20"/>
        </w:trPr>
        <w:tc>
          <w:tcPr>
            <w:tcW w:w="2011" w:type="dxa"/>
            <w:tcBorders>
              <w:top w:val="single" w:sz="4" w:space="0" w:color="auto"/>
              <w:left w:val="single" w:sz="4" w:space="0" w:color="auto"/>
              <w:bottom w:val="single" w:sz="4" w:space="0" w:color="auto"/>
              <w:right w:val="single" w:sz="4" w:space="0" w:color="auto"/>
            </w:tcBorders>
            <w:shd w:val="clear" w:color="auto" w:fill="auto"/>
            <w:noWrap/>
            <w:hideMark/>
          </w:tcPr>
          <w:p w14:paraId="67147D14" w14:textId="77777777" w:rsidR="00AA2BB2" w:rsidRPr="002815CC" w:rsidRDefault="00AA2BB2" w:rsidP="00A9660E">
            <w:pPr>
              <w:spacing w:after="0" w:line="240" w:lineRule="auto"/>
              <w:jc w:val="both"/>
              <w:rPr>
                <w:rFonts w:ascii="Times New Roman" w:eastAsia="Times New Roman" w:hAnsi="Times New Roman" w:cs="Times New Roman"/>
                <w:sz w:val="12"/>
                <w:szCs w:val="16"/>
              </w:rPr>
            </w:pPr>
          </w:p>
        </w:tc>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14:paraId="180F61A7" w14:textId="77777777" w:rsidR="00AA2BB2" w:rsidRPr="002815CC" w:rsidRDefault="00AA2BB2" w:rsidP="00A9660E">
            <w:pPr>
              <w:spacing w:after="0" w:line="240" w:lineRule="auto"/>
              <w:jc w:val="both"/>
              <w:rPr>
                <w:rFonts w:ascii="Calibri" w:eastAsia="Times New Roman" w:hAnsi="Calibri" w:cs="Calibri"/>
                <w:b/>
                <w:color w:val="000000"/>
                <w:sz w:val="12"/>
                <w:szCs w:val="16"/>
              </w:rPr>
            </w:pPr>
            <w:r w:rsidRPr="002815CC">
              <w:rPr>
                <w:rFonts w:ascii="Calibri" w:eastAsia="Times New Roman" w:hAnsi="Calibri" w:cs="Calibri"/>
                <w:b/>
                <w:color w:val="000000"/>
                <w:sz w:val="12"/>
                <w:szCs w:val="16"/>
              </w:rPr>
              <w:t>number</w:t>
            </w:r>
          </w:p>
        </w:tc>
        <w:tc>
          <w:tcPr>
            <w:tcW w:w="1777" w:type="dxa"/>
            <w:tcBorders>
              <w:top w:val="single" w:sz="4" w:space="0" w:color="auto"/>
              <w:left w:val="single" w:sz="4" w:space="0" w:color="auto"/>
              <w:bottom w:val="single" w:sz="4" w:space="0" w:color="auto"/>
              <w:right w:val="single" w:sz="4" w:space="0" w:color="auto"/>
            </w:tcBorders>
            <w:shd w:val="clear" w:color="auto" w:fill="auto"/>
            <w:noWrap/>
            <w:hideMark/>
          </w:tcPr>
          <w:p w14:paraId="21220109" w14:textId="77777777" w:rsidR="00AA2BB2" w:rsidRPr="002815CC" w:rsidRDefault="00AA2BB2" w:rsidP="00A9660E">
            <w:pPr>
              <w:spacing w:after="0" w:line="240" w:lineRule="auto"/>
              <w:jc w:val="both"/>
              <w:rPr>
                <w:rFonts w:ascii="Calibri" w:eastAsia="Times New Roman" w:hAnsi="Calibri" w:cs="Calibri"/>
                <w:b/>
                <w:color w:val="000000"/>
                <w:sz w:val="12"/>
                <w:szCs w:val="16"/>
              </w:rPr>
            </w:pPr>
            <w:r w:rsidRPr="002815CC">
              <w:rPr>
                <w:rFonts w:ascii="Calibri" w:eastAsia="Times New Roman" w:hAnsi="Calibri" w:cs="Calibri"/>
                <w:b/>
                <w:color w:val="000000"/>
                <w:sz w:val="12"/>
                <w:szCs w:val="16"/>
              </w:rPr>
              <w:t>name</w:t>
            </w:r>
          </w:p>
        </w:tc>
        <w:tc>
          <w:tcPr>
            <w:tcW w:w="4333" w:type="dxa"/>
            <w:tcBorders>
              <w:top w:val="single" w:sz="4" w:space="0" w:color="auto"/>
              <w:left w:val="single" w:sz="4" w:space="0" w:color="auto"/>
              <w:bottom w:val="single" w:sz="4" w:space="0" w:color="auto"/>
              <w:right w:val="single" w:sz="4" w:space="0" w:color="auto"/>
            </w:tcBorders>
            <w:shd w:val="clear" w:color="auto" w:fill="auto"/>
            <w:noWrap/>
            <w:hideMark/>
          </w:tcPr>
          <w:p w14:paraId="308E870B" w14:textId="77777777" w:rsidR="00AA2BB2" w:rsidRPr="002815CC" w:rsidRDefault="00AA2BB2" w:rsidP="00A9660E">
            <w:pPr>
              <w:spacing w:after="0" w:line="240" w:lineRule="auto"/>
              <w:jc w:val="both"/>
              <w:rPr>
                <w:rFonts w:ascii="Calibri" w:eastAsia="Times New Roman" w:hAnsi="Calibri" w:cs="Calibri"/>
                <w:b/>
                <w:color w:val="000000"/>
                <w:sz w:val="12"/>
                <w:szCs w:val="16"/>
              </w:rPr>
            </w:pPr>
            <w:r w:rsidRPr="002815CC">
              <w:rPr>
                <w:rFonts w:ascii="Calibri" w:eastAsia="Times New Roman" w:hAnsi="Calibri" w:cs="Calibri"/>
                <w:b/>
                <w:color w:val="000000"/>
                <w:sz w:val="12"/>
                <w:szCs w:val="16"/>
              </w:rPr>
              <w:t>Sequence 5’</w:t>
            </w:r>
            <w:r w:rsidRPr="002815CC">
              <w:rPr>
                <w:rFonts w:ascii="Calibri" w:eastAsia="Times New Roman" w:hAnsi="Calibri" w:cs="Calibri"/>
                <w:b/>
                <w:color w:val="000000"/>
                <w:sz w:val="12"/>
                <w:szCs w:val="16"/>
              </w:rPr>
              <w:sym w:font="Wingdings" w:char="F0E0"/>
            </w:r>
            <w:r w:rsidRPr="002815CC">
              <w:rPr>
                <w:rFonts w:ascii="Calibri" w:eastAsia="Times New Roman" w:hAnsi="Calibri" w:cs="Calibri"/>
                <w:b/>
                <w:color w:val="000000"/>
                <w:sz w:val="12"/>
                <w:szCs w:val="16"/>
              </w:rPr>
              <w:t>3’</w:t>
            </w:r>
          </w:p>
        </w:tc>
      </w:tr>
      <w:tr w:rsidR="00AA2BB2" w:rsidRPr="002815CC" w14:paraId="4093084A" w14:textId="77777777" w:rsidTr="00A9660E">
        <w:trPr>
          <w:trHeight w:val="20"/>
        </w:trPr>
        <w:tc>
          <w:tcPr>
            <w:tcW w:w="2011" w:type="dxa"/>
            <w:vMerge w:val="restart"/>
            <w:tcBorders>
              <w:top w:val="single" w:sz="4" w:space="0" w:color="auto"/>
            </w:tcBorders>
            <w:shd w:val="clear" w:color="auto" w:fill="auto"/>
            <w:noWrap/>
            <w:hideMark/>
          </w:tcPr>
          <w:p w14:paraId="27C45217" w14:textId="77777777" w:rsidR="00AA2BB2" w:rsidRPr="002815CC" w:rsidRDefault="00AA2BB2" w:rsidP="00A9660E">
            <w:pPr>
              <w:spacing w:after="0" w:line="240" w:lineRule="auto"/>
              <w:jc w:val="both"/>
              <w:rPr>
                <w:rFonts w:eastAsia="Times New Roman" w:cstheme="minorHAnsi"/>
                <w:color w:val="000000"/>
                <w:sz w:val="12"/>
                <w:szCs w:val="16"/>
              </w:rPr>
            </w:pPr>
            <w:proofErr w:type="spellStart"/>
            <w:r w:rsidRPr="002815CC">
              <w:rPr>
                <w:rFonts w:eastAsia="Times New Roman" w:cstheme="minorHAnsi"/>
                <w:color w:val="000000"/>
                <w:sz w:val="12"/>
                <w:szCs w:val="16"/>
              </w:rPr>
              <w:t>ddPRC</w:t>
            </w:r>
            <w:proofErr w:type="spellEnd"/>
            <w:r w:rsidRPr="002815CC">
              <w:rPr>
                <w:rFonts w:eastAsia="Times New Roman" w:cstheme="minorHAnsi"/>
                <w:color w:val="000000"/>
                <w:sz w:val="12"/>
                <w:szCs w:val="16"/>
              </w:rPr>
              <w:t>/qPCR</w:t>
            </w:r>
          </w:p>
        </w:tc>
        <w:tc>
          <w:tcPr>
            <w:tcW w:w="941" w:type="dxa"/>
            <w:tcBorders>
              <w:top w:val="single" w:sz="4" w:space="0" w:color="auto"/>
            </w:tcBorders>
            <w:shd w:val="clear" w:color="auto" w:fill="auto"/>
            <w:noWrap/>
            <w:hideMark/>
          </w:tcPr>
          <w:p w14:paraId="318E039D"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1</w:t>
            </w:r>
          </w:p>
        </w:tc>
        <w:tc>
          <w:tcPr>
            <w:tcW w:w="1777" w:type="dxa"/>
            <w:tcBorders>
              <w:top w:val="single" w:sz="4" w:space="0" w:color="auto"/>
            </w:tcBorders>
            <w:shd w:val="clear" w:color="auto" w:fill="auto"/>
            <w:noWrap/>
            <w:hideMark/>
          </w:tcPr>
          <w:p w14:paraId="302D6DE9"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SYP111F</w:t>
            </w:r>
          </w:p>
        </w:tc>
        <w:tc>
          <w:tcPr>
            <w:tcW w:w="4333" w:type="dxa"/>
            <w:tcBorders>
              <w:top w:val="single" w:sz="4" w:space="0" w:color="auto"/>
            </w:tcBorders>
            <w:shd w:val="clear" w:color="auto" w:fill="auto"/>
            <w:noWrap/>
            <w:hideMark/>
          </w:tcPr>
          <w:p w14:paraId="59DE4F3F"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TCCCATTGTCACTAGTTTCAGC</w:t>
            </w:r>
          </w:p>
        </w:tc>
      </w:tr>
      <w:tr w:rsidR="00AA2BB2" w:rsidRPr="002815CC" w14:paraId="26844C03" w14:textId="77777777" w:rsidTr="00A9660E">
        <w:trPr>
          <w:trHeight w:val="20"/>
        </w:trPr>
        <w:tc>
          <w:tcPr>
            <w:tcW w:w="2011" w:type="dxa"/>
            <w:vMerge/>
            <w:shd w:val="clear" w:color="auto" w:fill="auto"/>
            <w:noWrap/>
            <w:hideMark/>
          </w:tcPr>
          <w:p w14:paraId="63B1E801"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hideMark/>
          </w:tcPr>
          <w:p w14:paraId="3B1E687F"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2</w:t>
            </w:r>
          </w:p>
        </w:tc>
        <w:tc>
          <w:tcPr>
            <w:tcW w:w="1777" w:type="dxa"/>
            <w:shd w:val="clear" w:color="auto" w:fill="auto"/>
            <w:noWrap/>
            <w:hideMark/>
          </w:tcPr>
          <w:p w14:paraId="189BACD3"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SYP111R</w:t>
            </w:r>
          </w:p>
        </w:tc>
        <w:tc>
          <w:tcPr>
            <w:tcW w:w="4333" w:type="dxa"/>
            <w:shd w:val="clear" w:color="auto" w:fill="auto"/>
            <w:noWrap/>
            <w:hideMark/>
          </w:tcPr>
          <w:p w14:paraId="2741E894"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GGCAATTCAAACGACGATG</w:t>
            </w:r>
          </w:p>
        </w:tc>
      </w:tr>
      <w:tr w:rsidR="00AA2BB2" w:rsidRPr="002815CC" w14:paraId="137CFB75" w14:textId="77777777" w:rsidTr="00A9660E">
        <w:trPr>
          <w:trHeight w:val="20"/>
        </w:trPr>
        <w:tc>
          <w:tcPr>
            <w:tcW w:w="2011" w:type="dxa"/>
            <w:vMerge/>
            <w:shd w:val="clear" w:color="auto" w:fill="auto"/>
            <w:noWrap/>
            <w:hideMark/>
          </w:tcPr>
          <w:p w14:paraId="3C64C530"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hideMark/>
          </w:tcPr>
          <w:p w14:paraId="00EDA1D3"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3</w:t>
            </w:r>
          </w:p>
        </w:tc>
        <w:tc>
          <w:tcPr>
            <w:tcW w:w="1777" w:type="dxa"/>
            <w:shd w:val="clear" w:color="auto" w:fill="auto"/>
            <w:noWrap/>
            <w:hideMark/>
          </w:tcPr>
          <w:p w14:paraId="3765D7E5"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SYP121F</w:t>
            </w:r>
          </w:p>
        </w:tc>
        <w:tc>
          <w:tcPr>
            <w:tcW w:w="4333" w:type="dxa"/>
            <w:shd w:val="clear" w:color="auto" w:fill="auto"/>
            <w:noWrap/>
            <w:hideMark/>
          </w:tcPr>
          <w:p w14:paraId="59184787"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ATGCAGCAGCTATTCCCATC</w:t>
            </w:r>
          </w:p>
        </w:tc>
      </w:tr>
      <w:tr w:rsidR="00AA2BB2" w:rsidRPr="002815CC" w14:paraId="3CFD5ECD" w14:textId="77777777" w:rsidTr="00A9660E">
        <w:trPr>
          <w:trHeight w:val="20"/>
        </w:trPr>
        <w:tc>
          <w:tcPr>
            <w:tcW w:w="2011" w:type="dxa"/>
            <w:vMerge/>
            <w:shd w:val="clear" w:color="auto" w:fill="auto"/>
            <w:noWrap/>
            <w:hideMark/>
          </w:tcPr>
          <w:p w14:paraId="3CC7832F"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hideMark/>
          </w:tcPr>
          <w:p w14:paraId="4D006715"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4</w:t>
            </w:r>
          </w:p>
        </w:tc>
        <w:tc>
          <w:tcPr>
            <w:tcW w:w="1777" w:type="dxa"/>
            <w:shd w:val="clear" w:color="auto" w:fill="auto"/>
            <w:noWrap/>
            <w:hideMark/>
          </w:tcPr>
          <w:p w14:paraId="237F75A2"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SYP121R</w:t>
            </w:r>
          </w:p>
        </w:tc>
        <w:tc>
          <w:tcPr>
            <w:tcW w:w="4333" w:type="dxa"/>
            <w:shd w:val="clear" w:color="auto" w:fill="auto"/>
            <w:noWrap/>
            <w:hideMark/>
          </w:tcPr>
          <w:p w14:paraId="6BD09BFE"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TTCACAAGGTTTGCCTCACC</w:t>
            </w:r>
          </w:p>
        </w:tc>
      </w:tr>
      <w:tr w:rsidR="00AA2BB2" w:rsidRPr="002815CC" w14:paraId="46A04588" w14:textId="77777777" w:rsidTr="00A9660E">
        <w:trPr>
          <w:trHeight w:val="20"/>
        </w:trPr>
        <w:tc>
          <w:tcPr>
            <w:tcW w:w="2011" w:type="dxa"/>
            <w:vMerge/>
            <w:shd w:val="clear" w:color="auto" w:fill="auto"/>
            <w:noWrap/>
            <w:hideMark/>
          </w:tcPr>
          <w:p w14:paraId="5F2ABE4E"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hideMark/>
          </w:tcPr>
          <w:p w14:paraId="05D39C64"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5</w:t>
            </w:r>
          </w:p>
        </w:tc>
        <w:tc>
          <w:tcPr>
            <w:tcW w:w="1777" w:type="dxa"/>
            <w:shd w:val="clear" w:color="auto" w:fill="auto"/>
            <w:noWrap/>
            <w:hideMark/>
          </w:tcPr>
          <w:p w14:paraId="22236AF1"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SYP122F</w:t>
            </w:r>
          </w:p>
        </w:tc>
        <w:tc>
          <w:tcPr>
            <w:tcW w:w="4333" w:type="dxa"/>
            <w:shd w:val="clear" w:color="auto" w:fill="auto"/>
            <w:noWrap/>
            <w:hideMark/>
          </w:tcPr>
          <w:p w14:paraId="43CA6562"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AGCGAGGAAGAACAAGATCAG</w:t>
            </w:r>
          </w:p>
        </w:tc>
      </w:tr>
      <w:tr w:rsidR="00AA2BB2" w:rsidRPr="002815CC" w14:paraId="2F89B9C6" w14:textId="77777777" w:rsidTr="00A9660E">
        <w:trPr>
          <w:trHeight w:val="20"/>
        </w:trPr>
        <w:tc>
          <w:tcPr>
            <w:tcW w:w="2011" w:type="dxa"/>
            <w:vMerge/>
            <w:shd w:val="clear" w:color="auto" w:fill="auto"/>
            <w:noWrap/>
            <w:hideMark/>
          </w:tcPr>
          <w:p w14:paraId="0D983F96"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hideMark/>
          </w:tcPr>
          <w:p w14:paraId="24CC146B"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6</w:t>
            </w:r>
          </w:p>
        </w:tc>
        <w:tc>
          <w:tcPr>
            <w:tcW w:w="1777" w:type="dxa"/>
            <w:shd w:val="clear" w:color="auto" w:fill="auto"/>
            <w:noWrap/>
            <w:hideMark/>
          </w:tcPr>
          <w:p w14:paraId="443805D1"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SYP122R</w:t>
            </w:r>
          </w:p>
        </w:tc>
        <w:tc>
          <w:tcPr>
            <w:tcW w:w="4333" w:type="dxa"/>
            <w:shd w:val="clear" w:color="auto" w:fill="auto"/>
            <w:noWrap/>
            <w:hideMark/>
          </w:tcPr>
          <w:p w14:paraId="3443FE90"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CCGATTGTAACCCTTGTTCC</w:t>
            </w:r>
          </w:p>
        </w:tc>
      </w:tr>
      <w:tr w:rsidR="00AA2BB2" w:rsidRPr="002815CC" w14:paraId="0F9BFB19" w14:textId="77777777" w:rsidTr="00A9660E">
        <w:trPr>
          <w:trHeight w:val="20"/>
        </w:trPr>
        <w:tc>
          <w:tcPr>
            <w:tcW w:w="2011" w:type="dxa"/>
            <w:vMerge/>
            <w:shd w:val="clear" w:color="auto" w:fill="auto"/>
            <w:noWrap/>
            <w:hideMark/>
          </w:tcPr>
          <w:p w14:paraId="51A8A424"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hideMark/>
          </w:tcPr>
          <w:p w14:paraId="4DADD04B"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7</w:t>
            </w:r>
          </w:p>
        </w:tc>
        <w:tc>
          <w:tcPr>
            <w:tcW w:w="1777" w:type="dxa"/>
            <w:shd w:val="clear" w:color="auto" w:fill="auto"/>
            <w:noWrap/>
            <w:hideMark/>
          </w:tcPr>
          <w:p w14:paraId="201CB792"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SYP123F</w:t>
            </w:r>
          </w:p>
        </w:tc>
        <w:tc>
          <w:tcPr>
            <w:tcW w:w="4333" w:type="dxa"/>
            <w:shd w:val="clear" w:color="auto" w:fill="auto"/>
            <w:noWrap/>
            <w:hideMark/>
          </w:tcPr>
          <w:p w14:paraId="08BB2C37"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TCTCAAATGGTGGCTACTGG</w:t>
            </w:r>
          </w:p>
        </w:tc>
      </w:tr>
      <w:tr w:rsidR="00AA2BB2" w:rsidRPr="002815CC" w14:paraId="5498B12F" w14:textId="77777777" w:rsidTr="00A9660E">
        <w:trPr>
          <w:trHeight w:val="20"/>
        </w:trPr>
        <w:tc>
          <w:tcPr>
            <w:tcW w:w="2011" w:type="dxa"/>
            <w:vMerge/>
            <w:shd w:val="clear" w:color="auto" w:fill="auto"/>
            <w:noWrap/>
            <w:hideMark/>
          </w:tcPr>
          <w:p w14:paraId="6DFC9BA3"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hideMark/>
          </w:tcPr>
          <w:p w14:paraId="0EEBA6D7"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8</w:t>
            </w:r>
          </w:p>
        </w:tc>
        <w:tc>
          <w:tcPr>
            <w:tcW w:w="1777" w:type="dxa"/>
            <w:shd w:val="clear" w:color="auto" w:fill="auto"/>
            <w:noWrap/>
            <w:hideMark/>
          </w:tcPr>
          <w:p w14:paraId="016C4BDE"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SYP123R</w:t>
            </w:r>
          </w:p>
        </w:tc>
        <w:tc>
          <w:tcPr>
            <w:tcW w:w="4333" w:type="dxa"/>
            <w:shd w:val="clear" w:color="auto" w:fill="auto"/>
            <w:noWrap/>
            <w:hideMark/>
          </w:tcPr>
          <w:p w14:paraId="32A73B3F"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TGATGCTTGACTTGACTACCAAG</w:t>
            </w:r>
          </w:p>
        </w:tc>
      </w:tr>
      <w:tr w:rsidR="00AA2BB2" w:rsidRPr="002815CC" w14:paraId="498AEA04" w14:textId="77777777" w:rsidTr="00A9660E">
        <w:trPr>
          <w:trHeight w:val="20"/>
        </w:trPr>
        <w:tc>
          <w:tcPr>
            <w:tcW w:w="2011" w:type="dxa"/>
            <w:vMerge/>
            <w:shd w:val="clear" w:color="auto" w:fill="auto"/>
            <w:noWrap/>
            <w:hideMark/>
          </w:tcPr>
          <w:p w14:paraId="00D2407E"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hideMark/>
          </w:tcPr>
          <w:p w14:paraId="1D00C67E"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9</w:t>
            </w:r>
          </w:p>
        </w:tc>
        <w:tc>
          <w:tcPr>
            <w:tcW w:w="1777" w:type="dxa"/>
            <w:shd w:val="clear" w:color="auto" w:fill="auto"/>
            <w:noWrap/>
            <w:hideMark/>
          </w:tcPr>
          <w:p w14:paraId="41CB8367"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SYP131F</w:t>
            </w:r>
          </w:p>
        </w:tc>
        <w:tc>
          <w:tcPr>
            <w:tcW w:w="4333" w:type="dxa"/>
            <w:shd w:val="clear" w:color="auto" w:fill="auto"/>
            <w:noWrap/>
            <w:hideMark/>
          </w:tcPr>
          <w:p w14:paraId="377CCB2A"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CGGTAACACATTGTTTCCACAAC</w:t>
            </w:r>
          </w:p>
        </w:tc>
      </w:tr>
      <w:tr w:rsidR="00AA2BB2" w:rsidRPr="002815CC" w14:paraId="2C0021E9" w14:textId="77777777" w:rsidTr="00A9660E">
        <w:trPr>
          <w:trHeight w:val="20"/>
        </w:trPr>
        <w:tc>
          <w:tcPr>
            <w:tcW w:w="2011" w:type="dxa"/>
            <w:vMerge/>
            <w:shd w:val="clear" w:color="auto" w:fill="auto"/>
            <w:noWrap/>
            <w:hideMark/>
          </w:tcPr>
          <w:p w14:paraId="71407A89"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hideMark/>
          </w:tcPr>
          <w:p w14:paraId="51A9C6DD"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10</w:t>
            </w:r>
          </w:p>
        </w:tc>
        <w:tc>
          <w:tcPr>
            <w:tcW w:w="1777" w:type="dxa"/>
            <w:shd w:val="clear" w:color="auto" w:fill="auto"/>
            <w:noWrap/>
            <w:hideMark/>
          </w:tcPr>
          <w:p w14:paraId="793EF81B"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SYP131R</w:t>
            </w:r>
          </w:p>
        </w:tc>
        <w:tc>
          <w:tcPr>
            <w:tcW w:w="4333" w:type="dxa"/>
            <w:shd w:val="clear" w:color="auto" w:fill="auto"/>
            <w:noWrap/>
            <w:hideMark/>
          </w:tcPr>
          <w:p w14:paraId="7FC10C41"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GAGACCAATGTTTGTTTCAACC</w:t>
            </w:r>
          </w:p>
        </w:tc>
      </w:tr>
      <w:tr w:rsidR="00AA2BB2" w:rsidRPr="002815CC" w14:paraId="5B3C68C2" w14:textId="77777777" w:rsidTr="00A9660E">
        <w:trPr>
          <w:trHeight w:val="20"/>
        </w:trPr>
        <w:tc>
          <w:tcPr>
            <w:tcW w:w="2011" w:type="dxa"/>
            <w:vMerge/>
            <w:shd w:val="clear" w:color="auto" w:fill="auto"/>
            <w:noWrap/>
            <w:hideMark/>
          </w:tcPr>
          <w:p w14:paraId="1C21AAB5"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hideMark/>
          </w:tcPr>
          <w:p w14:paraId="529EAB08"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11</w:t>
            </w:r>
          </w:p>
        </w:tc>
        <w:tc>
          <w:tcPr>
            <w:tcW w:w="1777" w:type="dxa"/>
            <w:shd w:val="clear" w:color="auto" w:fill="auto"/>
            <w:noWrap/>
            <w:hideMark/>
          </w:tcPr>
          <w:p w14:paraId="2C144479"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SYP132AF</w:t>
            </w:r>
          </w:p>
        </w:tc>
        <w:tc>
          <w:tcPr>
            <w:tcW w:w="4333" w:type="dxa"/>
            <w:shd w:val="clear" w:color="auto" w:fill="auto"/>
            <w:noWrap/>
            <w:hideMark/>
          </w:tcPr>
          <w:p w14:paraId="2093A562"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CAGCAGTTTAACAAGGTTCATGG</w:t>
            </w:r>
          </w:p>
        </w:tc>
      </w:tr>
      <w:tr w:rsidR="00AA2BB2" w:rsidRPr="002815CC" w14:paraId="69CC9DB2" w14:textId="77777777" w:rsidTr="00A9660E">
        <w:trPr>
          <w:trHeight w:val="20"/>
        </w:trPr>
        <w:tc>
          <w:tcPr>
            <w:tcW w:w="2011" w:type="dxa"/>
            <w:vMerge/>
            <w:shd w:val="clear" w:color="auto" w:fill="auto"/>
            <w:noWrap/>
            <w:hideMark/>
          </w:tcPr>
          <w:p w14:paraId="378BB13F"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hideMark/>
          </w:tcPr>
          <w:p w14:paraId="051B7E67"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12</w:t>
            </w:r>
          </w:p>
        </w:tc>
        <w:tc>
          <w:tcPr>
            <w:tcW w:w="1777" w:type="dxa"/>
            <w:shd w:val="clear" w:color="auto" w:fill="auto"/>
            <w:noWrap/>
            <w:hideMark/>
          </w:tcPr>
          <w:p w14:paraId="0ACCF7F5"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SYP132AR</w:t>
            </w:r>
          </w:p>
        </w:tc>
        <w:tc>
          <w:tcPr>
            <w:tcW w:w="4333" w:type="dxa"/>
            <w:shd w:val="clear" w:color="auto" w:fill="auto"/>
            <w:noWrap/>
            <w:hideMark/>
          </w:tcPr>
          <w:p w14:paraId="745130DE"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AATATGCACAGAAAGCCAATTC</w:t>
            </w:r>
          </w:p>
        </w:tc>
      </w:tr>
      <w:tr w:rsidR="00AA2BB2" w:rsidRPr="002815CC" w14:paraId="14AE677A" w14:textId="77777777" w:rsidTr="00A9660E">
        <w:trPr>
          <w:trHeight w:val="20"/>
        </w:trPr>
        <w:tc>
          <w:tcPr>
            <w:tcW w:w="2011" w:type="dxa"/>
            <w:vMerge/>
            <w:shd w:val="clear" w:color="auto" w:fill="auto"/>
            <w:noWrap/>
            <w:hideMark/>
          </w:tcPr>
          <w:p w14:paraId="69CAA8FA"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hideMark/>
          </w:tcPr>
          <w:p w14:paraId="1EC16D91"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13</w:t>
            </w:r>
          </w:p>
        </w:tc>
        <w:tc>
          <w:tcPr>
            <w:tcW w:w="1777" w:type="dxa"/>
            <w:shd w:val="clear" w:color="auto" w:fill="auto"/>
            <w:noWrap/>
            <w:hideMark/>
          </w:tcPr>
          <w:p w14:paraId="7D9518FB"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SYP132BF</w:t>
            </w:r>
          </w:p>
        </w:tc>
        <w:tc>
          <w:tcPr>
            <w:tcW w:w="4333" w:type="dxa"/>
            <w:shd w:val="clear" w:color="auto" w:fill="auto"/>
            <w:noWrap/>
            <w:hideMark/>
          </w:tcPr>
          <w:p w14:paraId="5BEC560F"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GTTGTGTTGGTTGGGAAAGC</w:t>
            </w:r>
          </w:p>
        </w:tc>
      </w:tr>
      <w:tr w:rsidR="00AA2BB2" w:rsidRPr="002815CC" w14:paraId="42E4089A" w14:textId="77777777" w:rsidTr="00A9660E">
        <w:trPr>
          <w:trHeight w:val="20"/>
        </w:trPr>
        <w:tc>
          <w:tcPr>
            <w:tcW w:w="2011" w:type="dxa"/>
            <w:vMerge/>
            <w:shd w:val="clear" w:color="auto" w:fill="auto"/>
            <w:noWrap/>
            <w:hideMark/>
          </w:tcPr>
          <w:p w14:paraId="01C467A0"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hideMark/>
          </w:tcPr>
          <w:p w14:paraId="66C8105B"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14</w:t>
            </w:r>
          </w:p>
        </w:tc>
        <w:tc>
          <w:tcPr>
            <w:tcW w:w="1777" w:type="dxa"/>
            <w:shd w:val="clear" w:color="auto" w:fill="auto"/>
            <w:noWrap/>
            <w:hideMark/>
          </w:tcPr>
          <w:p w14:paraId="24286BD9"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SYP132BR</w:t>
            </w:r>
          </w:p>
        </w:tc>
        <w:tc>
          <w:tcPr>
            <w:tcW w:w="4333" w:type="dxa"/>
            <w:shd w:val="clear" w:color="auto" w:fill="auto"/>
            <w:noWrap/>
            <w:hideMark/>
          </w:tcPr>
          <w:p w14:paraId="3DBE26D2"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CAGAGACACACCGATGTATTAGC</w:t>
            </w:r>
          </w:p>
        </w:tc>
      </w:tr>
      <w:tr w:rsidR="00AA2BB2" w:rsidRPr="002815CC" w14:paraId="3C25DEEF" w14:textId="77777777" w:rsidTr="00A9660E">
        <w:trPr>
          <w:trHeight w:val="20"/>
        </w:trPr>
        <w:tc>
          <w:tcPr>
            <w:tcW w:w="2011" w:type="dxa"/>
            <w:vMerge/>
            <w:shd w:val="clear" w:color="auto" w:fill="auto"/>
            <w:noWrap/>
            <w:hideMark/>
          </w:tcPr>
          <w:p w14:paraId="412ACC45"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hideMark/>
          </w:tcPr>
          <w:p w14:paraId="21EB421E"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15</w:t>
            </w:r>
          </w:p>
        </w:tc>
        <w:tc>
          <w:tcPr>
            <w:tcW w:w="1777" w:type="dxa"/>
            <w:shd w:val="clear" w:color="auto" w:fill="auto"/>
            <w:noWrap/>
            <w:hideMark/>
          </w:tcPr>
          <w:p w14:paraId="59544493"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V721AF</w:t>
            </w:r>
          </w:p>
        </w:tc>
        <w:tc>
          <w:tcPr>
            <w:tcW w:w="4333" w:type="dxa"/>
            <w:shd w:val="clear" w:color="auto" w:fill="auto"/>
            <w:noWrap/>
            <w:hideMark/>
          </w:tcPr>
          <w:p w14:paraId="10D7A6C7"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AGGAAGGGAAGTGAATAAGGTGTG</w:t>
            </w:r>
          </w:p>
        </w:tc>
      </w:tr>
      <w:tr w:rsidR="00AA2BB2" w:rsidRPr="002815CC" w14:paraId="6C509F71" w14:textId="77777777" w:rsidTr="00A9660E">
        <w:trPr>
          <w:trHeight w:val="20"/>
        </w:trPr>
        <w:tc>
          <w:tcPr>
            <w:tcW w:w="2011" w:type="dxa"/>
            <w:vMerge/>
            <w:shd w:val="clear" w:color="auto" w:fill="auto"/>
            <w:noWrap/>
            <w:hideMark/>
          </w:tcPr>
          <w:p w14:paraId="13E64AF9"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hideMark/>
          </w:tcPr>
          <w:p w14:paraId="04D6E543"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16</w:t>
            </w:r>
          </w:p>
        </w:tc>
        <w:tc>
          <w:tcPr>
            <w:tcW w:w="1777" w:type="dxa"/>
            <w:shd w:val="clear" w:color="auto" w:fill="auto"/>
            <w:noWrap/>
            <w:hideMark/>
          </w:tcPr>
          <w:p w14:paraId="4325F4A9"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V721AR</w:t>
            </w:r>
          </w:p>
        </w:tc>
        <w:tc>
          <w:tcPr>
            <w:tcW w:w="4333" w:type="dxa"/>
            <w:shd w:val="clear" w:color="auto" w:fill="auto"/>
            <w:noWrap/>
            <w:hideMark/>
          </w:tcPr>
          <w:p w14:paraId="2227CF83"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AGCATGCTTTCTATACACAATTCC</w:t>
            </w:r>
          </w:p>
        </w:tc>
      </w:tr>
      <w:tr w:rsidR="00AA2BB2" w:rsidRPr="002815CC" w14:paraId="45E4FDD9" w14:textId="77777777" w:rsidTr="00A9660E">
        <w:trPr>
          <w:trHeight w:val="20"/>
        </w:trPr>
        <w:tc>
          <w:tcPr>
            <w:tcW w:w="2011" w:type="dxa"/>
            <w:vMerge/>
            <w:shd w:val="clear" w:color="auto" w:fill="auto"/>
            <w:noWrap/>
            <w:hideMark/>
          </w:tcPr>
          <w:p w14:paraId="6C019D7F"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hideMark/>
          </w:tcPr>
          <w:p w14:paraId="1503FD43"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17</w:t>
            </w:r>
          </w:p>
        </w:tc>
        <w:tc>
          <w:tcPr>
            <w:tcW w:w="1777" w:type="dxa"/>
            <w:shd w:val="clear" w:color="auto" w:fill="auto"/>
            <w:noWrap/>
            <w:hideMark/>
          </w:tcPr>
          <w:p w14:paraId="5517AB03"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V721DF</w:t>
            </w:r>
          </w:p>
        </w:tc>
        <w:tc>
          <w:tcPr>
            <w:tcW w:w="4333" w:type="dxa"/>
            <w:shd w:val="clear" w:color="auto" w:fill="auto"/>
            <w:noWrap/>
            <w:hideMark/>
          </w:tcPr>
          <w:p w14:paraId="08086A5C"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TTGTAAATTGTTTGCTTTGCG</w:t>
            </w:r>
          </w:p>
        </w:tc>
      </w:tr>
      <w:tr w:rsidR="00AA2BB2" w:rsidRPr="002815CC" w14:paraId="5C8F9922" w14:textId="77777777" w:rsidTr="00A9660E">
        <w:trPr>
          <w:trHeight w:val="20"/>
        </w:trPr>
        <w:tc>
          <w:tcPr>
            <w:tcW w:w="2011" w:type="dxa"/>
            <w:vMerge/>
            <w:shd w:val="clear" w:color="auto" w:fill="auto"/>
            <w:noWrap/>
            <w:hideMark/>
          </w:tcPr>
          <w:p w14:paraId="7CEB5109"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hideMark/>
          </w:tcPr>
          <w:p w14:paraId="6A90B2FD"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18</w:t>
            </w:r>
          </w:p>
        </w:tc>
        <w:tc>
          <w:tcPr>
            <w:tcW w:w="1777" w:type="dxa"/>
            <w:shd w:val="clear" w:color="auto" w:fill="auto"/>
            <w:noWrap/>
            <w:hideMark/>
          </w:tcPr>
          <w:p w14:paraId="4C2F8354"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V721DR</w:t>
            </w:r>
          </w:p>
        </w:tc>
        <w:tc>
          <w:tcPr>
            <w:tcW w:w="4333" w:type="dxa"/>
            <w:shd w:val="clear" w:color="auto" w:fill="auto"/>
            <w:noWrap/>
            <w:hideMark/>
          </w:tcPr>
          <w:p w14:paraId="55CE0B2D"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AAAAAGCCACAGGTCCAATC</w:t>
            </w:r>
          </w:p>
        </w:tc>
      </w:tr>
      <w:tr w:rsidR="00AA2BB2" w:rsidRPr="002815CC" w14:paraId="4E5AB7C0" w14:textId="77777777" w:rsidTr="00A9660E">
        <w:trPr>
          <w:trHeight w:val="20"/>
        </w:trPr>
        <w:tc>
          <w:tcPr>
            <w:tcW w:w="2011" w:type="dxa"/>
            <w:vMerge/>
            <w:shd w:val="clear" w:color="auto" w:fill="auto"/>
            <w:noWrap/>
            <w:hideMark/>
          </w:tcPr>
          <w:p w14:paraId="0BF29AC0"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hideMark/>
          </w:tcPr>
          <w:p w14:paraId="752772B7"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19</w:t>
            </w:r>
          </w:p>
        </w:tc>
        <w:tc>
          <w:tcPr>
            <w:tcW w:w="1777" w:type="dxa"/>
            <w:shd w:val="clear" w:color="auto" w:fill="auto"/>
            <w:noWrap/>
            <w:hideMark/>
          </w:tcPr>
          <w:p w14:paraId="0568D4D0"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V721EF</w:t>
            </w:r>
          </w:p>
        </w:tc>
        <w:tc>
          <w:tcPr>
            <w:tcW w:w="4333" w:type="dxa"/>
            <w:shd w:val="clear" w:color="auto" w:fill="auto"/>
            <w:noWrap/>
            <w:hideMark/>
          </w:tcPr>
          <w:p w14:paraId="21B8ECA2"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AAGCTTTTACAGTATGATGGTGATG</w:t>
            </w:r>
          </w:p>
        </w:tc>
      </w:tr>
      <w:tr w:rsidR="00AA2BB2" w:rsidRPr="002815CC" w14:paraId="25EB67FF" w14:textId="77777777" w:rsidTr="00A9660E">
        <w:trPr>
          <w:trHeight w:val="20"/>
        </w:trPr>
        <w:tc>
          <w:tcPr>
            <w:tcW w:w="2011" w:type="dxa"/>
            <w:vMerge/>
            <w:shd w:val="clear" w:color="auto" w:fill="auto"/>
            <w:noWrap/>
            <w:hideMark/>
          </w:tcPr>
          <w:p w14:paraId="094823BC"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hideMark/>
          </w:tcPr>
          <w:p w14:paraId="2F8F94C0"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20</w:t>
            </w:r>
          </w:p>
        </w:tc>
        <w:tc>
          <w:tcPr>
            <w:tcW w:w="1777" w:type="dxa"/>
            <w:shd w:val="clear" w:color="auto" w:fill="auto"/>
            <w:noWrap/>
            <w:hideMark/>
          </w:tcPr>
          <w:p w14:paraId="324A5F18"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V721ER</w:t>
            </w:r>
          </w:p>
        </w:tc>
        <w:tc>
          <w:tcPr>
            <w:tcW w:w="4333" w:type="dxa"/>
            <w:shd w:val="clear" w:color="auto" w:fill="auto"/>
            <w:noWrap/>
            <w:hideMark/>
          </w:tcPr>
          <w:p w14:paraId="6A2EF149"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ATGATAACAGGATGGGTCGG</w:t>
            </w:r>
          </w:p>
        </w:tc>
      </w:tr>
      <w:tr w:rsidR="00AA2BB2" w:rsidRPr="002815CC" w14:paraId="519F2A26" w14:textId="77777777" w:rsidTr="00A9660E">
        <w:trPr>
          <w:trHeight w:val="20"/>
        </w:trPr>
        <w:tc>
          <w:tcPr>
            <w:tcW w:w="2011" w:type="dxa"/>
            <w:vMerge/>
            <w:shd w:val="clear" w:color="auto" w:fill="auto"/>
            <w:noWrap/>
            <w:hideMark/>
          </w:tcPr>
          <w:p w14:paraId="53015962"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hideMark/>
          </w:tcPr>
          <w:p w14:paraId="75CEE3D5"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21</w:t>
            </w:r>
          </w:p>
        </w:tc>
        <w:tc>
          <w:tcPr>
            <w:tcW w:w="1777" w:type="dxa"/>
            <w:shd w:val="clear" w:color="auto" w:fill="auto"/>
            <w:noWrap/>
            <w:hideMark/>
          </w:tcPr>
          <w:p w14:paraId="1D075D6A"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V724F</w:t>
            </w:r>
          </w:p>
        </w:tc>
        <w:tc>
          <w:tcPr>
            <w:tcW w:w="4333" w:type="dxa"/>
            <w:shd w:val="clear" w:color="auto" w:fill="auto"/>
            <w:noWrap/>
            <w:hideMark/>
          </w:tcPr>
          <w:p w14:paraId="3E9768E0"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AAGAAAATCAACCCAGGAGGG</w:t>
            </w:r>
          </w:p>
        </w:tc>
      </w:tr>
      <w:tr w:rsidR="00AA2BB2" w:rsidRPr="002815CC" w14:paraId="6567233E" w14:textId="77777777" w:rsidTr="00A9660E">
        <w:trPr>
          <w:trHeight w:val="20"/>
        </w:trPr>
        <w:tc>
          <w:tcPr>
            <w:tcW w:w="2011" w:type="dxa"/>
            <w:vMerge/>
            <w:shd w:val="clear" w:color="auto" w:fill="auto"/>
            <w:noWrap/>
            <w:hideMark/>
          </w:tcPr>
          <w:p w14:paraId="6220C64D"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hideMark/>
          </w:tcPr>
          <w:p w14:paraId="1E64514A"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22</w:t>
            </w:r>
          </w:p>
        </w:tc>
        <w:tc>
          <w:tcPr>
            <w:tcW w:w="1777" w:type="dxa"/>
            <w:shd w:val="clear" w:color="auto" w:fill="auto"/>
            <w:noWrap/>
            <w:hideMark/>
          </w:tcPr>
          <w:p w14:paraId="098F4B25"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V724R</w:t>
            </w:r>
          </w:p>
        </w:tc>
        <w:tc>
          <w:tcPr>
            <w:tcW w:w="4333" w:type="dxa"/>
            <w:shd w:val="clear" w:color="auto" w:fill="auto"/>
            <w:noWrap/>
            <w:hideMark/>
          </w:tcPr>
          <w:p w14:paraId="594273F3"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CTTTATCCACCAGCAACAAGG</w:t>
            </w:r>
          </w:p>
        </w:tc>
      </w:tr>
      <w:tr w:rsidR="00AA2BB2" w:rsidRPr="002815CC" w14:paraId="26EF6FA7" w14:textId="77777777" w:rsidTr="00A9660E">
        <w:trPr>
          <w:trHeight w:val="20"/>
        </w:trPr>
        <w:tc>
          <w:tcPr>
            <w:tcW w:w="2011" w:type="dxa"/>
            <w:vMerge/>
            <w:shd w:val="clear" w:color="auto" w:fill="auto"/>
            <w:noWrap/>
            <w:hideMark/>
          </w:tcPr>
          <w:p w14:paraId="40BFE5ED"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hideMark/>
          </w:tcPr>
          <w:p w14:paraId="1CE49E39"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23</w:t>
            </w:r>
          </w:p>
        </w:tc>
        <w:tc>
          <w:tcPr>
            <w:tcW w:w="1777" w:type="dxa"/>
            <w:shd w:val="clear" w:color="auto" w:fill="auto"/>
            <w:noWrap/>
            <w:hideMark/>
          </w:tcPr>
          <w:p w14:paraId="0996C47B"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V727F</w:t>
            </w:r>
          </w:p>
        </w:tc>
        <w:tc>
          <w:tcPr>
            <w:tcW w:w="4333" w:type="dxa"/>
            <w:shd w:val="clear" w:color="auto" w:fill="auto"/>
            <w:noWrap/>
            <w:hideMark/>
          </w:tcPr>
          <w:p w14:paraId="77FC5901"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TTGTACATTGAATTTGGTGCG</w:t>
            </w:r>
          </w:p>
        </w:tc>
      </w:tr>
      <w:tr w:rsidR="00AA2BB2" w:rsidRPr="002815CC" w14:paraId="1DDA481F" w14:textId="77777777" w:rsidTr="00A9660E">
        <w:trPr>
          <w:trHeight w:val="20"/>
        </w:trPr>
        <w:tc>
          <w:tcPr>
            <w:tcW w:w="2011" w:type="dxa"/>
            <w:vMerge/>
            <w:shd w:val="clear" w:color="auto" w:fill="auto"/>
            <w:noWrap/>
            <w:hideMark/>
          </w:tcPr>
          <w:p w14:paraId="4A9B2FE9"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hideMark/>
          </w:tcPr>
          <w:p w14:paraId="3E89DA1B"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24</w:t>
            </w:r>
          </w:p>
        </w:tc>
        <w:tc>
          <w:tcPr>
            <w:tcW w:w="1777" w:type="dxa"/>
            <w:shd w:val="clear" w:color="auto" w:fill="auto"/>
            <w:noWrap/>
            <w:hideMark/>
          </w:tcPr>
          <w:p w14:paraId="49811D31"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V727R</w:t>
            </w:r>
          </w:p>
        </w:tc>
        <w:tc>
          <w:tcPr>
            <w:tcW w:w="4333" w:type="dxa"/>
            <w:shd w:val="clear" w:color="auto" w:fill="auto"/>
            <w:noWrap/>
            <w:hideMark/>
          </w:tcPr>
          <w:p w14:paraId="7949C367"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CTTGATTCAAAGTGACCAGCAG</w:t>
            </w:r>
          </w:p>
        </w:tc>
      </w:tr>
      <w:tr w:rsidR="00AA2BB2" w:rsidRPr="002815CC" w14:paraId="59FC2BB3" w14:textId="77777777" w:rsidTr="00A9660E">
        <w:trPr>
          <w:trHeight w:val="20"/>
        </w:trPr>
        <w:tc>
          <w:tcPr>
            <w:tcW w:w="2011" w:type="dxa"/>
            <w:vMerge/>
            <w:shd w:val="clear" w:color="auto" w:fill="auto"/>
            <w:noWrap/>
          </w:tcPr>
          <w:p w14:paraId="5A0D90EC"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tcPr>
          <w:p w14:paraId="557D8866" w14:textId="77777777" w:rsidR="00AA2BB2" w:rsidRPr="002815CC" w:rsidRDefault="00AA2BB2" w:rsidP="00A9660E">
            <w:pPr>
              <w:spacing w:after="0" w:line="240" w:lineRule="auto"/>
              <w:jc w:val="both"/>
              <w:rPr>
                <w:rFonts w:eastAsia="Times New Roman" w:cstheme="minorHAnsi"/>
                <w:color w:val="000000"/>
                <w:sz w:val="12"/>
                <w:szCs w:val="16"/>
              </w:rPr>
            </w:pPr>
            <w:r>
              <w:rPr>
                <w:rFonts w:eastAsia="Times New Roman" w:cstheme="minorHAnsi"/>
                <w:color w:val="000000"/>
                <w:sz w:val="12"/>
                <w:szCs w:val="16"/>
              </w:rPr>
              <w:t>25</w:t>
            </w:r>
          </w:p>
        </w:tc>
        <w:tc>
          <w:tcPr>
            <w:tcW w:w="1777" w:type="dxa"/>
            <w:shd w:val="clear" w:color="auto" w:fill="auto"/>
            <w:noWrap/>
          </w:tcPr>
          <w:p w14:paraId="4BE682A7"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Actin2F</w:t>
            </w:r>
          </w:p>
        </w:tc>
        <w:tc>
          <w:tcPr>
            <w:tcW w:w="4333" w:type="dxa"/>
            <w:shd w:val="clear" w:color="auto" w:fill="auto"/>
            <w:noWrap/>
          </w:tcPr>
          <w:p w14:paraId="652F1316"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CAGATGTGGATCTCCAAGGGTGA</w:t>
            </w:r>
          </w:p>
        </w:tc>
      </w:tr>
      <w:tr w:rsidR="00AA2BB2" w:rsidRPr="002815CC" w14:paraId="1779EFA7" w14:textId="77777777" w:rsidTr="00A9660E">
        <w:trPr>
          <w:trHeight w:val="20"/>
        </w:trPr>
        <w:tc>
          <w:tcPr>
            <w:tcW w:w="2011" w:type="dxa"/>
            <w:vMerge/>
            <w:shd w:val="clear" w:color="auto" w:fill="auto"/>
            <w:noWrap/>
          </w:tcPr>
          <w:p w14:paraId="3A2563C5"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tcPr>
          <w:p w14:paraId="47714C11" w14:textId="77777777" w:rsidR="00AA2BB2" w:rsidRPr="002815CC" w:rsidRDefault="00AA2BB2" w:rsidP="00A9660E">
            <w:pPr>
              <w:spacing w:after="0" w:line="240" w:lineRule="auto"/>
              <w:jc w:val="both"/>
              <w:rPr>
                <w:rFonts w:eastAsia="Times New Roman" w:cstheme="minorHAnsi"/>
                <w:color w:val="000000"/>
                <w:sz w:val="12"/>
                <w:szCs w:val="16"/>
              </w:rPr>
            </w:pPr>
            <w:r>
              <w:rPr>
                <w:rFonts w:eastAsia="Times New Roman" w:cstheme="minorHAnsi"/>
                <w:color w:val="000000"/>
                <w:sz w:val="12"/>
                <w:szCs w:val="16"/>
              </w:rPr>
              <w:t>26</w:t>
            </w:r>
          </w:p>
        </w:tc>
        <w:tc>
          <w:tcPr>
            <w:tcW w:w="1777" w:type="dxa"/>
            <w:shd w:val="clear" w:color="auto" w:fill="auto"/>
            <w:noWrap/>
          </w:tcPr>
          <w:p w14:paraId="607FF74C"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Actin2R</w:t>
            </w:r>
          </w:p>
        </w:tc>
        <w:tc>
          <w:tcPr>
            <w:tcW w:w="4333" w:type="dxa"/>
            <w:shd w:val="clear" w:color="auto" w:fill="auto"/>
            <w:noWrap/>
          </w:tcPr>
          <w:p w14:paraId="283F179F"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TGACTGAAATATGGCACAAGACTGAGA</w:t>
            </w:r>
          </w:p>
        </w:tc>
      </w:tr>
      <w:tr w:rsidR="00AA2BB2" w:rsidRPr="002815CC" w14:paraId="7D4DFBBA" w14:textId="77777777" w:rsidTr="00A9660E">
        <w:trPr>
          <w:trHeight w:val="20"/>
        </w:trPr>
        <w:tc>
          <w:tcPr>
            <w:tcW w:w="2011" w:type="dxa"/>
            <w:vMerge/>
            <w:shd w:val="clear" w:color="auto" w:fill="auto"/>
            <w:noWrap/>
          </w:tcPr>
          <w:p w14:paraId="3BEB98AF"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tcPr>
          <w:p w14:paraId="584D4232" w14:textId="77777777" w:rsidR="00AA2BB2" w:rsidRPr="002815CC" w:rsidRDefault="00AA2BB2" w:rsidP="00A9660E">
            <w:pPr>
              <w:spacing w:after="0" w:line="240" w:lineRule="auto"/>
              <w:jc w:val="both"/>
              <w:rPr>
                <w:rFonts w:eastAsia="Times New Roman" w:cstheme="minorHAnsi"/>
                <w:color w:val="000000"/>
                <w:sz w:val="12"/>
                <w:szCs w:val="16"/>
              </w:rPr>
            </w:pPr>
            <w:r>
              <w:rPr>
                <w:rFonts w:eastAsia="Times New Roman" w:cstheme="minorHAnsi"/>
                <w:color w:val="000000"/>
                <w:sz w:val="12"/>
                <w:szCs w:val="16"/>
              </w:rPr>
              <w:t>27</w:t>
            </w:r>
          </w:p>
        </w:tc>
        <w:tc>
          <w:tcPr>
            <w:tcW w:w="1777" w:type="dxa"/>
            <w:shd w:val="clear" w:color="auto" w:fill="auto"/>
            <w:noWrap/>
          </w:tcPr>
          <w:p w14:paraId="26F16317"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Ub10F</w:t>
            </w:r>
          </w:p>
        </w:tc>
        <w:tc>
          <w:tcPr>
            <w:tcW w:w="4333" w:type="dxa"/>
            <w:shd w:val="clear" w:color="auto" w:fill="auto"/>
            <w:noWrap/>
          </w:tcPr>
          <w:p w14:paraId="1573248D"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CCCTTCATCTTGTCCTTCGTCTG</w:t>
            </w:r>
          </w:p>
        </w:tc>
      </w:tr>
      <w:tr w:rsidR="00AA2BB2" w:rsidRPr="002815CC" w14:paraId="078038F6" w14:textId="77777777" w:rsidTr="00A9660E">
        <w:trPr>
          <w:trHeight w:val="20"/>
        </w:trPr>
        <w:tc>
          <w:tcPr>
            <w:tcW w:w="2011" w:type="dxa"/>
            <w:vMerge/>
            <w:shd w:val="clear" w:color="auto" w:fill="auto"/>
            <w:noWrap/>
          </w:tcPr>
          <w:p w14:paraId="33BF0BDA"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tcPr>
          <w:p w14:paraId="433678A5"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28</w:t>
            </w:r>
          </w:p>
        </w:tc>
        <w:tc>
          <w:tcPr>
            <w:tcW w:w="1777" w:type="dxa"/>
            <w:shd w:val="clear" w:color="auto" w:fill="auto"/>
            <w:noWrap/>
          </w:tcPr>
          <w:p w14:paraId="1BBF329A"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Ub10R</w:t>
            </w:r>
          </w:p>
        </w:tc>
        <w:tc>
          <w:tcPr>
            <w:tcW w:w="4333" w:type="dxa"/>
            <w:shd w:val="clear" w:color="auto" w:fill="auto"/>
            <w:noWrap/>
          </w:tcPr>
          <w:p w14:paraId="1104FD90"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CACCTCCAATGTAATGGTCTTTCC</w:t>
            </w:r>
          </w:p>
        </w:tc>
      </w:tr>
      <w:tr w:rsidR="00AA2BB2" w:rsidRPr="002815CC" w14:paraId="39B3F4D1" w14:textId="77777777" w:rsidTr="00A9660E">
        <w:trPr>
          <w:trHeight w:val="20"/>
        </w:trPr>
        <w:tc>
          <w:tcPr>
            <w:tcW w:w="2011" w:type="dxa"/>
            <w:vMerge w:val="restart"/>
            <w:shd w:val="clear" w:color="auto" w:fill="auto"/>
            <w:noWrap/>
            <w:hideMark/>
          </w:tcPr>
          <w:p w14:paraId="5D15D8F5"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 xml:space="preserve">Cloning </w:t>
            </w:r>
            <w:proofErr w:type="spellStart"/>
            <w:r w:rsidRPr="002815CC">
              <w:rPr>
                <w:rFonts w:eastAsia="Times New Roman" w:cstheme="minorHAnsi"/>
                <w:color w:val="000000"/>
                <w:sz w:val="12"/>
                <w:szCs w:val="16"/>
              </w:rPr>
              <w:t>cds</w:t>
            </w:r>
            <w:proofErr w:type="spellEnd"/>
            <w:r w:rsidRPr="002815CC">
              <w:rPr>
                <w:rFonts w:eastAsia="Times New Roman" w:cstheme="minorHAnsi"/>
                <w:color w:val="000000"/>
                <w:sz w:val="12"/>
                <w:szCs w:val="16"/>
              </w:rPr>
              <w:t xml:space="preserve"> SYP131</w:t>
            </w:r>
          </w:p>
        </w:tc>
        <w:tc>
          <w:tcPr>
            <w:tcW w:w="941" w:type="dxa"/>
            <w:shd w:val="clear" w:color="auto" w:fill="auto"/>
            <w:noWrap/>
            <w:hideMark/>
          </w:tcPr>
          <w:p w14:paraId="2A31138F" w14:textId="77777777" w:rsidR="00AA2BB2" w:rsidRPr="002815CC" w:rsidRDefault="00AA2BB2" w:rsidP="00A9660E">
            <w:pPr>
              <w:spacing w:after="0" w:line="240" w:lineRule="auto"/>
              <w:jc w:val="both"/>
              <w:rPr>
                <w:rFonts w:eastAsia="Times New Roman" w:cstheme="minorHAnsi"/>
                <w:color w:val="000000"/>
                <w:sz w:val="12"/>
                <w:szCs w:val="16"/>
              </w:rPr>
            </w:pPr>
            <w:r>
              <w:rPr>
                <w:rFonts w:eastAsia="Times New Roman" w:cstheme="minorHAnsi"/>
                <w:color w:val="000000"/>
                <w:sz w:val="12"/>
                <w:szCs w:val="16"/>
              </w:rPr>
              <w:t>29</w:t>
            </w:r>
          </w:p>
        </w:tc>
        <w:tc>
          <w:tcPr>
            <w:tcW w:w="1777" w:type="dxa"/>
            <w:shd w:val="clear" w:color="auto" w:fill="auto"/>
            <w:noWrap/>
            <w:hideMark/>
          </w:tcPr>
          <w:p w14:paraId="37C825A6"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cdsSYP131F</w:t>
            </w:r>
          </w:p>
        </w:tc>
        <w:tc>
          <w:tcPr>
            <w:tcW w:w="4333" w:type="dxa"/>
            <w:shd w:val="clear" w:color="auto" w:fill="auto"/>
            <w:noWrap/>
            <w:hideMark/>
          </w:tcPr>
          <w:p w14:paraId="14591CD6"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CACCATGAATGATCTTCTAACGGAATCA</w:t>
            </w:r>
          </w:p>
        </w:tc>
      </w:tr>
      <w:tr w:rsidR="00AA2BB2" w:rsidRPr="002815CC" w14:paraId="2D53F15C" w14:textId="77777777" w:rsidTr="00A9660E">
        <w:trPr>
          <w:trHeight w:val="20"/>
        </w:trPr>
        <w:tc>
          <w:tcPr>
            <w:tcW w:w="2011" w:type="dxa"/>
            <w:vMerge/>
            <w:shd w:val="clear" w:color="auto" w:fill="auto"/>
            <w:noWrap/>
            <w:hideMark/>
          </w:tcPr>
          <w:p w14:paraId="47C3BCCF"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hideMark/>
          </w:tcPr>
          <w:p w14:paraId="3B2F2498" w14:textId="77777777" w:rsidR="00AA2BB2" w:rsidRPr="002815CC" w:rsidRDefault="00AA2BB2" w:rsidP="00A9660E">
            <w:pPr>
              <w:spacing w:after="0" w:line="240" w:lineRule="auto"/>
              <w:jc w:val="both"/>
              <w:rPr>
                <w:rFonts w:eastAsia="Times New Roman" w:cstheme="minorHAnsi"/>
                <w:color w:val="000000"/>
                <w:sz w:val="12"/>
                <w:szCs w:val="16"/>
              </w:rPr>
            </w:pPr>
            <w:r>
              <w:rPr>
                <w:rFonts w:eastAsia="Times New Roman" w:cstheme="minorHAnsi"/>
                <w:color w:val="000000"/>
                <w:sz w:val="12"/>
                <w:szCs w:val="16"/>
              </w:rPr>
              <w:t>30</w:t>
            </w:r>
          </w:p>
        </w:tc>
        <w:tc>
          <w:tcPr>
            <w:tcW w:w="1777" w:type="dxa"/>
            <w:shd w:val="clear" w:color="auto" w:fill="auto"/>
            <w:noWrap/>
            <w:hideMark/>
          </w:tcPr>
          <w:p w14:paraId="1A9BBB6E"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cdsSYP131R</w:t>
            </w:r>
          </w:p>
        </w:tc>
        <w:tc>
          <w:tcPr>
            <w:tcW w:w="4333" w:type="dxa"/>
            <w:shd w:val="clear" w:color="auto" w:fill="auto"/>
            <w:noWrap/>
            <w:hideMark/>
          </w:tcPr>
          <w:p w14:paraId="63722720"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CTATGCACCCTTTTTGGTAACC</w:t>
            </w:r>
          </w:p>
        </w:tc>
      </w:tr>
      <w:tr w:rsidR="00AA2BB2" w:rsidRPr="002815CC" w14:paraId="704A1319" w14:textId="77777777" w:rsidTr="00A9660E">
        <w:trPr>
          <w:trHeight w:val="20"/>
        </w:trPr>
        <w:tc>
          <w:tcPr>
            <w:tcW w:w="2011" w:type="dxa"/>
            <w:vMerge w:val="restart"/>
            <w:shd w:val="clear" w:color="auto" w:fill="auto"/>
            <w:noWrap/>
            <w:hideMark/>
          </w:tcPr>
          <w:p w14:paraId="085F1E22"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 xml:space="preserve">Cloning </w:t>
            </w:r>
            <w:proofErr w:type="spellStart"/>
            <w:r w:rsidRPr="002815CC">
              <w:rPr>
                <w:rFonts w:eastAsia="Times New Roman" w:cstheme="minorHAnsi"/>
                <w:color w:val="000000"/>
                <w:sz w:val="12"/>
                <w:szCs w:val="16"/>
              </w:rPr>
              <w:t>cds</w:t>
            </w:r>
            <w:proofErr w:type="spellEnd"/>
            <w:r w:rsidRPr="002815CC">
              <w:rPr>
                <w:rFonts w:eastAsia="Times New Roman" w:cstheme="minorHAnsi"/>
                <w:color w:val="000000"/>
                <w:sz w:val="12"/>
                <w:szCs w:val="16"/>
              </w:rPr>
              <w:t xml:space="preserve"> VAMP724</w:t>
            </w:r>
          </w:p>
        </w:tc>
        <w:tc>
          <w:tcPr>
            <w:tcW w:w="941" w:type="dxa"/>
            <w:shd w:val="clear" w:color="auto" w:fill="auto"/>
            <w:noWrap/>
            <w:hideMark/>
          </w:tcPr>
          <w:p w14:paraId="4413AB4F" w14:textId="77777777" w:rsidR="00AA2BB2" w:rsidRPr="002815CC" w:rsidRDefault="00AA2BB2" w:rsidP="00A9660E">
            <w:pPr>
              <w:spacing w:after="0" w:line="240" w:lineRule="auto"/>
              <w:jc w:val="both"/>
              <w:rPr>
                <w:rFonts w:eastAsia="Times New Roman" w:cstheme="minorHAnsi"/>
                <w:color w:val="000000"/>
                <w:sz w:val="12"/>
                <w:szCs w:val="16"/>
              </w:rPr>
            </w:pPr>
            <w:r>
              <w:rPr>
                <w:rFonts w:eastAsia="Times New Roman" w:cstheme="minorHAnsi"/>
                <w:color w:val="000000"/>
                <w:sz w:val="12"/>
                <w:szCs w:val="16"/>
              </w:rPr>
              <w:t>31</w:t>
            </w:r>
          </w:p>
        </w:tc>
        <w:tc>
          <w:tcPr>
            <w:tcW w:w="1777" w:type="dxa"/>
            <w:shd w:val="clear" w:color="auto" w:fill="auto"/>
            <w:noWrap/>
            <w:hideMark/>
          </w:tcPr>
          <w:p w14:paraId="419FCEF0"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cdsVAMP724F</w:t>
            </w:r>
          </w:p>
        </w:tc>
        <w:tc>
          <w:tcPr>
            <w:tcW w:w="4333" w:type="dxa"/>
            <w:shd w:val="clear" w:color="auto" w:fill="auto"/>
            <w:noWrap/>
            <w:hideMark/>
          </w:tcPr>
          <w:p w14:paraId="2AD2B3D7"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CACCATGAGTCAAGAATCGTTCATATACAGC</w:t>
            </w:r>
          </w:p>
        </w:tc>
      </w:tr>
      <w:tr w:rsidR="00AA2BB2" w:rsidRPr="002815CC" w14:paraId="13A02216" w14:textId="77777777" w:rsidTr="00A9660E">
        <w:trPr>
          <w:trHeight w:val="20"/>
        </w:trPr>
        <w:tc>
          <w:tcPr>
            <w:tcW w:w="2011" w:type="dxa"/>
            <w:vMerge/>
            <w:shd w:val="clear" w:color="auto" w:fill="auto"/>
            <w:noWrap/>
            <w:hideMark/>
          </w:tcPr>
          <w:p w14:paraId="64CB97AC"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hideMark/>
          </w:tcPr>
          <w:p w14:paraId="71868968" w14:textId="77777777" w:rsidR="00AA2BB2" w:rsidRPr="002815CC" w:rsidRDefault="00AA2BB2" w:rsidP="00A9660E">
            <w:pPr>
              <w:spacing w:after="0" w:line="240" w:lineRule="auto"/>
              <w:jc w:val="both"/>
              <w:rPr>
                <w:rFonts w:eastAsia="Times New Roman" w:cstheme="minorHAnsi"/>
                <w:color w:val="000000"/>
                <w:sz w:val="12"/>
                <w:szCs w:val="16"/>
              </w:rPr>
            </w:pPr>
            <w:r>
              <w:rPr>
                <w:rFonts w:eastAsia="Times New Roman" w:cstheme="minorHAnsi"/>
                <w:color w:val="000000"/>
                <w:sz w:val="12"/>
                <w:szCs w:val="16"/>
              </w:rPr>
              <w:t>32</w:t>
            </w:r>
          </w:p>
        </w:tc>
        <w:tc>
          <w:tcPr>
            <w:tcW w:w="1777" w:type="dxa"/>
            <w:shd w:val="clear" w:color="auto" w:fill="auto"/>
            <w:noWrap/>
            <w:hideMark/>
          </w:tcPr>
          <w:p w14:paraId="51525883"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cdsVAMP724R</w:t>
            </w:r>
          </w:p>
        </w:tc>
        <w:tc>
          <w:tcPr>
            <w:tcW w:w="4333" w:type="dxa"/>
            <w:shd w:val="clear" w:color="auto" w:fill="auto"/>
            <w:noWrap/>
            <w:hideMark/>
          </w:tcPr>
          <w:p w14:paraId="5F1A6BA2"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CTAATTTGAACAGTTAAATCCACCG</w:t>
            </w:r>
          </w:p>
        </w:tc>
      </w:tr>
      <w:tr w:rsidR="00AA2BB2" w:rsidRPr="002815CC" w14:paraId="14A16A24" w14:textId="77777777" w:rsidTr="00A9660E">
        <w:trPr>
          <w:trHeight w:val="20"/>
        </w:trPr>
        <w:tc>
          <w:tcPr>
            <w:tcW w:w="2011" w:type="dxa"/>
            <w:vMerge w:val="restart"/>
            <w:shd w:val="clear" w:color="auto" w:fill="auto"/>
            <w:noWrap/>
            <w:hideMark/>
          </w:tcPr>
          <w:p w14:paraId="01485F9E"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 xml:space="preserve">Cloning </w:t>
            </w:r>
            <w:proofErr w:type="spellStart"/>
            <w:r w:rsidRPr="002815CC">
              <w:rPr>
                <w:rFonts w:eastAsia="Times New Roman" w:cstheme="minorHAnsi"/>
                <w:color w:val="000000"/>
                <w:sz w:val="12"/>
                <w:szCs w:val="16"/>
              </w:rPr>
              <w:t>cds</w:t>
            </w:r>
            <w:proofErr w:type="spellEnd"/>
            <w:r w:rsidRPr="002815CC">
              <w:rPr>
                <w:rFonts w:eastAsia="Times New Roman" w:cstheme="minorHAnsi"/>
                <w:color w:val="000000"/>
                <w:sz w:val="12"/>
                <w:szCs w:val="16"/>
              </w:rPr>
              <w:t xml:space="preserve"> VAMP727</w:t>
            </w:r>
          </w:p>
        </w:tc>
        <w:tc>
          <w:tcPr>
            <w:tcW w:w="941" w:type="dxa"/>
            <w:shd w:val="clear" w:color="auto" w:fill="auto"/>
            <w:noWrap/>
            <w:hideMark/>
          </w:tcPr>
          <w:p w14:paraId="5088D7A9" w14:textId="77777777" w:rsidR="00AA2BB2" w:rsidRPr="002815CC" w:rsidRDefault="00AA2BB2" w:rsidP="00A9660E">
            <w:pPr>
              <w:spacing w:after="0" w:line="240" w:lineRule="auto"/>
              <w:jc w:val="both"/>
              <w:rPr>
                <w:rFonts w:eastAsia="Times New Roman" w:cstheme="minorHAnsi"/>
                <w:color w:val="000000"/>
                <w:sz w:val="12"/>
                <w:szCs w:val="16"/>
              </w:rPr>
            </w:pPr>
            <w:r>
              <w:rPr>
                <w:rFonts w:eastAsia="Times New Roman" w:cstheme="minorHAnsi"/>
                <w:color w:val="000000"/>
                <w:sz w:val="12"/>
                <w:szCs w:val="16"/>
              </w:rPr>
              <w:t>33</w:t>
            </w:r>
          </w:p>
        </w:tc>
        <w:tc>
          <w:tcPr>
            <w:tcW w:w="1777" w:type="dxa"/>
            <w:shd w:val="clear" w:color="auto" w:fill="auto"/>
            <w:noWrap/>
            <w:hideMark/>
          </w:tcPr>
          <w:p w14:paraId="2CC64F21"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cdsVAMP727F</w:t>
            </w:r>
          </w:p>
        </w:tc>
        <w:tc>
          <w:tcPr>
            <w:tcW w:w="4333" w:type="dxa"/>
            <w:shd w:val="clear" w:color="auto" w:fill="auto"/>
            <w:noWrap/>
            <w:hideMark/>
          </w:tcPr>
          <w:p w14:paraId="4ED67709"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CACCATGAGTCAAAGGGGTTTGATATAT</w:t>
            </w:r>
          </w:p>
        </w:tc>
      </w:tr>
      <w:tr w:rsidR="00AA2BB2" w:rsidRPr="002815CC" w14:paraId="79879AE2" w14:textId="77777777" w:rsidTr="00A9660E">
        <w:trPr>
          <w:trHeight w:val="20"/>
        </w:trPr>
        <w:tc>
          <w:tcPr>
            <w:tcW w:w="2011" w:type="dxa"/>
            <w:vMerge/>
            <w:shd w:val="clear" w:color="auto" w:fill="auto"/>
            <w:noWrap/>
            <w:hideMark/>
          </w:tcPr>
          <w:p w14:paraId="0F71A0B4"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hideMark/>
          </w:tcPr>
          <w:p w14:paraId="152EC0A8" w14:textId="77777777" w:rsidR="00AA2BB2" w:rsidRPr="002815CC" w:rsidRDefault="00AA2BB2" w:rsidP="00A9660E">
            <w:pPr>
              <w:spacing w:after="0" w:line="240" w:lineRule="auto"/>
              <w:jc w:val="both"/>
              <w:rPr>
                <w:rFonts w:eastAsia="Times New Roman" w:cstheme="minorHAnsi"/>
                <w:color w:val="000000"/>
                <w:sz w:val="12"/>
                <w:szCs w:val="16"/>
              </w:rPr>
            </w:pPr>
            <w:r>
              <w:rPr>
                <w:rFonts w:eastAsia="Times New Roman" w:cstheme="minorHAnsi"/>
                <w:color w:val="000000"/>
                <w:sz w:val="12"/>
                <w:szCs w:val="16"/>
              </w:rPr>
              <w:t>34</w:t>
            </w:r>
          </w:p>
        </w:tc>
        <w:tc>
          <w:tcPr>
            <w:tcW w:w="1777" w:type="dxa"/>
            <w:shd w:val="clear" w:color="auto" w:fill="auto"/>
            <w:noWrap/>
            <w:hideMark/>
          </w:tcPr>
          <w:p w14:paraId="3DA1A767"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cdsVAMP727R</w:t>
            </w:r>
          </w:p>
        </w:tc>
        <w:tc>
          <w:tcPr>
            <w:tcW w:w="4333" w:type="dxa"/>
            <w:shd w:val="clear" w:color="auto" w:fill="auto"/>
            <w:noWrap/>
            <w:hideMark/>
          </w:tcPr>
          <w:p w14:paraId="7D9FE0FF"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TCAACATTTGAAACCCCCAC</w:t>
            </w:r>
          </w:p>
        </w:tc>
      </w:tr>
      <w:tr w:rsidR="00AA2BB2" w:rsidRPr="002815CC" w14:paraId="5F49C291" w14:textId="77777777" w:rsidTr="00A9660E">
        <w:trPr>
          <w:trHeight w:val="20"/>
        </w:trPr>
        <w:tc>
          <w:tcPr>
            <w:tcW w:w="2011" w:type="dxa"/>
            <w:vMerge w:val="restart"/>
            <w:shd w:val="clear" w:color="auto" w:fill="auto"/>
            <w:noWrap/>
            <w:hideMark/>
          </w:tcPr>
          <w:p w14:paraId="624DC0DE"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PCR expression cassettes</w:t>
            </w:r>
          </w:p>
        </w:tc>
        <w:tc>
          <w:tcPr>
            <w:tcW w:w="941" w:type="dxa"/>
            <w:shd w:val="clear" w:color="auto" w:fill="auto"/>
            <w:noWrap/>
            <w:hideMark/>
          </w:tcPr>
          <w:p w14:paraId="5BECECB9" w14:textId="77777777" w:rsidR="00AA2BB2" w:rsidRPr="002815CC" w:rsidRDefault="00AA2BB2" w:rsidP="00A9660E">
            <w:pPr>
              <w:spacing w:after="0" w:line="240" w:lineRule="auto"/>
              <w:jc w:val="both"/>
              <w:rPr>
                <w:rFonts w:eastAsia="Times New Roman" w:cstheme="minorHAnsi"/>
                <w:color w:val="000000"/>
                <w:sz w:val="12"/>
                <w:szCs w:val="16"/>
              </w:rPr>
            </w:pPr>
            <w:r>
              <w:rPr>
                <w:rFonts w:eastAsia="Times New Roman" w:cstheme="minorHAnsi"/>
                <w:color w:val="000000"/>
                <w:sz w:val="12"/>
                <w:szCs w:val="16"/>
              </w:rPr>
              <w:t>35</w:t>
            </w:r>
          </w:p>
        </w:tc>
        <w:tc>
          <w:tcPr>
            <w:tcW w:w="1777" w:type="dxa"/>
            <w:shd w:val="clear" w:color="auto" w:fill="auto"/>
            <w:noWrap/>
            <w:hideMark/>
          </w:tcPr>
          <w:p w14:paraId="2B425A83" w14:textId="77777777" w:rsidR="00AA2BB2" w:rsidRPr="002815CC" w:rsidRDefault="00AA2BB2" w:rsidP="00A9660E">
            <w:pPr>
              <w:spacing w:after="0" w:line="240" w:lineRule="auto"/>
              <w:jc w:val="both"/>
              <w:rPr>
                <w:rFonts w:eastAsia="Times New Roman" w:cstheme="minorHAnsi"/>
                <w:color w:val="000000"/>
                <w:sz w:val="12"/>
                <w:szCs w:val="16"/>
              </w:rPr>
            </w:pPr>
            <w:proofErr w:type="spellStart"/>
            <w:r w:rsidRPr="002815CC">
              <w:rPr>
                <w:rFonts w:eastAsia="Times New Roman" w:cstheme="minorHAnsi"/>
                <w:color w:val="000000"/>
                <w:sz w:val="12"/>
                <w:szCs w:val="16"/>
              </w:rPr>
              <w:t>MGWSpeI_F</w:t>
            </w:r>
            <w:proofErr w:type="spellEnd"/>
          </w:p>
        </w:tc>
        <w:tc>
          <w:tcPr>
            <w:tcW w:w="4333" w:type="dxa"/>
            <w:shd w:val="clear" w:color="auto" w:fill="auto"/>
            <w:noWrap/>
            <w:hideMark/>
          </w:tcPr>
          <w:p w14:paraId="2B971D3F"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TGACTAGTACGCCAAGCTATCAACTTTGT</w:t>
            </w:r>
          </w:p>
        </w:tc>
      </w:tr>
      <w:tr w:rsidR="00AA2BB2" w:rsidRPr="002815CC" w14:paraId="2B23B6A0" w14:textId="77777777" w:rsidTr="00A9660E">
        <w:trPr>
          <w:trHeight w:val="20"/>
        </w:trPr>
        <w:tc>
          <w:tcPr>
            <w:tcW w:w="2011" w:type="dxa"/>
            <w:vMerge/>
            <w:shd w:val="clear" w:color="auto" w:fill="auto"/>
            <w:noWrap/>
            <w:hideMark/>
          </w:tcPr>
          <w:p w14:paraId="2BBA15DC"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hideMark/>
          </w:tcPr>
          <w:p w14:paraId="1CE562F4" w14:textId="77777777" w:rsidR="00AA2BB2" w:rsidRPr="002815CC" w:rsidRDefault="00AA2BB2" w:rsidP="00A9660E">
            <w:pPr>
              <w:spacing w:after="0" w:line="240" w:lineRule="auto"/>
              <w:jc w:val="both"/>
              <w:rPr>
                <w:rFonts w:eastAsia="Times New Roman" w:cstheme="minorHAnsi"/>
                <w:color w:val="000000"/>
                <w:sz w:val="12"/>
                <w:szCs w:val="16"/>
              </w:rPr>
            </w:pPr>
            <w:r>
              <w:rPr>
                <w:rFonts w:eastAsia="Times New Roman" w:cstheme="minorHAnsi"/>
                <w:color w:val="000000"/>
                <w:sz w:val="12"/>
                <w:szCs w:val="16"/>
              </w:rPr>
              <w:t>36</w:t>
            </w:r>
          </w:p>
        </w:tc>
        <w:tc>
          <w:tcPr>
            <w:tcW w:w="1777" w:type="dxa"/>
            <w:shd w:val="clear" w:color="auto" w:fill="auto"/>
            <w:noWrap/>
            <w:hideMark/>
          </w:tcPr>
          <w:p w14:paraId="2711EFCD" w14:textId="77777777" w:rsidR="00AA2BB2" w:rsidRPr="002815CC" w:rsidRDefault="00AA2BB2" w:rsidP="00A9660E">
            <w:pPr>
              <w:spacing w:after="0" w:line="240" w:lineRule="auto"/>
              <w:jc w:val="both"/>
              <w:rPr>
                <w:rFonts w:eastAsia="Times New Roman" w:cstheme="minorHAnsi"/>
                <w:color w:val="000000"/>
                <w:sz w:val="12"/>
                <w:szCs w:val="16"/>
              </w:rPr>
            </w:pPr>
            <w:proofErr w:type="spellStart"/>
            <w:r w:rsidRPr="002815CC">
              <w:rPr>
                <w:rFonts w:eastAsia="Times New Roman" w:cstheme="minorHAnsi"/>
                <w:color w:val="000000"/>
                <w:sz w:val="12"/>
                <w:szCs w:val="16"/>
              </w:rPr>
              <w:t>MGWSwaI_R</w:t>
            </w:r>
            <w:proofErr w:type="spellEnd"/>
          </w:p>
        </w:tc>
        <w:tc>
          <w:tcPr>
            <w:tcW w:w="4333" w:type="dxa"/>
            <w:shd w:val="clear" w:color="auto" w:fill="auto"/>
            <w:noWrap/>
            <w:hideMark/>
          </w:tcPr>
          <w:p w14:paraId="7629580C"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GCATTTAAATCACGACGGCCAGTGAAT</w:t>
            </w:r>
          </w:p>
        </w:tc>
      </w:tr>
      <w:tr w:rsidR="00AA2BB2" w:rsidRPr="002815CC" w14:paraId="2809C909" w14:textId="77777777" w:rsidTr="00A9660E">
        <w:trPr>
          <w:trHeight w:val="20"/>
        </w:trPr>
        <w:tc>
          <w:tcPr>
            <w:tcW w:w="2011" w:type="dxa"/>
            <w:vMerge/>
            <w:shd w:val="clear" w:color="auto" w:fill="auto"/>
            <w:noWrap/>
            <w:hideMark/>
          </w:tcPr>
          <w:p w14:paraId="1421F21E"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hideMark/>
          </w:tcPr>
          <w:p w14:paraId="75522224" w14:textId="77777777" w:rsidR="00AA2BB2" w:rsidRPr="002815CC" w:rsidRDefault="00AA2BB2" w:rsidP="00A9660E">
            <w:pPr>
              <w:spacing w:after="0" w:line="240" w:lineRule="auto"/>
              <w:jc w:val="both"/>
              <w:rPr>
                <w:rFonts w:eastAsia="Times New Roman" w:cstheme="minorHAnsi"/>
                <w:color w:val="000000"/>
                <w:sz w:val="12"/>
                <w:szCs w:val="16"/>
              </w:rPr>
            </w:pPr>
            <w:r>
              <w:rPr>
                <w:rFonts w:eastAsia="Times New Roman" w:cstheme="minorHAnsi"/>
                <w:color w:val="000000"/>
                <w:sz w:val="12"/>
                <w:szCs w:val="16"/>
              </w:rPr>
              <w:t>37</w:t>
            </w:r>
          </w:p>
        </w:tc>
        <w:tc>
          <w:tcPr>
            <w:tcW w:w="1777" w:type="dxa"/>
            <w:shd w:val="clear" w:color="auto" w:fill="auto"/>
            <w:noWrap/>
            <w:hideMark/>
          </w:tcPr>
          <w:p w14:paraId="6AF4B696" w14:textId="77777777" w:rsidR="00AA2BB2" w:rsidRPr="002815CC" w:rsidRDefault="00AA2BB2" w:rsidP="00A9660E">
            <w:pPr>
              <w:spacing w:after="0" w:line="240" w:lineRule="auto"/>
              <w:jc w:val="both"/>
              <w:rPr>
                <w:rFonts w:eastAsia="Times New Roman" w:cstheme="minorHAnsi"/>
                <w:color w:val="000000"/>
                <w:sz w:val="12"/>
                <w:szCs w:val="16"/>
              </w:rPr>
            </w:pPr>
            <w:proofErr w:type="spellStart"/>
            <w:r w:rsidRPr="002815CC">
              <w:rPr>
                <w:rFonts w:eastAsia="Times New Roman" w:cstheme="minorHAnsi"/>
                <w:color w:val="000000"/>
                <w:sz w:val="12"/>
                <w:szCs w:val="16"/>
              </w:rPr>
              <w:t>MGWSwaI_F</w:t>
            </w:r>
            <w:proofErr w:type="spellEnd"/>
          </w:p>
        </w:tc>
        <w:tc>
          <w:tcPr>
            <w:tcW w:w="4333" w:type="dxa"/>
            <w:shd w:val="clear" w:color="auto" w:fill="auto"/>
            <w:noWrap/>
            <w:hideMark/>
          </w:tcPr>
          <w:p w14:paraId="490D8DE8"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TGATTTAAATACGCCAAGCTATCAACTTTGT</w:t>
            </w:r>
          </w:p>
        </w:tc>
      </w:tr>
      <w:tr w:rsidR="00AA2BB2" w:rsidRPr="002815CC" w14:paraId="136BBE4C" w14:textId="77777777" w:rsidTr="00A9660E">
        <w:trPr>
          <w:trHeight w:val="20"/>
        </w:trPr>
        <w:tc>
          <w:tcPr>
            <w:tcW w:w="2011" w:type="dxa"/>
            <w:vMerge/>
            <w:shd w:val="clear" w:color="auto" w:fill="auto"/>
            <w:noWrap/>
            <w:hideMark/>
          </w:tcPr>
          <w:p w14:paraId="1A722A40"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hideMark/>
          </w:tcPr>
          <w:p w14:paraId="28CB93C5" w14:textId="77777777" w:rsidR="00AA2BB2" w:rsidRPr="002815CC" w:rsidRDefault="00AA2BB2" w:rsidP="00A9660E">
            <w:pPr>
              <w:spacing w:after="0" w:line="240" w:lineRule="auto"/>
              <w:jc w:val="both"/>
              <w:rPr>
                <w:rFonts w:eastAsia="Times New Roman" w:cstheme="minorHAnsi"/>
                <w:color w:val="000000"/>
                <w:sz w:val="12"/>
                <w:szCs w:val="16"/>
              </w:rPr>
            </w:pPr>
            <w:r>
              <w:rPr>
                <w:rFonts w:eastAsia="Times New Roman" w:cstheme="minorHAnsi"/>
                <w:color w:val="000000"/>
                <w:sz w:val="12"/>
                <w:szCs w:val="16"/>
              </w:rPr>
              <w:t>38</w:t>
            </w:r>
          </w:p>
        </w:tc>
        <w:tc>
          <w:tcPr>
            <w:tcW w:w="1777" w:type="dxa"/>
            <w:shd w:val="clear" w:color="auto" w:fill="auto"/>
            <w:noWrap/>
            <w:hideMark/>
          </w:tcPr>
          <w:p w14:paraId="24F0C116" w14:textId="77777777" w:rsidR="00AA2BB2" w:rsidRPr="002815CC" w:rsidRDefault="00AA2BB2" w:rsidP="00A9660E">
            <w:pPr>
              <w:spacing w:after="0" w:line="240" w:lineRule="auto"/>
              <w:jc w:val="both"/>
              <w:rPr>
                <w:rFonts w:eastAsia="Times New Roman" w:cstheme="minorHAnsi"/>
                <w:color w:val="000000"/>
                <w:sz w:val="12"/>
                <w:szCs w:val="16"/>
              </w:rPr>
            </w:pPr>
            <w:proofErr w:type="spellStart"/>
            <w:r w:rsidRPr="002815CC">
              <w:rPr>
                <w:rFonts w:eastAsia="Times New Roman" w:cstheme="minorHAnsi"/>
                <w:color w:val="000000"/>
                <w:sz w:val="12"/>
                <w:szCs w:val="16"/>
              </w:rPr>
              <w:t>MGWApaI_R</w:t>
            </w:r>
            <w:proofErr w:type="spellEnd"/>
          </w:p>
        </w:tc>
        <w:tc>
          <w:tcPr>
            <w:tcW w:w="4333" w:type="dxa"/>
            <w:shd w:val="clear" w:color="auto" w:fill="auto"/>
            <w:noWrap/>
            <w:hideMark/>
          </w:tcPr>
          <w:p w14:paraId="432C3EA3"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TCATAACGTGACTCCCTTAATTCTC</w:t>
            </w:r>
          </w:p>
        </w:tc>
      </w:tr>
      <w:tr w:rsidR="00AA2BB2" w:rsidRPr="002815CC" w14:paraId="39919666" w14:textId="77777777" w:rsidTr="00A9660E">
        <w:trPr>
          <w:trHeight w:val="20"/>
        </w:trPr>
        <w:tc>
          <w:tcPr>
            <w:tcW w:w="2011" w:type="dxa"/>
            <w:vMerge/>
            <w:shd w:val="clear" w:color="auto" w:fill="auto"/>
            <w:noWrap/>
            <w:hideMark/>
          </w:tcPr>
          <w:p w14:paraId="27701D3D"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hideMark/>
          </w:tcPr>
          <w:p w14:paraId="131E6669" w14:textId="77777777" w:rsidR="00AA2BB2" w:rsidRPr="002815CC" w:rsidRDefault="00AA2BB2" w:rsidP="00A9660E">
            <w:pPr>
              <w:spacing w:after="0" w:line="240" w:lineRule="auto"/>
              <w:jc w:val="both"/>
              <w:rPr>
                <w:rFonts w:eastAsia="Times New Roman" w:cstheme="minorHAnsi"/>
                <w:color w:val="000000"/>
                <w:sz w:val="12"/>
                <w:szCs w:val="16"/>
              </w:rPr>
            </w:pPr>
            <w:r>
              <w:rPr>
                <w:rFonts w:eastAsia="Times New Roman" w:cstheme="minorHAnsi"/>
                <w:color w:val="000000"/>
                <w:sz w:val="12"/>
                <w:szCs w:val="16"/>
              </w:rPr>
              <w:t>39</w:t>
            </w:r>
          </w:p>
        </w:tc>
        <w:tc>
          <w:tcPr>
            <w:tcW w:w="1777" w:type="dxa"/>
            <w:shd w:val="clear" w:color="auto" w:fill="auto"/>
            <w:noWrap/>
            <w:hideMark/>
          </w:tcPr>
          <w:p w14:paraId="104B74EF" w14:textId="77777777" w:rsidR="00AA2BB2" w:rsidRPr="002815CC" w:rsidRDefault="00AA2BB2" w:rsidP="00A9660E">
            <w:pPr>
              <w:spacing w:after="0" w:line="240" w:lineRule="auto"/>
              <w:jc w:val="both"/>
              <w:rPr>
                <w:rFonts w:eastAsia="Times New Roman" w:cstheme="minorHAnsi"/>
                <w:color w:val="000000"/>
                <w:sz w:val="12"/>
                <w:szCs w:val="16"/>
              </w:rPr>
            </w:pPr>
            <w:proofErr w:type="spellStart"/>
            <w:r w:rsidRPr="002815CC">
              <w:rPr>
                <w:rFonts w:eastAsia="Times New Roman" w:cstheme="minorHAnsi"/>
                <w:color w:val="000000"/>
                <w:sz w:val="12"/>
                <w:szCs w:val="16"/>
              </w:rPr>
              <w:t>MGWApaI_F</w:t>
            </w:r>
            <w:proofErr w:type="spellEnd"/>
          </w:p>
        </w:tc>
        <w:tc>
          <w:tcPr>
            <w:tcW w:w="4333" w:type="dxa"/>
            <w:shd w:val="clear" w:color="auto" w:fill="auto"/>
            <w:noWrap/>
            <w:hideMark/>
          </w:tcPr>
          <w:p w14:paraId="39D19D70"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TAGGGCCCTACGCCAAGCTATCAACTTTGT</w:t>
            </w:r>
          </w:p>
        </w:tc>
      </w:tr>
      <w:tr w:rsidR="00AA2BB2" w:rsidRPr="002815CC" w14:paraId="3F4B315F" w14:textId="77777777" w:rsidTr="00A9660E">
        <w:trPr>
          <w:trHeight w:val="20"/>
        </w:trPr>
        <w:tc>
          <w:tcPr>
            <w:tcW w:w="2011" w:type="dxa"/>
            <w:vMerge/>
            <w:shd w:val="clear" w:color="auto" w:fill="auto"/>
            <w:noWrap/>
            <w:hideMark/>
          </w:tcPr>
          <w:p w14:paraId="21439030"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hideMark/>
          </w:tcPr>
          <w:p w14:paraId="37FF3FB4" w14:textId="77777777" w:rsidR="00AA2BB2" w:rsidRPr="002815CC" w:rsidRDefault="00AA2BB2" w:rsidP="00A9660E">
            <w:pPr>
              <w:spacing w:after="0" w:line="240" w:lineRule="auto"/>
              <w:jc w:val="both"/>
              <w:rPr>
                <w:rFonts w:eastAsia="Times New Roman" w:cstheme="minorHAnsi"/>
                <w:color w:val="000000"/>
                <w:sz w:val="12"/>
                <w:szCs w:val="16"/>
              </w:rPr>
            </w:pPr>
            <w:r>
              <w:rPr>
                <w:rFonts w:eastAsia="Times New Roman" w:cstheme="minorHAnsi"/>
                <w:color w:val="000000"/>
                <w:sz w:val="12"/>
                <w:szCs w:val="16"/>
              </w:rPr>
              <w:t>40</w:t>
            </w:r>
          </w:p>
        </w:tc>
        <w:tc>
          <w:tcPr>
            <w:tcW w:w="1777" w:type="dxa"/>
            <w:shd w:val="clear" w:color="auto" w:fill="auto"/>
            <w:noWrap/>
            <w:hideMark/>
          </w:tcPr>
          <w:p w14:paraId="563BB40E"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MGWEco81I_R</w:t>
            </w:r>
          </w:p>
        </w:tc>
        <w:tc>
          <w:tcPr>
            <w:tcW w:w="4333" w:type="dxa"/>
            <w:shd w:val="clear" w:color="auto" w:fill="auto"/>
            <w:noWrap/>
            <w:hideMark/>
          </w:tcPr>
          <w:p w14:paraId="4B776ADB"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AACCTTAGGTCACGACGGCCAGTGAAT</w:t>
            </w:r>
          </w:p>
        </w:tc>
      </w:tr>
      <w:tr w:rsidR="00AA2BB2" w:rsidRPr="002815CC" w14:paraId="69CBBE79" w14:textId="77777777" w:rsidTr="00A9660E">
        <w:trPr>
          <w:trHeight w:val="20"/>
        </w:trPr>
        <w:tc>
          <w:tcPr>
            <w:tcW w:w="2011" w:type="dxa"/>
            <w:vMerge w:val="restart"/>
            <w:shd w:val="clear" w:color="auto" w:fill="auto"/>
            <w:noWrap/>
          </w:tcPr>
          <w:p w14:paraId="42B1CCDF"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Split-GFP vector construction</w:t>
            </w:r>
          </w:p>
        </w:tc>
        <w:tc>
          <w:tcPr>
            <w:tcW w:w="941" w:type="dxa"/>
            <w:shd w:val="clear" w:color="auto" w:fill="auto"/>
            <w:noWrap/>
          </w:tcPr>
          <w:p w14:paraId="3A0D6C2A" w14:textId="77777777" w:rsidR="00AA2BB2" w:rsidRPr="002815CC" w:rsidRDefault="00AA2BB2" w:rsidP="00A9660E">
            <w:pPr>
              <w:spacing w:after="0" w:line="240" w:lineRule="auto"/>
              <w:jc w:val="both"/>
              <w:rPr>
                <w:rFonts w:eastAsia="Times New Roman" w:cstheme="minorHAnsi"/>
                <w:color w:val="000000"/>
                <w:sz w:val="12"/>
                <w:szCs w:val="16"/>
              </w:rPr>
            </w:pPr>
            <w:r>
              <w:rPr>
                <w:rFonts w:eastAsia="Times New Roman" w:cstheme="minorHAnsi"/>
                <w:color w:val="000000"/>
                <w:sz w:val="12"/>
                <w:szCs w:val="16"/>
              </w:rPr>
              <w:t>41</w:t>
            </w:r>
          </w:p>
        </w:tc>
        <w:tc>
          <w:tcPr>
            <w:tcW w:w="1777" w:type="dxa"/>
            <w:shd w:val="clear" w:color="auto" w:fill="auto"/>
            <w:noWrap/>
          </w:tcPr>
          <w:p w14:paraId="2FFB6957" w14:textId="77777777" w:rsidR="00AA2BB2" w:rsidRPr="002815CC" w:rsidRDefault="00AA2BB2" w:rsidP="00A9660E">
            <w:pPr>
              <w:spacing w:after="0" w:line="240" w:lineRule="auto"/>
              <w:jc w:val="both"/>
              <w:rPr>
                <w:rFonts w:eastAsia="Times New Roman" w:cstheme="minorHAnsi"/>
                <w:color w:val="000000"/>
                <w:sz w:val="12"/>
                <w:szCs w:val="16"/>
              </w:rPr>
            </w:pPr>
            <w:proofErr w:type="spellStart"/>
            <w:r w:rsidRPr="002815CC">
              <w:rPr>
                <w:sz w:val="12"/>
              </w:rPr>
              <w:t>AscI-GFPnF</w:t>
            </w:r>
            <w:proofErr w:type="spellEnd"/>
          </w:p>
        </w:tc>
        <w:tc>
          <w:tcPr>
            <w:tcW w:w="4333" w:type="dxa"/>
            <w:shd w:val="clear" w:color="auto" w:fill="auto"/>
            <w:noWrap/>
          </w:tcPr>
          <w:p w14:paraId="5B04FF87"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sz w:val="12"/>
              </w:rPr>
              <w:t>AGGCGCGCCATGGTGAGCAAGGGCGAG</w:t>
            </w:r>
          </w:p>
        </w:tc>
      </w:tr>
      <w:tr w:rsidR="00AA2BB2" w:rsidRPr="002815CC" w14:paraId="2AC22900" w14:textId="77777777" w:rsidTr="00A9660E">
        <w:trPr>
          <w:trHeight w:val="20"/>
        </w:trPr>
        <w:tc>
          <w:tcPr>
            <w:tcW w:w="2011" w:type="dxa"/>
            <w:vMerge/>
            <w:shd w:val="clear" w:color="auto" w:fill="auto"/>
            <w:noWrap/>
          </w:tcPr>
          <w:p w14:paraId="48571F64"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tcPr>
          <w:p w14:paraId="515C2DB2" w14:textId="77777777" w:rsidR="00AA2BB2" w:rsidRPr="002815CC" w:rsidRDefault="00AA2BB2" w:rsidP="00A9660E">
            <w:pPr>
              <w:spacing w:after="0" w:line="240" w:lineRule="auto"/>
              <w:jc w:val="both"/>
              <w:rPr>
                <w:rFonts w:eastAsia="Times New Roman" w:cstheme="minorHAnsi"/>
                <w:color w:val="000000"/>
                <w:sz w:val="12"/>
                <w:szCs w:val="16"/>
              </w:rPr>
            </w:pPr>
            <w:r>
              <w:rPr>
                <w:rFonts w:eastAsia="Times New Roman" w:cstheme="minorHAnsi"/>
                <w:color w:val="000000"/>
                <w:sz w:val="12"/>
                <w:szCs w:val="16"/>
              </w:rPr>
              <w:t>42</w:t>
            </w:r>
          </w:p>
        </w:tc>
        <w:tc>
          <w:tcPr>
            <w:tcW w:w="1777" w:type="dxa"/>
            <w:shd w:val="clear" w:color="auto" w:fill="auto"/>
            <w:noWrap/>
          </w:tcPr>
          <w:p w14:paraId="5851F4DB"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sz w:val="12"/>
              </w:rPr>
              <w:t>Acc65I-GFPnR</w:t>
            </w:r>
          </w:p>
        </w:tc>
        <w:tc>
          <w:tcPr>
            <w:tcW w:w="4333" w:type="dxa"/>
            <w:shd w:val="clear" w:color="auto" w:fill="auto"/>
            <w:noWrap/>
          </w:tcPr>
          <w:p w14:paraId="5B2B64AD"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sz w:val="12"/>
              </w:rPr>
              <w:t>AGGTACCGGCCATGATATAGACGTTGTG</w:t>
            </w:r>
          </w:p>
        </w:tc>
      </w:tr>
      <w:tr w:rsidR="00AA2BB2" w:rsidRPr="002815CC" w14:paraId="5693D512" w14:textId="77777777" w:rsidTr="00A9660E">
        <w:trPr>
          <w:trHeight w:val="20"/>
        </w:trPr>
        <w:tc>
          <w:tcPr>
            <w:tcW w:w="2011" w:type="dxa"/>
            <w:vMerge/>
            <w:shd w:val="clear" w:color="auto" w:fill="auto"/>
            <w:noWrap/>
          </w:tcPr>
          <w:p w14:paraId="75ABAAE8"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tcPr>
          <w:p w14:paraId="55C8722D" w14:textId="77777777" w:rsidR="00AA2BB2" w:rsidRPr="002815CC" w:rsidRDefault="00AA2BB2" w:rsidP="00A9660E">
            <w:pPr>
              <w:spacing w:after="0" w:line="240" w:lineRule="auto"/>
              <w:jc w:val="both"/>
              <w:rPr>
                <w:rFonts w:eastAsia="Times New Roman" w:cstheme="minorHAnsi"/>
                <w:color w:val="000000"/>
                <w:sz w:val="12"/>
                <w:szCs w:val="16"/>
              </w:rPr>
            </w:pPr>
            <w:r>
              <w:rPr>
                <w:rFonts w:eastAsia="Times New Roman" w:cstheme="minorHAnsi"/>
                <w:color w:val="000000"/>
                <w:sz w:val="12"/>
                <w:szCs w:val="16"/>
              </w:rPr>
              <w:t>43</w:t>
            </w:r>
          </w:p>
        </w:tc>
        <w:tc>
          <w:tcPr>
            <w:tcW w:w="1777" w:type="dxa"/>
            <w:shd w:val="clear" w:color="auto" w:fill="auto"/>
            <w:noWrap/>
          </w:tcPr>
          <w:p w14:paraId="05D117C5" w14:textId="77777777" w:rsidR="00AA2BB2" w:rsidRPr="002815CC" w:rsidRDefault="00AA2BB2" w:rsidP="00A9660E">
            <w:pPr>
              <w:spacing w:after="0" w:line="240" w:lineRule="auto"/>
              <w:jc w:val="both"/>
              <w:rPr>
                <w:rFonts w:eastAsia="Times New Roman" w:cstheme="minorHAnsi"/>
                <w:color w:val="000000"/>
                <w:sz w:val="12"/>
                <w:szCs w:val="16"/>
              </w:rPr>
            </w:pPr>
            <w:proofErr w:type="spellStart"/>
            <w:r w:rsidRPr="002815CC">
              <w:rPr>
                <w:sz w:val="12"/>
              </w:rPr>
              <w:t>AscI</w:t>
            </w:r>
            <w:proofErr w:type="spellEnd"/>
            <w:r w:rsidRPr="002815CC">
              <w:rPr>
                <w:sz w:val="12"/>
              </w:rPr>
              <w:t>-START-</w:t>
            </w:r>
            <w:proofErr w:type="spellStart"/>
            <w:r w:rsidRPr="002815CC">
              <w:rPr>
                <w:sz w:val="12"/>
              </w:rPr>
              <w:t>GFPcF</w:t>
            </w:r>
            <w:proofErr w:type="spellEnd"/>
          </w:p>
        </w:tc>
        <w:tc>
          <w:tcPr>
            <w:tcW w:w="4333" w:type="dxa"/>
            <w:shd w:val="clear" w:color="auto" w:fill="auto"/>
            <w:noWrap/>
          </w:tcPr>
          <w:p w14:paraId="418997DD"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sz w:val="12"/>
              </w:rPr>
              <w:t>AGGCGCGCCATGGACAAGCAGAAGAACGGCAT</w:t>
            </w:r>
          </w:p>
        </w:tc>
      </w:tr>
      <w:tr w:rsidR="00AA2BB2" w:rsidRPr="002815CC" w14:paraId="0F8C9C5F" w14:textId="77777777" w:rsidTr="00A9660E">
        <w:trPr>
          <w:trHeight w:val="20"/>
        </w:trPr>
        <w:tc>
          <w:tcPr>
            <w:tcW w:w="2011" w:type="dxa"/>
            <w:vMerge/>
            <w:shd w:val="clear" w:color="auto" w:fill="auto"/>
            <w:noWrap/>
          </w:tcPr>
          <w:p w14:paraId="006200F0"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tcPr>
          <w:p w14:paraId="4ACAB228" w14:textId="77777777" w:rsidR="00AA2BB2" w:rsidRPr="002815CC" w:rsidRDefault="00AA2BB2" w:rsidP="00A9660E">
            <w:pPr>
              <w:spacing w:after="0" w:line="240" w:lineRule="auto"/>
              <w:jc w:val="both"/>
              <w:rPr>
                <w:rFonts w:eastAsia="Times New Roman" w:cstheme="minorHAnsi"/>
                <w:color w:val="000000"/>
                <w:sz w:val="12"/>
                <w:szCs w:val="16"/>
              </w:rPr>
            </w:pPr>
            <w:r>
              <w:rPr>
                <w:rFonts w:eastAsia="Times New Roman" w:cstheme="minorHAnsi"/>
                <w:color w:val="000000"/>
                <w:sz w:val="12"/>
                <w:szCs w:val="16"/>
              </w:rPr>
              <w:t>44</w:t>
            </w:r>
          </w:p>
        </w:tc>
        <w:tc>
          <w:tcPr>
            <w:tcW w:w="1777" w:type="dxa"/>
            <w:shd w:val="clear" w:color="auto" w:fill="auto"/>
            <w:noWrap/>
          </w:tcPr>
          <w:p w14:paraId="5D21807F"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sz w:val="12"/>
              </w:rPr>
              <w:t>Acc65I-GFPcR</w:t>
            </w:r>
          </w:p>
        </w:tc>
        <w:tc>
          <w:tcPr>
            <w:tcW w:w="4333" w:type="dxa"/>
            <w:shd w:val="clear" w:color="auto" w:fill="auto"/>
            <w:noWrap/>
          </w:tcPr>
          <w:p w14:paraId="694B79CD"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sz w:val="12"/>
              </w:rPr>
              <w:t>AGGTACCCTTGTACAGCTCGTCCATGC</w:t>
            </w:r>
          </w:p>
        </w:tc>
      </w:tr>
      <w:tr w:rsidR="00AA2BB2" w:rsidRPr="002815CC" w14:paraId="36736AC7" w14:textId="77777777" w:rsidTr="00A9660E">
        <w:trPr>
          <w:trHeight w:val="20"/>
        </w:trPr>
        <w:tc>
          <w:tcPr>
            <w:tcW w:w="2011" w:type="dxa"/>
            <w:vMerge w:val="restart"/>
            <w:shd w:val="clear" w:color="auto" w:fill="auto"/>
            <w:noWrap/>
          </w:tcPr>
          <w:p w14:paraId="20579565"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Cloning SYP132α CRISPR construct</w:t>
            </w:r>
          </w:p>
        </w:tc>
        <w:tc>
          <w:tcPr>
            <w:tcW w:w="941" w:type="dxa"/>
            <w:shd w:val="clear" w:color="auto" w:fill="auto"/>
            <w:noWrap/>
          </w:tcPr>
          <w:p w14:paraId="5B0B15F6" w14:textId="77777777" w:rsidR="00AA2BB2" w:rsidRPr="002815CC" w:rsidRDefault="00AA2BB2" w:rsidP="00A9660E">
            <w:pPr>
              <w:spacing w:after="0" w:line="240" w:lineRule="auto"/>
              <w:jc w:val="both"/>
              <w:rPr>
                <w:rFonts w:eastAsia="Times New Roman" w:cstheme="minorHAnsi"/>
                <w:color w:val="000000"/>
                <w:sz w:val="12"/>
                <w:szCs w:val="16"/>
              </w:rPr>
            </w:pPr>
            <w:r>
              <w:rPr>
                <w:rFonts w:eastAsia="Times New Roman" w:cstheme="minorHAnsi"/>
                <w:color w:val="000000"/>
                <w:sz w:val="12"/>
                <w:szCs w:val="16"/>
              </w:rPr>
              <w:t>45</w:t>
            </w:r>
          </w:p>
        </w:tc>
        <w:tc>
          <w:tcPr>
            <w:tcW w:w="1777" w:type="dxa"/>
            <w:shd w:val="clear" w:color="auto" w:fill="auto"/>
            <w:noWrap/>
          </w:tcPr>
          <w:p w14:paraId="53566924"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SG-F</w:t>
            </w:r>
          </w:p>
        </w:tc>
        <w:tc>
          <w:tcPr>
            <w:tcW w:w="4333" w:type="dxa"/>
            <w:shd w:val="clear" w:color="auto" w:fill="auto"/>
            <w:noWrap/>
          </w:tcPr>
          <w:p w14:paraId="350C5DB3"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CACCGTCGACGTAAAGCCTGTAGAAGA</w:t>
            </w:r>
          </w:p>
        </w:tc>
      </w:tr>
      <w:tr w:rsidR="00AA2BB2" w:rsidRPr="002815CC" w14:paraId="30946D60" w14:textId="77777777" w:rsidTr="00A9660E">
        <w:trPr>
          <w:trHeight w:val="20"/>
        </w:trPr>
        <w:tc>
          <w:tcPr>
            <w:tcW w:w="2011" w:type="dxa"/>
            <w:vMerge/>
            <w:shd w:val="clear" w:color="auto" w:fill="auto"/>
            <w:noWrap/>
          </w:tcPr>
          <w:p w14:paraId="04D42A77"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tcPr>
          <w:p w14:paraId="5A6DC65C" w14:textId="77777777" w:rsidR="00AA2BB2" w:rsidRPr="002815CC" w:rsidRDefault="00AA2BB2" w:rsidP="00A9660E">
            <w:pPr>
              <w:spacing w:after="0" w:line="240" w:lineRule="auto"/>
              <w:jc w:val="both"/>
              <w:rPr>
                <w:rFonts w:eastAsia="Times New Roman" w:cstheme="minorHAnsi"/>
                <w:color w:val="000000"/>
                <w:sz w:val="12"/>
                <w:szCs w:val="16"/>
              </w:rPr>
            </w:pPr>
            <w:r>
              <w:rPr>
                <w:rFonts w:eastAsia="Times New Roman" w:cstheme="minorHAnsi"/>
                <w:color w:val="000000"/>
                <w:sz w:val="12"/>
                <w:szCs w:val="16"/>
              </w:rPr>
              <w:t>46</w:t>
            </w:r>
          </w:p>
        </w:tc>
        <w:tc>
          <w:tcPr>
            <w:tcW w:w="1777" w:type="dxa"/>
            <w:shd w:val="clear" w:color="auto" w:fill="auto"/>
            <w:noWrap/>
          </w:tcPr>
          <w:p w14:paraId="405F9AED"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SYP132α-U6-R</w:t>
            </w:r>
          </w:p>
        </w:tc>
        <w:tc>
          <w:tcPr>
            <w:tcW w:w="4333" w:type="dxa"/>
            <w:shd w:val="clear" w:color="auto" w:fill="auto"/>
            <w:noWrap/>
          </w:tcPr>
          <w:p w14:paraId="2EC75854"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GACTTCACATGATCAGTTGCAATCACTACTTCGACTCTAGCTGT</w:t>
            </w:r>
          </w:p>
        </w:tc>
      </w:tr>
      <w:tr w:rsidR="00AA2BB2" w:rsidRPr="002815CC" w14:paraId="4F00E7FB" w14:textId="77777777" w:rsidTr="00A9660E">
        <w:trPr>
          <w:trHeight w:val="20"/>
        </w:trPr>
        <w:tc>
          <w:tcPr>
            <w:tcW w:w="2011" w:type="dxa"/>
            <w:vMerge/>
            <w:shd w:val="clear" w:color="auto" w:fill="auto"/>
            <w:noWrap/>
          </w:tcPr>
          <w:p w14:paraId="4934D411"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tcPr>
          <w:p w14:paraId="0AB86200" w14:textId="77777777" w:rsidR="00AA2BB2" w:rsidRPr="002815CC" w:rsidRDefault="00AA2BB2" w:rsidP="00A9660E">
            <w:pPr>
              <w:spacing w:after="0" w:line="240" w:lineRule="auto"/>
              <w:jc w:val="both"/>
              <w:rPr>
                <w:rFonts w:eastAsia="Times New Roman" w:cstheme="minorHAnsi"/>
                <w:color w:val="000000"/>
                <w:sz w:val="12"/>
                <w:szCs w:val="16"/>
              </w:rPr>
            </w:pPr>
            <w:r>
              <w:rPr>
                <w:rFonts w:eastAsia="Times New Roman" w:cstheme="minorHAnsi"/>
                <w:color w:val="000000"/>
                <w:sz w:val="12"/>
                <w:szCs w:val="16"/>
              </w:rPr>
              <w:t>47</w:t>
            </w:r>
          </w:p>
        </w:tc>
        <w:tc>
          <w:tcPr>
            <w:tcW w:w="1777" w:type="dxa"/>
            <w:shd w:val="clear" w:color="auto" w:fill="auto"/>
            <w:noWrap/>
          </w:tcPr>
          <w:p w14:paraId="5E945AF6"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SYP132α-SG-F</w:t>
            </w:r>
          </w:p>
        </w:tc>
        <w:tc>
          <w:tcPr>
            <w:tcW w:w="4333" w:type="dxa"/>
            <w:shd w:val="clear" w:color="auto" w:fill="auto"/>
            <w:noWrap/>
          </w:tcPr>
          <w:p w14:paraId="7C727BB6"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GCAACTGATCATGTGAAGTCGTTTTAGAGCTAGAAATAGCAAGTTA</w:t>
            </w:r>
          </w:p>
        </w:tc>
      </w:tr>
      <w:tr w:rsidR="00AA2BB2" w:rsidRPr="002815CC" w14:paraId="74A99BF0" w14:textId="77777777" w:rsidTr="00A9660E">
        <w:trPr>
          <w:trHeight w:val="20"/>
        </w:trPr>
        <w:tc>
          <w:tcPr>
            <w:tcW w:w="2011" w:type="dxa"/>
            <w:vMerge/>
            <w:shd w:val="clear" w:color="auto" w:fill="auto"/>
            <w:noWrap/>
          </w:tcPr>
          <w:p w14:paraId="70D0738E"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tcPr>
          <w:p w14:paraId="07EDF398" w14:textId="77777777" w:rsidR="00AA2BB2" w:rsidRPr="002815CC" w:rsidRDefault="00AA2BB2" w:rsidP="00A9660E">
            <w:pPr>
              <w:spacing w:after="0" w:line="240" w:lineRule="auto"/>
              <w:jc w:val="both"/>
              <w:rPr>
                <w:rFonts w:eastAsia="Times New Roman" w:cstheme="minorHAnsi"/>
                <w:color w:val="000000"/>
                <w:sz w:val="12"/>
                <w:szCs w:val="16"/>
              </w:rPr>
            </w:pPr>
            <w:r>
              <w:rPr>
                <w:rFonts w:eastAsia="Times New Roman" w:cstheme="minorHAnsi"/>
                <w:color w:val="000000"/>
                <w:sz w:val="12"/>
                <w:szCs w:val="16"/>
              </w:rPr>
              <w:t>48</w:t>
            </w:r>
          </w:p>
        </w:tc>
        <w:tc>
          <w:tcPr>
            <w:tcW w:w="1777" w:type="dxa"/>
            <w:shd w:val="clear" w:color="auto" w:fill="auto"/>
            <w:noWrap/>
          </w:tcPr>
          <w:p w14:paraId="4EA6BC00"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SG-R</w:t>
            </w:r>
          </w:p>
        </w:tc>
        <w:tc>
          <w:tcPr>
            <w:tcW w:w="4333" w:type="dxa"/>
            <w:shd w:val="clear" w:color="auto" w:fill="auto"/>
            <w:noWrap/>
          </w:tcPr>
          <w:p w14:paraId="6D87252A"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AAAAGGTACCAAAAATTATATCCTGTG</w:t>
            </w:r>
          </w:p>
        </w:tc>
      </w:tr>
      <w:tr w:rsidR="00AA2BB2" w:rsidRPr="002815CC" w14:paraId="5FA9D07F" w14:textId="77777777" w:rsidTr="00A9660E">
        <w:trPr>
          <w:trHeight w:val="20"/>
        </w:trPr>
        <w:tc>
          <w:tcPr>
            <w:tcW w:w="2011" w:type="dxa"/>
            <w:vMerge w:val="restart"/>
            <w:shd w:val="clear" w:color="auto" w:fill="auto"/>
            <w:noWrap/>
          </w:tcPr>
          <w:p w14:paraId="29D044BE"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detection SYP132α CRISPR deletion</w:t>
            </w:r>
          </w:p>
        </w:tc>
        <w:tc>
          <w:tcPr>
            <w:tcW w:w="941" w:type="dxa"/>
            <w:shd w:val="clear" w:color="auto" w:fill="auto"/>
            <w:noWrap/>
          </w:tcPr>
          <w:p w14:paraId="35E9FEEC" w14:textId="77777777" w:rsidR="00AA2BB2" w:rsidRPr="002815CC" w:rsidRDefault="00AA2BB2" w:rsidP="00A9660E">
            <w:pPr>
              <w:spacing w:after="0" w:line="240" w:lineRule="auto"/>
              <w:jc w:val="both"/>
              <w:rPr>
                <w:rFonts w:eastAsia="Times New Roman" w:cstheme="minorHAnsi"/>
                <w:color w:val="000000"/>
                <w:sz w:val="12"/>
                <w:szCs w:val="16"/>
              </w:rPr>
            </w:pPr>
            <w:r>
              <w:rPr>
                <w:rFonts w:eastAsia="Times New Roman" w:cstheme="minorHAnsi"/>
                <w:color w:val="000000"/>
                <w:sz w:val="12"/>
                <w:szCs w:val="16"/>
              </w:rPr>
              <w:t>49</w:t>
            </w:r>
          </w:p>
        </w:tc>
        <w:tc>
          <w:tcPr>
            <w:tcW w:w="1777" w:type="dxa"/>
            <w:shd w:val="clear" w:color="auto" w:fill="auto"/>
            <w:noWrap/>
          </w:tcPr>
          <w:p w14:paraId="6CE56BAA"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SYP132α-F1</w:t>
            </w:r>
          </w:p>
        </w:tc>
        <w:tc>
          <w:tcPr>
            <w:tcW w:w="4333" w:type="dxa"/>
            <w:shd w:val="clear" w:color="auto" w:fill="auto"/>
            <w:noWrap/>
          </w:tcPr>
          <w:p w14:paraId="386040FC"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GGCTTTTGGAGCAATACGGG</w:t>
            </w:r>
          </w:p>
        </w:tc>
      </w:tr>
      <w:tr w:rsidR="00AA2BB2" w:rsidRPr="002815CC" w14:paraId="23C7A9C0" w14:textId="77777777" w:rsidTr="00A9660E">
        <w:trPr>
          <w:trHeight w:val="20"/>
        </w:trPr>
        <w:tc>
          <w:tcPr>
            <w:tcW w:w="2011" w:type="dxa"/>
            <w:vMerge/>
            <w:shd w:val="clear" w:color="auto" w:fill="auto"/>
            <w:noWrap/>
          </w:tcPr>
          <w:p w14:paraId="10B086E2"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tcPr>
          <w:p w14:paraId="5F335169" w14:textId="77777777" w:rsidR="00AA2BB2" w:rsidRPr="002815CC" w:rsidRDefault="00AA2BB2" w:rsidP="00A9660E">
            <w:pPr>
              <w:spacing w:after="0" w:line="240" w:lineRule="auto"/>
              <w:jc w:val="both"/>
              <w:rPr>
                <w:rFonts w:eastAsia="Times New Roman" w:cstheme="minorHAnsi"/>
                <w:color w:val="000000"/>
                <w:sz w:val="12"/>
                <w:szCs w:val="16"/>
              </w:rPr>
            </w:pPr>
            <w:r>
              <w:rPr>
                <w:rFonts w:eastAsia="Times New Roman" w:cstheme="minorHAnsi"/>
                <w:color w:val="000000"/>
                <w:sz w:val="12"/>
                <w:szCs w:val="16"/>
              </w:rPr>
              <w:t>50</w:t>
            </w:r>
          </w:p>
        </w:tc>
        <w:tc>
          <w:tcPr>
            <w:tcW w:w="1777" w:type="dxa"/>
            <w:shd w:val="clear" w:color="auto" w:fill="auto"/>
            <w:noWrap/>
          </w:tcPr>
          <w:p w14:paraId="4EC703A8"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SYP132α-R1</w:t>
            </w:r>
          </w:p>
        </w:tc>
        <w:tc>
          <w:tcPr>
            <w:tcW w:w="4333" w:type="dxa"/>
            <w:shd w:val="clear" w:color="auto" w:fill="auto"/>
            <w:noWrap/>
          </w:tcPr>
          <w:p w14:paraId="43E42E0E"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GTAAGTTGTGCCACCGTTCG</w:t>
            </w:r>
          </w:p>
        </w:tc>
      </w:tr>
      <w:tr w:rsidR="00AA2BB2" w:rsidRPr="002815CC" w14:paraId="37BC4463" w14:textId="77777777" w:rsidTr="00A9660E">
        <w:trPr>
          <w:trHeight w:val="20"/>
        </w:trPr>
        <w:tc>
          <w:tcPr>
            <w:tcW w:w="2011" w:type="dxa"/>
            <w:vMerge w:val="restart"/>
            <w:shd w:val="clear" w:color="auto" w:fill="auto"/>
            <w:noWrap/>
          </w:tcPr>
          <w:p w14:paraId="3DC7FC59"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Cas9 detection</w:t>
            </w:r>
          </w:p>
        </w:tc>
        <w:tc>
          <w:tcPr>
            <w:tcW w:w="941" w:type="dxa"/>
            <w:shd w:val="clear" w:color="auto" w:fill="auto"/>
            <w:noWrap/>
          </w:tcPr>
          <w:p w14:paraId="3C28B4C1" w14:textId="77777777" w:rsidR="00AA2BB2" w:rsidRPr="002815CC" w:rsidRDefault="00AA2BB2" w:rsidP="00A9660E">
            <w:pPr>
              <w:spacing w:after="0" w:line="240" w:lineRule="auto"/>
              <w:jc w:val="both"/>
              <w:rPr>
                <w:rFonts w:eastAsia="Times New Roman" w:cstheme="minorHAnsi"/>
                <w:color w:val="000000"/>
                <w:sz w:val="12"/>
                <w:szCs w:val="16"/>
              </w:rPr>
            </w:pPr>
            <w:r>
              <w:rPr>
                <w:rFonts w:eastAsia="Times New Roman" w:cstheme="minorHAnsi"/>
                <w:color w:val="000000"/>
                <w:sz w:val="12"/>
                <w:szCs w:val="16"/>
              </w:rPr>
              <w:t>51</w:t>
            </w:r>
          </w:p>
        </w:tc>
        <w:tc>
          <w:tcPr>
            <w:tcW w:w="1777" w:type="dxa"/>
            <w:shd w:val="clear" w:color="auto" w:fill="auto"/>
            <w:noWrap/>
          </w:tcPr>
          <w:p w14:paraId="00AB2277"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Cas9-F</w:t>
            </w:r>
          </w:p>
        </w:tc>
        <w:tc>
          <w:tcPr>
            <w:tcW w:w="4333" w:type="dxa"/>
            <w:shd w:val="clear" w:color="auto" w:fill="auto"/>
            <w:noWrap/>
          </w:tcPr>
          <w:p w14:paraId="4055D43F"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TGGAGCAGCACAAGCACTACC</w:t>
            </w:r>
          </w:p>
        </w:tc>
      </w:tr>
      <w:tr w:rsidR="00AA2BB2" w:rsidRPr="002815CC" w14:paraId="6BEE1591" w14:textId="77777777" w:rsidTr="00A9660E">
        <w:trPr>
          <w:trHeight w:val="20"/>
        </w:trPr>
        <w:tc>
          <w:tcPr>
            <w:tcW w:w="2011" w:type="dxa"/>
            <w:vMerge/>
            <w:shd w:val="clear" w:color="auto" w:fill="auto"/>
            <w:noWrap/>
          </w:tcPr>
          <w:p w14:paraId="4C98648D"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tcPr>
          <w:p w14:paraId="0D566638" w14:textId="77777777" w:rsidR="00AA2BB2" w:rsidRPr="002815CC" w:rsidRDefault="00AA2BB2" w:rsidP="00A9660E">
            <w:pPr>
              <w:spacing w:after="0" w:line="240" w:lineRule="auto"/>
              <w:jc w:val="both"/>
              <w:rPr>
                <w:rFonts w:eastAsia="Times New Roman" w:cstheme="minorHAnsi"/>
                <w:color w:val="000000"/>
                <w:sz w:val="12"/>
                <w:szCs w:val="16"/>
              </w:rPr>
            </w:pPr>
            <w:r>
              <w:rPr>
                <w:rFonts w:eastAsia="Times New Roman" w:cstheme="minorHAnsi"/>
                <w:color w:val="000000"/>
                <w:sz w:val="12"/>
                <w:szCs w:val="16"/>
              </w:rPr>
              <w:t>52</w:t>
            </w:r>
          </w:p>
        </w:tc>
        <w:tc>
          <w:tcPr>
            <w:tcW w:w="1777" w:type="dxa"/>
            <w:shd w:val="clear" w:color="auto" w:fill="auto"/>
            <w:noWrap/>
          </w:tcPr>
          <w:p w14:paraId="469C2286"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Cas9-R</w:t>
            </w:r>
          </w:p>
        </w:tc>
        <w:tc>
          <w:tcPr>
            <w:tcW w:w="4333" w:type="dxa"/>
            <w:shd w:val="clear" w:color="auto" w:fill="auto"/>
            <w:noWrap/>
          </w:tcPr>
          <w:p w14:paraId="6EE540A6"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CAAGACCGGCAACAGGATTCA</w:t>
            </w:r>
          </w:p>
        </w:tc>
      </w:tr>
      <w:tr w:rsidR="00AA2BB2" w:rsidRPr="002815CC" w14:paraId="02A684AB" w14:textId="77777777" w:rsidTr="00A9660E">
        <w:trPr>
          <w:trHeight w:val="20"/>
        </w:trPr>
        <w:tc>
          <w:tcPr>
            <w:tcW w:w="2011" w:type="dxa"/>
            <w:vMerge w:val="restart"/>
            <w:shd w:val="clear" w:color="auto" w:fill="auto"/>
            <w:noWrap/>
          </w:tcPr>
          <w:p w14:paraId="27BE3FDB"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Cloning Timer-NLS</w:t>
            </w:r>
          </w:p>
        </w:tc>
        <w:tc>
          <w:tcPr>
            <w:tcW w:w="941" w:type="dxa"/>
            <w:shd w:val="clear" w:color="auto" w:fill="auto"/>
            <w:noWrap/>
          </w:tcPr>
          <w:p w14:paraId="48A488DA" w14:textId="77777777" w:rsidR="00AA2BB2" w:rsidRPr="002815CC" w:rsidRDefault="00AA2BB2" w:rsidP="00A9660E">
            <w:pPr>
              <w:spacing w:after="0" w:line="240" w:lineRule="auto"/>
              <w:jc w:val="both"/>
              <w:rPr>
                <w:rFonts w:eastAsia="Times New Roman" w:cstheme="minorHAnsi"/>
                <w:color w:val="000000"/>
                <w:sz w:val="12"/>
                <w:szCs w:val="16"/>
              </w:rPr>
            </w:pPr>
            <w:r>
              <w:rPr>
                <w:rFonts w:eastAsia="Times New Roman" w:cstheme="minorHAnsi"/>
                <w:color w:val="000000"/>
                <w:sz w:val="12"/>
                <w:szCs w:val="16"/>
              </w:rPr>
              <w:t>53</w:t>
            </w:r>
          </w:p>
        </w:tc>
        <w:tc>
          <w:tcPr>
            <w:tcW w:w="1777" w:type="dxa"/>
            <w:shd w:val="clear" w:color="auto" w:fill="auto"/>
            <w:noWrap/>
          </w:tcPr>
          <w:p w14:paraId="6B22FA4B" w14:textId="77777777" w:rsidR="00AA2BB2" w:rsidRPr="002815CC" w:rsidRDefault="00AA2BB2" w:rsidP="00A9660E">
            <w:pPr>
              <w:spacing w:after="0" w:line="240" w:lineRule="auto"/>
              <w:jc w:val="both"/>
              <w:rPr>
                <w:rFonts w:eastAsia="Times New Roman" w:cstheme="minorHAnsi"/>
                <w:sz w:val="12"/>
                <w:szCs w:val="16"/>
              </w:rPr>
            </w:pPr>
            <w:proofErr w:type="spellStart"/>
            <w:r w:rsidRPr="002815CC">
              <w:rPr>
                <w:rFonts w:eastAsia="Times New Roman" w:cstheme="minorHAnsi"/>
                <w:sz w:val="12"/>
                <w:szCs w:val="16"/>
              </w:rPr>
              <w:t>RikH_timer_F</w:t>
            </w:r>
            <w:proofErr w:type="spellEnd"/>
          </w:p>
        </w:tc>
        <w:tc>
          <w:tcPr>
            <w:tcW w:w="4333" w:type="dxa"/>
            <w:shd w:val="clear" w:color="auto" w:fill="auto"/>
            <w:noWrap/>
          </w:tcPr>
          <w:p w14:paraId="37E90D0D" w14:textId="77777777" w:rsidR="00AA2BB2" w:rsidRPr="002815CC" w:rsidRDefault="00AA2BB2" w:rsidP="00A9660E">
            <w:pPr>
              <w:spacing w:after="0" w:line="240" w:lineRule="auto"/>
              <w:jc w:val="both"/>
              <w:rPr>
                <w:rFonts w:eastAsia="Times New Roman" w:cstheme="minorHAnsi"/>
                <w:sz w:val="12"/>
                <w:szCs w:val="16"/>
              </w:rPr>
            </w:pPr>
            <w:r w:rsidRPr="002815CC">
              <w:rPr>
                <w:rFonts w:eastAsia="Times New Roman" w:cstheme="minorHAnsi"/>
                <w:sz w:val="12"/>
                <w:szCs w:val="16"/>
              </w:rPr>
              <w:t>CACCATGGTGGCTTCCTCCGA</w:t>
            </w:r>
          </w:p>
        </w:tc>
      </w:tr>
      <w:tr w:rsidR="00AA2BB2" w:rsidRPr="002815CC" w14:paraId="4D2134DF" w14:textId="77777777" w:rsidTr="00A9660E">
        <w:trPr>
          <w:trHeight w:val="20"/>
        </w:trPr>
        <w:tc>
          <w:tcPr>
            <w:tcW w:w="2011" w:type="dxa"/>
            <w:vMerge/>
            <w:shd w:val="clear" w:color="auto" w:fill="auto"/>
            <w:noWrap/>
          </w:tcPr>
          <w:p w14:paraId="493C3889" w14:textId="77777777" w:rsidR="00AA2BB2" w:rsidRPr="002815CC" w:rsidRDefault="00AA2BB2" w:rsidP="00A9660E">
            <w:pPr>
              <w:spacing w:after="0" w:line="240" w:lineRule="auto"/>
              <w:jc w:val="both"/>
              <w:rPr>
                <w:rFonts w:eastAsia="Times New Roman" w:cstheme="minorHAnsi"/>
                <w:sz w:val="12"/>
                <w:szCs w:val="16"/>
              </w:rPr>
            </w:pPr>
          </w:p>
        </w:tc>
        <w:tc>
          <w:tcPr>
            <w:tcW w:w="941" w:type="dxa"/>
            <w:shd w:val="clear" w:color="auto" w:fill="auto"/>
            <w:noWrap/>
          </w:tcPr>
          <w:p w14:paraId="2651C441" w14:textId="77777777" w:rsidR="00AA2BB2" w:rsidRPr="002815CC" w:rsidRDefault="00AA2BB2" w:rsidP="00A9660E">
            <w:pPr>
              <w:spacing w:after="0" w:line="240" w:lineRule="auto"/>
              <w:jc w:val="both"/>
              <w:rPr>
                <w:rFonts w:eastAsia="Times New Roman" w:cstheme="minorHAnsi"/>
                <w:color w:val="000000"/>
                <w:sz w:val="12"/>
                <w:szCs w:val="16"/>
              </w:rPr>
            </w:pPr>
            <w:r>
              <w:rPr>
                <w:rFonts w:eastAsia="Times New Roman" w:cstheme="minorHAnsi"/>
                <w:color w:val="000000"/>
                <w:sz w:val="12"/>
                <w:szCs w:val="16"/>
              </w:rPr>
              <w:t>54</w:t>
            </w:r>
          </w:p>
        </w:tc>
        <w:tc>
          <w:tcPr>
            <w:tcW w:w="1777" w:type="dxa"/>
            <w:shd w:val="clear" w:color="auto" w:fill="auto"/>
            <w:noWrap/>
          </w:tcPr>
          <w:p w14:paraId="29E2ABFC" w14:textId="77777777" w:rsidR="00AA2BB2" w:rsidRPr="002815CC" w:rsidRDefault="00AA2BB2" w:rsidP="00A9660E">
            <w:pPr>
              <w:spacing w:after="0" w:line="240" w:lineRule="auto"/>
              <w:jc w:val="both"/>
              <w:rPr>
                <w:rFonts w:eastAsia="Times New Roman" w:cstheme="minorHAnsi"/>
                <w:sz w:val="12"/>
                <w:szCs w:val="16"/>
              </w:rPr>
            </w:pPr>
            <w:proofErr w:type="spellStart"/>
            <w:r w:rsidRPr="002815CC">
              <w:rPr>
                <w:rFonts w:eastAsia="Times New Roman" w:cstheme="minorHAnsi"/>
                <w:sz w:val="12"/>
                <w:szCs w:val="16"/>
              </w:rPr>
              <w:t>RikH_NLS_R</w:t>
            </w:r>
            <w:proofErr w:type="spellEnd"/>
          </w:p>
        </w:tc>
        <w:tc>
          <w:tcPr>
            <w:tcW w:w="4333" w:type="dxa"/>
            <w:shd w:val="clear" w:color="auto" w:fill="auto"/>
            <w:noWrap/>
          </w:tcPr>
          <w:p w14:paraId="77ECA920" w14:textId="77777777" w:rsidR="00AA2BB2" w:rsidRPr="002815CC" w:rsidRDefault="00AA2BB2" w:rsidP="00A9660E">
            <w:pPr>
              <w:spacing w:after="0" w:line="240" w:lineRule="auto"/>
              <w:jc w:val="both"/>
              <w:rPr>
                <w:rFonts w:eastAsia="Times New Roman" w:cstheme="minorHAnsi"/>
                <w:sz w:val="12"/>
                <w:szCs w:val="16"/>
              </w:rPr>
            </w:pPr>
            <w:r w:rsidRPr="002815CC">
              <w:rPr>
                <w:rFonts w:eastAsia="Times New Roman" w:cstheme="minorHAnsi"/>
                <w:sz w:val="12"/>
                <w:szCs w:val="16"/>
              </w:rPr>
              <w:t>TTAGGCAACCTTTCTCTTCTTCTT</w:t>
            </w:r>
          </w:p>
        </w:tc>
      </w:tr>
      <w:tr w:rsidR="00AA2BB2" w:rsidRPr="002815CC" w14:paraId="753CCD96" w14:textId="77777777" w:rsidTr="00A9660E">
        <w:trPr>
          <w:trHeight w:val="20"/>
        </w:trPr>
        <w:tc>
          <w:tcPr>
            <w:tcW w:w="2011" w:type="dxa"/>
            <w:vMerge w:val="restart"/>
            <w:shd w:val="clear" w:color="auto" w:fill="auto"/>
            <w:noWrap/>
          </w:tcPr>
          <w:p w14:paraId="0DF63FC8"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Cloning Timer</w:t>
            </w:r>
          </w:p>
        </w:tc>
        <w:tc>
          <w:tcPr>
            <w:tcW w:w="941" w:type="dxa"/>
            <w:shd w:val="clear" w:color="auto" w:fill="auto"/>
            <w:noWrap/>
          </w:tcPr>
          <w:p w14:paraId="3AF99D4B" w14:textId="77777777" w:rsidR="00AA2BB2" w:rsidRPr="002815CC" w:rsidRDefault="00AA2BB2" w:rsidP="00A9660E">
            <w:pPr>
              <w:spacing w:after="0" w:line="240" w:lineRule="auto"/>
              <w:jc w:val="both"/>
              <w:rPr>
                <w:rFonts w:eastAsia="Times New Roman" w:cstheme="minorHAnsi"/>
                <w:color w:val="000000"/>
                <w:sz w:val="12"/>
                <w:szCs w:val="16"/>
              </w:rPr>
            </w:pPr>
            <w:r>
              <w:rPr>
                <w:rFonts w:eastAsia="Times New Roman" w:cstheme="minorHAnsi"/>
                <w:color w:val="000000"/>
                <w:sz w:val="12"/>
                <w:szCs w:val="16"/>
              </w:rPr>
              <w:t>55</w:t>
            </w:r>
          </w:p>
        </w:tc>
        <w:tc>
          <w:tcPr>
            <w:tcW w:w="1777" w:type="dxa"/>
            <w:shd w:val="clear" w:color="auto" w:fill="auto"/>
            <w:noWrap/>
          </w:tcPr>
          <w:p w14:paraId="15142495" w14:textId="77777777" w:rsidR="00AA2BB2" w:rsidRPr="002815CC" w:rsidRDefault="00AA2BB2" w:rsidP="00A9660E">
            <w:pPr>
              <w:spacing w:after="0" w:line="240" w:lineRule="auto"/>
              <w:jc w:val="both"/>
              <w:rPr>
                <w:rFonts w:eastAsia="Times New Roman" w:cstheme="minorHAnsi"/>
                <w:color w:val="000000"/>
                <w:sz w:val="12"/>
                <w:szCs w:val="16"/>
              </w:rPr>
            </w:pPr>
            <w:proofErr w:type="spellStart"/>
            <w:r w:rsidRPr="002815CC">
              <w:rPr>
                <w:rFonts w:eastAsia="Times New Roman" w:cstheme="minorHAnsi"/>
                <w:color w:val="000000"/>
                <w:sz w:val="12"/>
                <w:szCs w:val="16"/>
              </w:rPr>
              <w:t>AscI-TimerF</w:t>
            </w:r>
            <w:proofErr w:type="spellEnd"/>
          </w:p>
        </w:tc>
        <w:tc>
          <w:tcPr>
            <w:tcW w:w="4333" w:type="dxa"/>
            <w:shd w:val="clear" w:color="auto" w:fill="auto"/>
            <w:noWrap/>
          </w:tcPr>
          <w:p w14:paraId="40CC35E8"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GGCGCGCCATGGTGGCTTCCTCCGAAGA</w:t>
            </w:r>
          </w:p>
        </w:tc>
      </w:tr>
      <w:tr w:rsidR="00AA2BB2" w:rsidRPr="002815CC" w14:paraId="732A2098" w14:textId="77777777" w:rsidTr="00A9660E">
        <w:trPr>
          <w:trHeight w:val="20"/>
        </w:trPr>
        <w:tc>
          <w:tcPr>
            <w:tcW w:w="2011" w:type="dxa"/>
            <w:vMerge/>
            <w:shd w:val="clear" w:color="auto" w:fill="auto"/>
            <w:noWrap/>
          </w:tcPr>
          <w:p w14:paraId="38A7D832" w14:textId="77777777" w:rsidR="00AA2BB2" w:rsidRPr="002815CC" w:rsidRDefault="00AA2BB2" w:rsidP="00A9660E">
            <w:pPr>
              <w:spacing w:after="0" w:line="240" w:lineRule="auto"/>
              <w:jc w:val="both"/>
              <w:rPr>
                <w:rFonts w:eastAsia="Times New Roman" w:cstheme="minorHAnsi"/>
                <w:color w:val="000000"/>
                <w:sz w:val="12"/>
                <w:szCs w:val="16"/>
              </w:rPr>
            </w:pPr>
          </w:p>
        </w:tc>
        <w:tc>
          <w:tcPr>
            <w:tcW w:w="941" w:type="dxa"/>
            <w:shd w:val="clear" w:color="auto" w:fill="auto"/>
            <w:noWrap/>
          </w:tcPr>
          <w:p w14:paraId="1A1DD4CD" w14:textId="77777777" w:rsidR="00AA2BB2" w:rsidRPr="002815CC" w:rsidRDefault="00AA2BB2" w:rsidP="00A9660E">
            <w:pPr>
              <w:spacing w:after="0" w:line="240" w:lineRule="auto"/>
              <w:jc w:val="both"/>
              <w:rPr>
                <w:rFonts w:eastAsia="Times New Roman" w:cstheme="minorHAnsi"/>
                <w:color w:val="000000"/>
                <w:sz w:val="12"/>
                <w:szCs w:val="16"/>
              </w:rPr>
            </w:pPr>
            <w:r>
              <w:rPr>
                <w:rFonts w:eastAsia="Times New Roman" w:cstheme="minorHAnsi"/>
                <w:color w:val="000000"/>
                <w:sz w:val="12"/>
                <w:szCs w:val="16"/>
              </w:rPr>
              <w:t>56</w:t>
            </w:r>
          </w:p>
        </w:tc>
        <w:tc>
          <w:tcPr>
            <w:tcW w:w="1777" w:type="dxa"/>
            <w:shd w:val="clear" w:color="auto" w:fill="auto"/>
            <w:noWrap/>
          </w:tcPr>
          <w:p w14:paraId="05797FC3" w14:textId="77777777" w:rsidR="00AA2BB2" w:rsidRPr="002815CC" w:rsidRDefault="00AA2BB2" w:rsidP="00A9660E">
            <w:pPr>
              <w:spacing w:after="0" w:line="240" w:lineRule="auto"/>
              <w:jc w:val="both"/>
              <w:rPr>
                <w:rFonts w:eastAsia="Times New Roman" w:cstheme="minorHAnsi"/>
                <w:color w:val="000000"/>
                <w:sz w:val="12"/>
                <w:szCs w:val="16"/>
              </w:rPr>
            </w:pPr>
            <w:proofErr w:type="spellStart"/>
            <w:r w:rsidRPr="002815CC">
              <w:rPr>
                <w:rFonts w:eastAsia="Times New Roman" w:cstheme="minorHAnsi"/>
                <w:color w:val="000000"/>
                <w:sz w:val="12"/>
                <w:szCs w:val="16"/>
              </w:rPr>
              <w:t>KpnI-TimerR</w:t>
            </w:r>
            <w:proofErr w:type="spellEnd"/>
          </w:p>
        </w:tc>
        <w:tc>
          <w:tcPr>
            <w:tcW w:w="4333" w:type="dxa"/>
            <w:shd w:val="clear" w:color="auto" w:fill="auto"/>
            <w:noWrap/>
          </w:tcPr>
          <w:p w14:paraId="212713AA" w14:textId="77777777" w:rsidR="00AA2BB2" w:rsidRPr="002815CC" w:rsidRDefault="00AA2BB2" w:rsidP="00A9660E">
            <w:pPr>
              <w:spacing w:after="0" w:line="240" w:lineRule="auto"/>
              <w:jc w:val="both"/>
              <w:rPr>
                <w:rFonts w:eastAsia="Times New Roman" w:cstheme="minorHAnsi"/>
                <w:color w:val="000000"/>
                <w:sz w:val="12"/>
                <w:szCs w:val="16"/>
              </w:rPr>
            </w:pPr>
            <w:r w:rsidRPr="002815CC">
              <w:rPr>
                <w:rFonts w:eastAsia="Times New Roman" w:cstheme="minorHAnsi"/>
                <w:color w:val="000000"/>
                <w:sz w:val="12"/>
                <w:szCs w:val="16"/>
              </w:rPr>
              <w:t>GGTACCCAGGAACAGGTGGTGGCGGCC</w:t>
            </w:r>
          </w:p>
        </w:tc>
      </w:tr>
    </w:tbl>
    <w:p w14:paraId="32315E22" w14:textId="77777777" w:rsidR="00AA2BB2" w:rsidRPr="0092011E" w:rsidRDefault="00AA2BB2" w:rsidP="00AA2BB2">
      <w:pPr>
        <w:rPr>
          <w:sz w:val="22"/>
        </w:rPr>
      </w:pPr>
    </w:p>
    <w:p w14:paraId="2AF4FC05" w14:textId="77777777" w:rsidR="00AA2BB2" w:rsidRDefault="00AA2BB2" w:rsidP="00AA2BB2"/>
    <w:p w14:paraId="7AA18DBA" w14:textId="77777777" w:rsidR="00E16152" w:rsidRDefault="00E16152">
      <w:bookmarkStart w:id="0" w:name="_GoBack"/>
      <w:bookmarkEnd w:id="0"/>
    </w:p>
    <w:sectPr w:rsidR="00E16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FC"/>
    <w:rsid w:val="001B3AFC"/>
    <w:rsid w:val="00AA2BB2"/>
    <w:rsid w:val="00E161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F3CF"/>
  <w15:chartTrackingRefBased/>
  <w15:docId w15:val="{B1449849-C5A6-4A1B-A998-7DFBC44B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7"/>
        <w:szCs w:val="22"/>
        <w:lang w:val="nl-NL" w:eastAsia="en-US" w:bidi="ar-SA"/>
      </w:rPr>
    </w:rPrDefault>
    <w:pPrDefault>
      <w:pPr>
        <w:spacing w:after="16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AFC"/>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AFC"/>
    <w:pPr>
      <w:spacing w:after="0" w:line="240" w:lineRule="auto"/>
    </w:pPr>
    <w:rPr>
      <w:lang w:val="en-GB"/>
    </w:rPr>
  </w:style>
  <w:style w:type="table" w:customStyle="1" w:styleId="TableGrid1">
    <w:name w:val="Table Grid1"/>
    <w:basedOn w:val="TableNormal"/>
    <w:next w:val="TableGrid"/>
    <w:uiPriority w:val="59"/>
    <w:rsid w:val="001B3AF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B3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C446C-23C6-4EAC-957A-CFFB1E31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13748</Words>
  <Characters>78367</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Huisman, Rik</dc:creator>
  <cp:keywords/>
  <dc:description/>
  <cp:lastModifiedBy>Sidra Amiri</cp:lastModifiedBy>
  <cp:revision>2</cp:revision>
  <dcterms:created xsi:type="dcterms:W3CDTF">2020-03-24T16:55:00Z</dcterms:created>
  <dcterms:modified xsi:type="dcterms:W3CDTF">2020-03-24T16:55:00Z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http://www.zotero.org/styles/frontiers-in-plant-science</vt:lpwstr>
  </property>
  <property fmtid="{D5CDD505-2E9C-101B-9397-08002B2CF9AE}" pid="13" name="Mendeley Recent Style Name 5_1">
    <vt:lpwstr>Frontiers in Plant Science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http://www.zotero.org/styles/molecular-plant</vt:lpwstr>
  </property>
  <property fmtid="{D5CDD505-2E9C-101B-9397-08002B2CF9AE}" pid="19" name="Mendeley Recent Style Name 8_1">
    <vt:lpwstr>Molecular Plant</vt:lpwstr>
  </property>
  <property fmtid="{D5CDD505-2E9C-101B-9397-08002B2CF9AE}" pid="20" name="Mendeley Recent Style Id 9_1">
    <vt:lpwstr>http://www.zotero.org/styles/new-phytologist</vt:lpwstr>
  </property>
  <property fmtid="{D5CDD505-2E9C-101B-9397-08002B2CF9AE}" pid="21" name="Mendeley Recent Style Name 9_1">
    <vt:lpwstr>New Phytologist</vt:lpwstr>
  </property>
  <property fmtid="{D5CDD505-2E9C-101B-9397-08002B2CF9AE}" pid="22" name="Mendeley Document_1">
    <vt:lpwstr>True</vt:lpwstr>
  </property>
  <property fmtid="{D5CDD505-2E9C-101B-9397-08002B2CF9AE}" pid="23" name="Mendeley Unique User Id_1">
    <vt:lpwstr>b91eec02-3a6e-33ef-836e-22fe94e811af</vt:lpwstr>
  </property>
  <property fmtid="{D5CDD505-2E9C-101B-9397-08002B2CF9AE}" pid="24" name="Mendeley Citation Style_1">
    <vt:lpwstr>http://www.zotero.org/styles/frontiers-in-plant-science</vt:lpwstr>
  </property>
</Properties>
</file>