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66370FED" w:rsidR="00EA3D3C" w:rsidRPr="00994A3D" w:rsidRDefault="00654E8F" w:rsidP="0001436A">
      <w:pPr>
        <w:pStyle w:val="Heading1"/>
      </w:pPr>
      <w:r w:rsidRPr="00994A3D">
        <w:t xml:space="preserve">Supplementary </w:t>
      </w:r>
      <w:r w:rsidR="006875EA">
        <w:t>Table</w:t>
      </w:r>
    </w:p>
    <w:p w14:paraId="2DEBFF3E" w14:textId="7DDD9010" w:rsidR="006875EA" w:rsidRPr="00AB22F3" w:rsidRDefault="006875EA" w:rsidP="006875EA">
      <w:pPr>
        <w:spacing w:after="0" w:line="360" w:lineRule="auto"/>
        <w:rPr>
          <w:rFonts w:cs="Times New Roman"/>
        </w:rPr>
      </w:pPr>
      <w:r w:rsidRPr="006875EA">
        <w:rPr>
          <w:rFonts w:cs="Times New Roman"/>
          <w:b/>
        </w:rPr>
        <w:t xml:space="preserve">Supplementary </w:t>
      </w:r>
      <w:r w:rsidRPr="00AB22F3">
        <w:rPr>
          <w:rFonts w:cs="Times New Roman"/>
          <w:b/>
        </w:rPr>
        <w:t>Table 1</w:t>
      </w:r>
      <w:r w:rsidRPr="00AB22F3">
        <w:rPr>
          <w:rFonts w:cs="Times New Roman"/>
        </w:rPr>
        <w:t xml:space="preserve">. Determination of crystallinity of hp-SSIIa-op by </w:t>
      </w:r>
      <w:r w:rsidRPr="00AB22F3">
        <w:rPr>
          <w:rFonts w:cs="Times New Roman"/>
          <w:vertAlign w:val="superscript"/>
        </w:rPr>
        <w:t>13</w:t>
      </w:r>
      <w:r w:rsidRPr="00AB22F3">
        <w:rPr>
          <w:rFonts w:cs="Times New Roman"/>
        </w:rPr>
        <w:t>C CP/MAS NMR</w:t>
      </w:r>
    </w:p>
    <w:tbl>
      <w:tblPr>
        <w:tblStyle w:val="TableGrid"/>
        <w:tblW w:w="865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2"/>
        <w:gridCol w:w="1483"/>
        <w:gridCol w:w="1573"/>
        <w:gridCol w:w="1400"/>
        <w:gridCol w:w="1550"/>
        <w:gridCol w:w="1251"/>
      </w:tblGrid>
      <w:tr w:rsidR="006875EA" w:rsidRPr="00AB22F3" w14:paraId="4A278AF1" w14:textId="77777777" w:rsidTr="00832CFE">
        <w:trPr>
          <w:trHeight w:val="645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51ABC8EF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Sample Code</w:t>
            </w:r>
          </w:p>
        </w:tc>
        <w:tc>
          <w:tcPr>
            <w:tcW w:w="1426" w:type="dxa"/>
            <w:shd w:val="clear" w:color="auto" w:fill="auto"/>
            <w:tcMar>
              <w:left w:w="103" w:type="dxa"/>
            </w:tcMar>
          </w:tcPr>
          <w:p w14:paraId="464869BE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Classification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14:paraId="630D6D98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% Double  Helix</w:t>
            </w:r>
          </w:p>
          <w:p w14:paraId="15325CAD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(±1)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14:paraId="481A275F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% Single helix</w:t>
            </w:r>
          </w:p>
          <w:p w14:paraId="2E654F24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(±0.5)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14:paraId="7F99D391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% Non-ordered</w:t>
            </w:r>
          </w:p>
          <w:p w14:paraId="4B566A6B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(±2)</w:t>
            </w:r>
          </w:p>
        </w:tc>
        <w:tc>
          <w:tcPr>
            <w:tcW w:w="1159" w:type="dxa"/>
            <w:shd w:val="clear" w:color="auto" w:fill="auto"/>
            <w:tcMar>
              <w:left w:w="103" w:type="dxa"/>
            </w:tcMar>
          </w:tcPr>
          <w:p w14:paraId="4D3D77BE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b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b/>
                <w:color w:val="222222"/>
                <w:sz w:val="22"/>
              </w:rPr>
              <w:t>Crystalline polymorph</w:t>
            </w:r>
          </w:p>
        </w:tc>
      </w:tr>
      <w:tr w:rsidR="006875EA" w:rsidRPr="00AB22F3" w14:paraId="08158B68" w14:textId="77777777" w:rsidTr="00832CFE">
        <w:trPr>
          <w:trHeight w:val="330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6A0A0E00" w14:textId="77777777" w:rsidR="006875EA" w:rsidRPr="00AB22F3" w:rsidRDefault="006875EA" w:rsidP="00832CFE">
            <w:pPr>
              <w:spacing w:line="360" w:lineRule="auto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SS5</w:t>
            </w:r>
          </w:p>
        </w:tc>
        <w:tc>
          <w:tcPr>
            <w:tcW w:w="1426" w:type="dxa"/>
            <w:shd w:val="clear" w:color="auto" w:fill="auto"/>
            <w:tcMar>
              <w:left w:w="103" w:type="dxa"/>
            </w:tcMar>
          </w:tcPr>
          <w:p w14:paraId="1EC7F6A9" w14:textId="77777777" w:rsidR="006875EA" w:rsidRPr="00AB22F3" w:rsidRDefault="006875EA" w:rsidP="00832CFE">
            <w:pPr>
              <w:spacing w:line="360" w:lineRule="auto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hp-SSIIa-op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14:paraId="784E7101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37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14:paraId="74523BBB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2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14:paraId="11CA6541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61</w:t>
            </w:r>
          </w:p>
        </w:tc>
        <w:tc>
          <w:tcPr>
            <w:tcW w:w="1159" w:type="dxa"/>
            <w:shd w:val="clear" w:color="auto" w:fill="auto"/>
            <w:tcMar>
              <w:left w:w="103" w:type="dxa"/>
            </w:tcMar>
          </w:tcPr>
          <w:p w14:paraId="1C9B2CE2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A</w:t>
            </w:r>
          </w:p>
        </w:tc>
      </w:tr>
      <w:tr w:rsidR="006875EA" w:rsidRPr="00AB22F3" w14:paraId="279EF6C8" w14:textId="77777777" w:rsidTr="00832CFE">
        <w:trPr>
          <w:trHeight w:val="330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3D91DC30" w14:textId="77777777" w:rsidR="006875EA" w:rsidRPr="00AB22F3" w:rsidRDefault="006875EA" w:rsidP="00832CFE">
            <w:pPr>
              <w:spacing w:line="360" w:lineRule="auto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SS3</w:t>
            </w:r>
          </w:p>
        </w:tc>
        <w:tc>
          <w:tcPr>
            <w:tcW w:w="1426" w:type="dxa"/>
            <w:shd w:val="clear" w:color="auto" w:fill="auto"/>
            <w:tcMar>
              <w:left w:w="103" w:type="dxa"/>
            </w:tcMar>
          </w:tcPr>
          <w:p w14:paraId="1FB8FB40" w14:textId="77777777" w:rsidR="006875EA" w:rsidRPr="00AB22F3" w:rsidRDefault="006875EA" w:rsidP="00832CFE">
            <w:pPr>
              <w:spacing w:line="360" w:lineRule="auto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 hp-SSIIa-op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14:paraId="168B899D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33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14:paraId="022B0AD4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2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14:paraId="484B22BC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65</w:t>
            </w:r>
          </w:p>
        </w:tc>
        <w:tc>
          <w:tcPr>
            <w:tcW w:w="1159" w:type="dxa"/>
            <w:shd w:val="clear" w:color="auto" w:fill="auto"/>
            <w:tcMar>
              <w:left w:w="103" w:type="dxa"/>
            </w:tcMar>
          </w:tcPr>
          <w:p w14:paraId="0580573A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A</w:t>
            </w:r>
          </w:p>
        </w:tc>
      </w:tr>
      <w:tr w:rsidR="006875EA" w:rsidRPr="00AB22F3" w14:paraId="121FC843" w14:textId="77777777" w:rsidTr="00832CFE">
        <w:trPr>
          <w:trHeight w:val="330"/>
        </w:trPr>
        <w:tc>
          <w:tcPr>
            <w:tcW w:w="1413" w:type="dxa"/>
            <w:shd w:val="clear" w:color="auto" w:fill="auto"/>
            <w:tcMar>
              <w:left w:w="103" w:type="dxa"/>
            </w:tcMar>
          </w:tcPr>
          <w:p w14:paraId="186E1EAA" w14:textId="77777777" w:rsidR="006875EA" w:rsidRPr="00AB22F3" w:rsidRDefault="006875EA" w:rsidP="00832CFE">
            <w:pPr>
              <w:spacing w:line="360" w:lineRule="auto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Nipponbare</w:t>
            </w:r>
          </w:p>
        </w:tc>
        <w:tc>
          <w:tcPr>
            <w:tcW w:w="1426" w:type="dxa"/>
            <w:shd w:val="clear" w:color="auto" w:fill="auto"/>
            <w:tcMar>
              <w:left w:w="103" w:type="dxa"/>
            </w:tcMar>
          </w:tcPr>
          <w:p w14:paraId="539B2896" w14:textId="77777777" w:rsidR="006875EA" w:rsidRPr="00AB22F3" w:rsidRDefault="006875EA" w:rsidP="00832CFE">
            <w:pPr>
              <w:spacing w:line="360" w:lineRule="auto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wild type</w:t>
            </w:r>
          </w:p>
        </w:tc>
        <w:tc>
          <w:tcPr>
            <w:tcW w:w="1623" w:type="dxa"/>
            <w:shd w:val="clear" w:color="auto" w:fill="auto"/>
            <w:tcMar>
              <w:left w:w="103" w:type="dxa"/>
            </w:tcMar>
          </w:tcPr>
          <w:p w14:paraId="0270F19D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34</w:t>
            </w:r>
          </w:p>
        </w:tc>
        <w:tc>
          <w:tcPr>
            <w:tcW w:w="1444" w:type="dxa"/>
            <w:shd w:val="clear" w:color="auto" w:fill="auto"/>
            <w:tcMar>
              <w:left w:w="103" w:type="dxa"/>
            </w:tcMar>
          </w:tcPr>
          <w:p w14:paraId="41F1D5D3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4</w:t>
            </w:r>
          </w:p>
        </w:tc>
        <w:tc>
          <w:tcPr>
            <w:tcW w:w="1593" w:type="dxa"/>
            <w:shd w:val="clear" w:color="auto" w:fill="auto"/>
            <w:tcMar>
              <w:left w:w="103" w:type="dxa"/>
            </w:tcMar>
          </w:tcPr>
          <w:p w14:paraId="75A4C58F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62</w:t>
            </w:r>
          </w:p>
        </w:tc>
        <w:tc>
          <w:tcPr>
            <w:tcW w:w="1159" w:type="dxa"/>
            <w:shd w:val="clear" w:color="auto" w:fill="auto"/>
            <w:tcMar>
              <w:left w:w="103" w:type="dxa"/>
            </w:tcMar>
          </w:tcPr>
          <w:p w14:paraId="4D3C01D9" w14:textId="77777777" w:rsidR="006875EA" w:rsidRPr="00AB22F3" w:rsidRDefault="006875EA" w:rsidP="00832CFE">
            <w:pPr>
              <w:spacing w:line="360" w:lineRule="auto"/>
              <w:jc w:val="center"/>
              <w:rPr>
                <w:rFonts w:eastAsia="Times New Roman" w:cs="Times New Roman"/>
                <w:color w:val="222222"/>
                <w:sz w:val="22"/>
              </w:rPr>
            </w:pPr>
            <w:r w:rsidRPr="00AB22F3">
              <w:rPr>
                <w:rFonts w:eastAsia="Times New Roman" w:cs="Times New Roman"/>
                <w:color w:val="222222"/>
                <w:sz w:val="22"/>
              </w:rPr>
              <w:t>A</w:t>
            </w:r>
          </w:p>
        </w:tc>
      </w:tr>
    </w:tbl>
    <w:p w14:paraId="59E1A7D6" w14:textId="3B223FA5" w:rsidR="006875EA" w:rsidRDefault="006875EA" w:rsidP="006875EA">
      <w:pPr>
        <w:pStyle w:val="Heading1"/>
        <w:numPr>
          <w:ilvl w:val="0"/>
          <w:numId w:val="0"/>
        </w:numPr>
        <w:ind w:left="567"/>
      </w:pPr>
    </w:p>
    <w:p w14:paraId="2BF07BF4" w14:textId="77777777" w:rsidR="006875EA" w:rsidRDefault="006875EA" w:rsidP="006875EA">
      <w:pPr>
        <w:rPr>
          <w:rFonts w:eastAsia="Cambria" w:cs="Times New Roman"/>
          <w:szCs w:val="24"/>
        </w:rPr>
      </w:pPr>
      <w:r>
        <w:br w:type="page"/>
      </w:r>
    </w:p>
    <w:p w14:paraId="692C67F8" w14:textId="15269904" w:rsidR="006875EA" w:rsidRPr="006875EA" w:rsidRDefault="00654E8F" w:rsidP="006875EA">
      <w:pPr>
        <w:pStyle w:val="Heading1"/>
      </w:pPr>
      <w:r w:rsidRPr="00994A3D">
        <w:lastRenderedPageBreak/>
        <w:t>Supplementary Figures</w:t>
      </w:r>
    </w:p>
    <w:p w14:paraId="679D93B8" w14:textId="77777777" w:rsidR="006875EA" w:rsidRPr="00AB22F3" w:rsidRDefault="006875EA" w:rsidP="006875EA">
      <w:pPr>
        <w:spacing w:after="0" w:line="360" w:lineRule="auto"/>
        <w:jc w:val="both"/>
        <w:rPr>
          <w:rFonts w:eastAsia="Tw Cen MT" w:cs="Times New Roman"/>
        </w:rPr>
      </w:pPr>
      <w:r w:rsidRPr="00AB22F3">
        <w:rPr>
          <w:rFonts w:eastAsia="Tw Cen MT" w:cs="Times New Roman"/>
        </w:rPr>
        <w:object w:dxaOrig="8981" w:dyaOrig="6868" w14:anchorId="713E0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3" type="#_x0000_t75" style="width:296.35pt;height:225.25pt" o:ole="">
            <v:imagedata r:id="rId11" o:title=""/>
          </v:shape>
          <o:OLEObject Type="Embed" ProgID="SigmaPlotGraphicObject.9" ShapeID="_x0000_i1293" DrawAspect="Content" ObjectID="_1640769585" r:id="rId12"/>
        </w:object>
      </w:r>
    </w:p>
    <w:p w14:paraId="5BB531D7" w14:textId="6B2C7AB8" w:rsidR="006875EA" w:rsidRPr="00AB22F3" w:rsidRDefault="006875EA" w:rsidP="006875EA">
      <w:pPr>
        <w:spacing w:after="0"/>
        <w:jc w:val="both"/>
        <w:rPr>
          <w:rFonts w:cs="Times New Roman"/>
        </w:rPr>
      </w:pPr>
      <w:r w:rsidRPr="00AB22F3">
        <w:rPr>
          <w:rFonts w:cs="Times New Roman"/>
          <w:b/>
        </w:rPr>
        <w:t>Supplementa</w:t>
      </w:r>
      <w:r>
        <w:rPr>
          <w:rFonts w:cs="Times New Roman"/>
          <w:b/>
        </w:rPr>
        <w:t>ry</w:t>
      </w:r>
      <w:r w:rsidRPr="00AB22F3">
        <w:rPr>
          <w:rFonts w:cs="Times New Roman"/>
          <w:b/>
        </w:rPr>
        <w:t xml:space="preserve"> Figure 1</w:t>
      </w:r>
      <w:r w:rsidRPr="00AB22F3">
        <w:rPr>
          <w:rFonts w:cs="Times New Roman"/>
        </w:rPr>
        <w:t>. X-ray diffraction pattern of hp-SSIIa-op SS5 (hp-SSIIa) displaying A-type crystalline polymorph similar to Nipponbare. Data are offset for clarity.</w:t>
      </w:r>
    </w:p>
    <w:p w14:paraId="5145F1D3" w14:textId="77777777" w:rsidR="006875EA" w:rsidRPr="00AB22F3" w:rsidRDefault="006875EA" w:rsidP="006875EA">
      <w:pPr>
        <w:spacing w:after="0" w:line="360" w:lineRule="auto"/>
        <w:jc w:val="both"/>
        <w:rPr>
          <w:rFonts w:cs="Times New Roman"/>
        </w:rPr>
      </w:pPr>
    </w:p>
    <w:p w14:paraId="035B1B00" w14:textId="77777777" w:rsidR="006875EA" w:rsidRPr="00AB22F3" w:rsidRDefault="006875EA" w:rsidP="006875EA">
      <w:pPr>
        <w:spacing w:line="360" w:lineRule="auto"/>
        <w:rPr>
          <w:rFonts w:cs="Times New Roman"/>
        </w:rPr>
      </w:pPr>
    </w:p>
    <w:p w14:paraId="24A6B142" w14:textId="77777777" w:rsidR="006875EA" w:rsidRPr="00AB22F3" w:rsidRDefault="006875EA" w:rsidP="006875EA">
      <w:pPr>
        <w:spacing w:after="0" w:line="360" w:lineRule="auto"/>
        <w:jc w:val="both"/>
        <w:rPr>
          <w:rFonts w:cs="Times New Roman"/>
          <w:b/>
        </w:rPr>
      </w:pPr>
    </w:p>
    <w:p w14:paraId="29EAEF78" w14:textId="77777777" w:rsidR="006875EA" w:rsidRPr="00AB22F3" w:rsidRDefault="006875EA" w:rsidP="006875EA">
      <w:pPr>
        <w:spacing w:after="0" w:line="360" w:lineRule="auto"/>
        <w:jc w:val="both"/>
        <w:rPr>
          <w:rFonts w:cs="Times New Roman"/>
          <w:b/>
        </w:rPr>
      </w:pPr>
    </w:p>
    <w:p w14:paraId="34F194CD" w14:textId="77777777" w:rsidR="006875EA" w:rsidRPr="00AB22F3" w:rsidRDefault="006875EA" w:rsidP="006875EA">
      <w:pPr>
        <w:spacing w:after="0" w:line="360" w:lineRule="auto"/>
        <w:jc w:val="both"/>
        <w:rPr>
          <w:rFonts w:cs="Times New Roman"/>
        </w:rPr>
      </w:pPr>
    </w:p>
    <w:p w14:paraId="32E65DE1" w14:textId="77777777" w:rsidR="006875EA" w:rsidRPr="00AB22F3" w:rsidRDefault="006875EA" w:rsidP="006875EA">
      <w:pPr>
        <w:spacing w:after="0" w:line="360" w:lineRule="auto"/>
        <w:jc w:val="both"/>
        <w:rPr>
          <w:rFonts w:cs="Times New Roman"/>
          <w:b/>
        </w:rPr>
      </w:pPr>
      <w:r w:rsidRPr="00AB22F3">
        <w:rPr>
          <w:rFonts w:cs="Times New Roman"/>
          <w:noProof/>
          <w:lang w:val="en-AU" w:eastAsia="en-AU"/>
        </w:rPr>
        <w:lastRenderedPageBreak/>
        <w:drawing>
          <wp:inline distT="0" distB="0" distL="0" distR="0" wp14:anchorId="30A72B34" wp14:editId="18313665">
            <wp:extent cx="2809875" cy="2876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7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C5FAC" w14:textId="62EE23AA" w:rsidR="006875EA" w:rsidRPr="00AB22F3" w:rsidRDefault="006875EA" w:rsidP="006875EA">
      <w:pPr>
        <w:spacing w:after="0"/>
        <w:jc w:val="both"/>
        <w:rPr>
          <w:rFonts w:cs="Times New Roman"/>
        </w:rPr>
      </w:pPr>
      <w:r w:rsidRPr="00AB22F3">
        <w:rPr>
          <w:rFonts w:cs="Times New Roman"/>
          <w:b/>
        </w:rPr>
        <w:t>Supplementa</w:t>
      </w:r>
      <w:r>
        <w:rPr>
          <w:rFonts w:cs="Times New Roman"/>
          <w:b/>
        </w:rPr>
        <w:t>ry</w:t>
      </w:r>
      <w:r w:rsidRPr="00AB22F3">
        <w:rPr>
          <w:rFonts w:cs="Times New Roman"/>
          <w:b/>
        </w:rPr>
        <w:t xml:space="preserve"> Figure 2</w:t>
      </w:r>
      <w:r w:rsidRPr="00AB22F3">
        <w:rPr>
          <w:rFonts w:cs="Times New Roman"/>
        </w:rPr>
        <w:t>. Visualisation of granule-bound and soluble proteins in hp-SSIIa-op (SS5) (S) compared to its parent Nipponbare (N) and IR64 (I). Major protein bands are labelled based on BenchMark unstained protein ladder (M).</w:t>
      </w:r>
    </w:p>
    <w:p w14:paraId="51DF28A4" w14:textId="77777777" w:rsidR="006875EA" w:rsidRPr="00AB22F3" w:rsidRDefault="006875EA" w:rsidP="006875EA">
      <w:pPr>
        <w:spacing w:after="0" w:line="360" w:lineRule="auto"/>
        <w:jc w:val="both"/>
        <w:rPr>
          <w:rFonts w:cs="Times New Roman"/>
        </w:rPr>
      </w:pPr>
    </w:p>
    <w:p w14:paraId="79270FA4" w14:textId="77777777" w:rsidR="006875EA" w:rsidRPr="00AB22F3" w:rsidRDefault="006875EA" w:rsidP="006875EA">
      <w:pPr>
        <w:spacing w:line="360" w:lineRule="auto"/>
        <w:rPr>
          <w:rFonts w:cs="Times New Roman"/>
        </w:rPr>
      </w:pPr>
    </w:p>
    <w:p w14:paraId="2EB5029E" w14:textId="77777777" w:rsidR="006875EA" w:rsidRPr="00AB22F3" w:rsidRDefault="006875EA" w:rsidP="006875EA">
      <w:pPr>
        <w:spacing w:after="0" w:line="360" w:lineRule="auto"/>
        <w:jc w:val="both"/>
        <w:rPr>
          <w:rFonts w:cs="Times New Roman"/>
        </w:rPr>
      </w:pPr>
      <w:r w:rsidRPr="00AB22F3">
        <w:rPr>
          <w:rFonts w:cs="Times New Roman"/>
        </w:rPr>
        <w:object w:dxaOrig="4330" w:dyaOrig="3553" w14:anchorId="72FDB5C5">
          <v:shape id="_x0000_i1291" type="#_x0000_t75" style="width:217.15pt;height:177.45pt" o:ole="">
            <v:imagedata r:id="rId14" o:title=""/>
          </v:shape>
          <o:OLEObject Type="Embed" ProgID="Prism6.Document" ShapeID="_x0000_i1291" DrawAspect="Content" ObjectID="_1640769586" r:id="rId15"/>
        </w:object>
      </w:r>
      <w:r w:rsidRPr="00AB22F3">
        <w:rPr>
          <w:rFonts w:cs="Times New Roman"/>
        </w:rPr>
        <w:object w:dxaOrig="4460" w:dyaOrig="3509" w14:anchorId="0A3332B1">
          <v:shape id="_x0000_i1292" type="#_x0000_t75" style="width:223.2pt;height:175.25pt" o:ole="">
            <v:imagedata r:id="rId16" o:title=""/>
          </v:shape>
          <o:OLEObject Type="Embed" ProgID="Prism6.Document" ShapeID="_x0000_i1292" DrawAspect="Content" ObjectID="_1640769587" r:id="rId17"/>
        </w:object>
      </w:r>
    </w:p>
    <w:p w14:paraId="713245A8" w14:textId="23FD3F92" w:rsidR="006875EA" w:rsidRPr="00AB22F3" w:rsidRDefault="006875EA" w:rsidP="006875EA">
      <w:pPr>
        <w:spacing w:after="0"/>
        <w:jc w:val="both"/>
        <w:rPr>
          <w:rFonts w:cs="Times New Roman"/>
        </w:rPr>
      </w:pPr>
      <w:r w:rsidRPr="00AB22F3">
        <w:rPr>
          <w:rFonts w:cs="Times New Roman"/>
          <w:b/>
        </w:rPr>
        <w:t>Supplementa</w:t>
      </w:r>
      <w:r>
        <w:rPr>
          <w:rFonts w:cs="Times New Roman"/>
          <w:b/>
        </w:rPr>
        <w:t>ry</w:t>
      </w:r>
      <w:bookmarkStart w:id="0" w:name="_GoBack"/>
      <w:bookmarkEnd w:id="0"/>
      <w:r w:rsidRPr="00AB22F3">
        <w:rPr>
          <w:rFonts w:cs="Times New Roman"/>
          <w:b/>
        </w:rPr>
        <w:t xml:space="preserve"> Figure 3</w:t>
      </w:r>
      <w:r w:rsidRPr="00AB22F3">
        <w:rPr>
          <w:rFonts w:cs="Times New Roman"/>
        </w:rPr>
        <w:t>. Expression of (A) SSI and (B) SSIIa at 15 dpa of Nipponbare compared to hp-SSIIa opaque (SS5) transgenic line.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8"/>
      <w:footerReference w:type="even" r:id="rId19"/>
      <w:footerReference w:type="default" r:id="rId20"/>
      <w:headerReference w:type="first" r:id="rId2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C1486E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875E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C1486E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875E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09B978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875E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09B978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875E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AU" w:eastAsia="en-A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tDAwMbQ0sbA0MDVT0lEKTi0uzszPAykwrAUAYfmn7i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875EA"/>
    <w:rsid w:val="006B7D14"/>
    <w:rsid w:val="006F3DB2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1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78AE1020DF4FABA3F0E4F048665A" ma:contentTypeVersion="13" ma:contentTypeDescription="Create a new document." ma:contentTypeScope="" ma:versionID="183b2e5ef741759f5eb4ccd9d5c10cce">
  <xsd:schema xmlns:xsd="http://www.w3.org/2001/XMLSchema" xmlns:xs="http://www.w3.org/2001/XMLSchema" xmlns:p="http://schemas.microsoft.com/office/2006/metadata/properties" xmlns:ns3="8d29f322-8b0b-45b4-ab25-6f1e8a4268c1" xmlns:ns4="c0c65a90-a4a8-4541-81ff-48889f808e57" targetNamespace="http://schemas.microsoft.com/office/2006/metadata/properties" ma:root="true" ma:fieldsID="f3795dc2f3c0317acd8d127d071c0b76" ns3:_="" ns4:_="">
    <xsd:import namespace="8d29f322-8b0b-45b4-ab25-6f1e8a4268c1"/>
    <xsd:import namespace="c0c65a90-a4a8-4541-81ff-48889f808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9f322-8b0b-45b4-ab25-6f1e8a426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65a90-a4a8-4541-81ff-48889f808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ED3510-1B60-4D27-9BB9-6CC28F03D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9f322-8b0b-45b4-ab25-6f1e8a4268c1"/>
    <ds:schemaRef ds:uri="c0c65a90-a4a8-4541-81ff-48889f80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427B0-4043-41D2-A583-20181CA6CB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3B964-FE68-493E-AD40-BBE79363898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d29f322-8b0b-45b4-ab25-6f1e8a4268c1"/>
    <ds:schemaRef ds:uri="http://schemas.microsoft.com/office/infopath/2007/PartnerControls"/>
    <ds:schemaRef ds:uri="http://www.w3.org/XML/1998/namespace"/>
    <ds:schemaRef ds:uri="http://purl.org/dc/elements/1.1/"/>
    <ds:schemaRef ds:uri="c0c65a90-a4a8-4541-81ff-48889f808e5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AC73FE-3066-41F0-99F6-D5C6C0F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3</Pages>
  <Words>148</Words>
  <Characters>850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Vito Butardo</cp:lastModifiedBy>
  <cp:revision>3</cp:revision>
  <cp:lastPrinted>2013-10-03T12:51:00Z</cp:lastPrinted>
  <dcterms:created xsi:type="dcterms:W3CDTF">2020-01-17T01:29:00Z</dcterms:created>
  <dcterms:modified xsi:type="dcterms:W3CDTF">2020-01-17T01:33:00Z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0x010100944078AE1020DF4FABA3F0E4F048665A</vt:lpwstr>
  </property>
</Properties>
</file>