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1F6" w:rsidRDefault="005131F6" w:rsidP="00384071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Supplemental </w:t>
      </w:r>
      <w:r w:rsidR="00C15AE2">
        <w:rPr>
          <w:b/>
          <w:lang w:val="en-US"/>
        </w:rPr>
        <w:t>information</w:t>
      </w:r>
    </w:p>
    <w:p w:rsidR="0094600D" w:rsidRPr="0057087E" w:rsidRDefault="0094600D" w:rsidP="0084350F">
      <w:pPr>
        <w:jc w:val="both"/>
        <w:rPr>
          <w:b/>
          <w:lang w:val="en-US"/>
        </w:rPr>
      </w:pPr>
      <w:r w:rsidRPr="0057087E">
        <w:rPr>
          <w:b/>
          <w:lang w:val="en-US"/>
        </w:rPr>
        <w:t xml:space="preserve">Material and </w:t>
      </w:r>
      <w:r w:rsidR="00247A4A" w:rsidRPr="0057087E">
        <w:rPr>
          <w:b/>
          <w:lang w:val="en-US"/>
        </w:rPr>
        <w:t>M</w:t>
      </w:r>
      <w:r w:rsidRPr="0057087E">
        <w:rPr>
          <w:b/>
          <w:lang w:val="en-US"/>
        </w:rPr>
        <w:t>ethods</w:t>
      </w:r>
    </w:p>
    <w:p w:rsidR="0094600D" w:rsidRPr="0057087E" w:rsidRDefault="0094600D" w:rsidP="0084350F">
      <w:pPr>
        <w:jc w:val="both"/>
        <w:rPr>
          <w:lang w:val="en-US"/>
        </w:rPr>
      </w:pPr>
    </w:p>
    <w:p w:rsidR="00C15AE2" w:rsidRPr="0057087E" w:rsidRDefault="00C15AE2" w:rsidP="0084350F">
      <w:pPr>
        <w:jc w:val="both"/>
        <w:rPr>
          <w:b/>
          <w:lang w:val="en-US"/>
        </w:rPr>
      </w:pPr>
      <w:r w:rsidRPr="0057087E">
        <w:rPr>
          <w:b/>
          <w:lang w:val="en-US"/>
        </w:rPr>
        <w:t xml:space="preserve">Generation of </w:t>
      </w:r>
      <w:r w:rsidR="00247A4A" w:rsidRPr="0057087E">
        <w:rPr>
          <w:b/>
          <w:lang w:val="en-US"/>
        </w:rPr>
        <w:t xml:space="preserve">the </w:t>
      </w:r>
      <w:r w:rsidRPr="0057087E">
        <w:rPr>
          <w:b/>
          <w:lang w:val="en-US"/>
        </w:rPr>
        <w:t>FVIII-specific mouse T-cell hybridoma 1G8-A2</w:t>
      </w:r>
    </w:p>
    <w:p w:rsidR="00C15AE2" w:rsidRPr="0057087E" w:rsidRDefault="00C15AE2" w:rsidP="0084350F">
      <w:pPr>
        <w:jc w:val="both"/>
        <w:rPr>
          <w:lang w:val="en-US"/>
        </w:rPr>
      </w:pPr>
      <w:r w:rsidRPr="0057087E">
        <w:rPr>
          <w:rFonts w:cstheme="minorHAnsi"/>
          <w:lang w:val="en-US"/>
        </w:rPr>
        <w:t>The 1G8-A2 hybridoma was generated by immunizing Sure-L1 mice (HLA-A2.1-/HLA-DR1-transgenic H-2 class I-/class II-knockout mice), with 140µg of BDD-FVIII (</w:t>
      </w:r>
      <w:proofErr w:type="spellStart"/>
      <w:r w:rsidRPr="0057087E">
        <w:rPr>
          <w:rFonts w:cstheme="minorHAnsi"/>
          <w:lang w:val="en-US"/>
        </w:rPr>
        <w:t>Refacto</w:t>
      </w:r>
      <w:proofErr w:type="spellEnd"/>
      <w:r w:rsidRPr="0057087E">
        <w:rPr>
          <w:rFonts w:cstheme="minorHAnsi"/>
          <w:lang w:val="en-US"/>
        </w:rPr>
        <w:t>, Pfizer) in complete Freund’s adjuvant, and fifteen days later with 100µg of recombinant C2 in incomplete Freund’s adjuvant. Four days later, cells of lymph nodes were collected and stimulated 72 </w:t>
      </w:r>
      <w:proofErr w:type="spellStart"/>
      <w:r w:rsidRPr="0057087E">
        <w:rPr>
          <w:rFonts w:cstheme="minorHAnsi"/>
          <w:lang w:val="en-US"/>
        </w:rPr>
        <w:t>hr</w:t>
      </w:r>
      <w:proofErr w:type="spellEnd"/>
      <w:r w:rsidRPr="0057087E">
        <w:rPr>
          <w:rFonts w:cstheme="minorHAnsi"/>
          <w:lang w:val="en-US"/>
        </w:rPr>
        <w:t xml:space="preserve"> with BDD-FVIII. Purified T cells were then fused with BWZ36 (TCR</w:t>
      </w:r>
      <w:r w:rsidRPr="0057087E">
        <w:rPr>
          <w:rFonts w:cstheme="minorHAnsi"/>
          <w:vertAlign w:val="superscript"/>
          <w:lang w:val="en-US"/>
        </w:rPr>
        <w:t>-/-</w:t>
      </w:r>
      <w:r w:rsidRPr="0057087E">
        <w:rPr>
          <w:rFonts w:cstheme="minorHAnsi"/>
          <w:lang w:val="en-US"/>
        </w:rPr>
        <w:t>) fusion partner cells using polyethylene glycol. Screening of FVIII-specific T-cell hybridomas was performed using BDD-FVIII and splenocytes from SureL1 mice (as a source of APCs), upon quantification of the secreted Il-2 by ELISA. The clone 1G8-A2 was obtained after 3 sub-</w:t>
      </w:r>
      <w:proofErr w:type="spellStart"/>
      <w:r w:rsidRPr="0057087E">
        <w:rPr>
          <w:rFonts w:cstheme="minorHAnsi"/>
          <w:lang w:val="en-US"/>
        </w:rPr>
        <w:t>clonings</w:t>
      </w:r>
      <w:proofErr w:type="spellEnd"/>
      <w:r w:rsidRPr="0057087E">
        <w:rPr>
          <w:rFonts w:cstheme="minorHAnsi"/>
          <w:lang w:val="en-US"/>
        </w:rPr>
        <w:t xml:space="preserve"> by limiting dilutions.</w:t>
      </w:r>
    </w:p>
    <w:p w:rsidR="00C15AE2" w:rsidRDefault="00C15AE2" w:rsidP="00384071">
      <w:pPr>
        <w:spacing w:line="480" w:lineRule="auto"/>
        <w:jc w:val="both"/>
        <w:rPr>
          <w:lang w:val="en-US"/>
        </w:rPr>
      </w:pPr>
    </w:p>
    <w:p w:rsidR="0094600D" w:rsidRDefault="0094600D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94600D" w:rsidRPr="0094600D" w:rsidRDefault="0094600D" w:rsidP="00384071">
      <w:pPr>
        <w:spacing w:line="480" w:lineRule="auto"/>
        <w:jc w:val="both"/>
        <w:rPr>
          <w:b/>
          <w:lang w:val="en-US"/>
        </w:rPr>
      </w:pPr>
      <w:r w:rsidRPr="0084350F">
        <w:rPr>
          <w:b/>
          <w:lang w:val="en-US"/>
        </w:rPr>
        <w:t>Figures</w:t>
      </w:r>
    </w:p>
    <w:p w:rsidR="00C92BB0" w:rsidRDefault="00C92BB0" w:rsidP="00384071">
      <w:pPr>
        <w:spacing w:line="480" w:lineRule="auto"/>
        <w:jc w:val="both"/>
        <w:rPr>
          <w:b/>
          <w:lang w:val="en-US"/>
        </w:rPr>
      </w:pPr>
      <w:r w:rsidRPr="0084350F">
        <w:rPr>
          <w:b/>
          <w:noProof/>
        </w:rPr>
        <w:drawing>
          <wp:inline distT="0" distB="0" distL="0" distR="0" wp14:anchorId="2C62E587" wp14:editId="24E3E2A3">
            <wp:extent cx="4553643" cy="3200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582" cy="32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B0" w:rsidRPr="0057087E" w:rsidRDefault="00C87FB2" w:rsidP="00C15AE2">
      <w:pPr>
        <w:jc w:val="both"/>
        <w:rPr>
          <w:b/>
          <w:lang w:val="en-US"/>
        </w:rPr>
      </w:pPr>
      <w:r w:rsidRPr="0057087E">
        <w:rPr>
          <w:b/>
          <w:bCs/>
          <w:kern w:val="24"/>
          <w:lang w:val="en-US"/>
        </w:rPr>
        <w:t xml:space="preserve">Supplemental Figure 1: </w:t>
      </w:r>
      <w:r w:rsidRPr="0057087E">
        <w:rPr>
          <w:lang w:val="en-US"/>
        </w:rPr>
        <w:t>SDS-PAGE of FVIII</w:t>
      </w:r>
      <w:r w:rsidRPr="0057087E">
        <w:rPr>
          <w:vertAlign w:val="superscript"/>
          <w:lang w:val="en-US"/>
        </w:rPr>
        <w:t>HSQ</w:t>
      </w:r>
      <w:r w:rsidRPr="0057087E">
        <w:rPr>
          <w:lang w:val="en-US"/>
        </w:rPr>
        <w:t xml:space="preserve"> and FVIII</w:t>
      </w:r>
      <w:r w:rsidRPr="0057087E">
        <w:rPr>
          <w:vertAlign w:val="superscript"/>
          <w:lang w:val="en-US"/>
        </w:rPr>
        <w:t>2118Q</w:t>
      </w:r>
      <w:r w:rsidRPr="0057087E">
        <w:rPr>
          <w:lang w:val="en-US"/>
        </w:rPr>
        <w:t xml:space="preserve"> with and without exposure to thrombin (</w:t>
      </w:r>
      <w:proofErr w:type="spellStart"/>
      <w:r w:rsidRPr="0057087E">
        <w:rPr>
          <w:lang w:val="en-US"/>
        </w:rPr>
        <w:t>FIIa</w:t>
      </w:r>
      <w:proofErr w:type="spellEnd"/>
      <w:r w:rsidRPr="0057087E">
        <w:rPr>
          <w:lang w:val="en-US"/>
        </w:rPr>
        <w:t>) and peptide N-glycosidase f (</w:t>
      </w:r>
      <w:proofErr w:type="spellStart"/>
      <w:r w:rsidRPr="0057087E">
        <w:rPr>
          <w:lang w:val="en-US"/>
        </w:rPr>
        <w:t>PNGase</w:t>
      </w:r>
      <w:proofErr w:type="spellEnd"/>
      <w:r w:rsidRPr="0057087E">
        <w:rPr>
          <w:lang w:val="en-US"/>
        </w:rPr>
        <w:t>-F). FVIII</w:t>
      </w:r>
      <w:r w:rsidRPr="0057087E">
        <w:rPr>
          <w:vertAlign w:val="superscript"/>
          <w:lang w:val="en-US"/>
        </w:rPr>
        <w:t>HSQ</w:t>
      </w:r>
      <w:r w:rsidRPr="0057087E">
        <w:rPr>
          <w:lang w:val="en-US"/>
        </w:rPr>
        <w:t xml:space="preserve"> and FVIII</w:t>
      </w:r>
      <w:r w:rsidRPr="0057087E">
        <w:rPr>
          <w:vertAlign w:val="superscript"/>
          <w:lang w:val="en-US"/>
        </w:rPr>
        <w:t>2118Q</w:t>
      </w:r>
      <w:r w:rsidRPr="0057087E">
        <w:rPr>
          <w:lang w:val="en-US"/>
        </w:rPr>
        <w:t xml:space="preserve"> were exposed or not to </w:t>
      </w:r>
      <w:proofErr w:type="spellStart"/>
      <w:r w:rsidRPr="0057087E">
        <w:rPr>
          <w:lang w:val="en-US"/>
        </w:rPr>
        <w:t>FIIa</w:t>
      </w:r>
      <w:proofErr w:type="spellEnd"/>
      <w:r w:rsidRPr="0057087E">
        <w:rPr>
          <w:lang w:val="en-US"/>
        </w:rPr>
        <w:t xml:space="preserve"> followed by denaturation and </w:t>
      </w:r>
      <w:r w:rsidR="009C71DD" w:rsidRPr="0057087E">
        <w:rPr>
          <w:lang w:val="en-US"/>
        </w:rPr>
        <w:t>incubation alone or</w:t>
      </w:r>
      <w:r w:rsidRPr="0057087E">
        <w:rPr>
          <w:lang w:val="en-US"/>
        </w:rPr>
        <w:t xml:space="preserve"> </w:t>
      </w:r>
      <w:r w:rsidR="009C71DD" w:rsidRPr="0057087E">
        <w:rPr>
          <w:lang w:val="en-US"/>
        </w:rPr>
        <w:t xml:space="preserve">with </w:t>
      </w:r>
      <w:proofErr w:type="spellStart"/>
      <w:r w:rsidRPr="0057087E">
        <w:rPr>
          <w:lang w:val="en-US"/>
        </w:rPr>
        <w:t>PNGase</w:t>
      </w:r>
      <w:proofErr w:type="spellEnd"/>
      <w:r w:rsidRPr="0057087E">
        <w:rPr>
          <w:lang w:val="en-US"/>
        </w:rPr>
        <w:t xml:space="preserve">-F. A silver staining of the gel was performed to detect proteins. SC, single chain FVIII; HC, FVIII heavy chain (A1-A2 domains); LC, FVIII light chain; </w:t>
      </w:r>
      <w:proofErr w:type="spellStart"/>
      <w:r w:rsidRPr="0057087E">
        <w:rPr>
          <w:lang w:val="en-US"/>
        </w:rPr>
        <w:t>LC</w:t>
      </w:r>
      <w:r w:rsidRPr="0057087E">
        <w:rPr>
          <w:vertAlign w:val="subscript"/>
          <w:lang w:val="en-US"/>
        </w:rPr>
        <w:t>IIa</w:t>
      </w:r>
      <w:proofErr w:type="spellEnd"/>
      <w:r w:rsidRPr="0057087E">
        <w:rPr>
          <w:lang w:val="en-US"/>
        </w:rPr>
        <w:t xml:space="preserve">, thrombin-cleaved light chain; A1, A1 domain; A2, A2 domain. The dark band </w:t>
      </w:r>
      <w:r w:rsidR="00B25978" w:rsidRPr="0057087E">
        <w:rPr>
          <w:lang w:val="en-US"/>
        </w:rPr>
        <w:t>below</w:t>
      </w:r>
      <w:r w:rsidRPr="0057087E">
        <w:rPr>
          <w:lang w:val="en-US"/>
        </w:rPr>
        <w:t xml:space="preserve"> A2 correspond</w:t>
      </w:r>
      <w:r w:rsidR="00247A4A" w:rsidRPr="0057087E">
        <w:rPr>
          <w:lang w:val="en-US"/>
        </w:rPr>
        <w:t>s</w:t>
      </w:r>
      <w:r w:rsidRPr="0057087E">
        <w:rPr>
          <w:lang w:val="en-US"/>
        </w:rPr>
        <w:t xml:space="preserve"> to </w:t>
      </w:r>
      <w:proofErr w:type="spellStart"/>
      <w:r w:rsidRPr="0057087E">
        <w:rPr>
          <w:lang w:val="en-US"/>
        </w:rPr>
        <w:t>FIIa</w:t>
      </w:r>
      <w:proofErr w:type="spellEnd"/>
      <w:r w:rsidRPr="0057087E">
        <w:rPr>
          <w:lang w:val="en-US"/>
        </w:rPr>
        <w:t xml:space="preserve"> and </w:t>
      </w:r>
      <w:proofErr w:type="spellStart"/>
      <w:r w:rsidRPr="0057087E">
        <w:rPr>
          <w:lang w:val="en-US"/>
        </w:rPr>
        <w:t>PNGase</w:t>
      </w:r>
      <w:proofErr w:type="spellEnd"/>
      <w:r w:rsidRPr="0057087E">
        <w:rPr>
          <w:lang w:val="en-US"/>
        </w:rPr>
        <w:t>.</w:t>
      </w:r>
    </w:p>
    <w:p w:rsidR="00C92BB0" w:rsidRPr="0057087E" w:rsidRDefault="00C92BB0" w:rsidP="00384071">
      <w:pPr>
        <w:spacing w:line="480" w:lineRule="auto"/>
        <w:jc w:val="both"/>
        <w:rPr>
          <w:b/>
          <w:lang w:val="en-US"/>
        </w:rPr>
      </w:pPr>
    </w:p>
    <w:p w:rsidR="00C92BB0" w:rsidRDefault="00C92BB0">
      <w:pPr>
        <w:spacing w:after="200" w:line="276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C92BB0" w:rsidRDefault="00C92BB0" w:rsidP="00384071">
      <w:pPr>
        <w:spacing w:line="480" w:lineRule="auto"/>
        <w:jc w:val="both"/>
        <w:rPr>
          <w:b/>
          <w:lang w:val="en-US"/>
        </w:rPr>
      </w:pPr>
    </w:p>
    <w:p w:rsidR="00D26459" w:rsidRDefault="00D26459" w:rsidP="00D26459">
      <w:pPr>
        <w:pStyle w:val="NormalWeb"/>
        <w:spacing w:before="0" w:beforeAutospacing="0" w:after="0" w:afterAutospacing="0"/>
        <w:jc w:val="both"/>
        <w:rPr>
          <w:b/>
          <w:bCs/>
          <w:color w:val="000000"/>
          <w:kern w:val="24"/>
          <w:lang w:val="en-US"/>
        </w:rPr>
      </w:pPr>
      <w:r>
        <w:rPr>
          <w:noProof/>
          <w:kern w:val="24"/>
        </w:rPr>
        <w:drawing>
          <wp:inline distT="0" distB="0" distL="0" distR="0" wp14:anchorId="13276BB6" wp14:editId="6A5BF19E">
            <wp:extent cx="5760720" cy="33756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59" w:rsidRDefault="00D26459" w:rsidP="00D26459">
      <w:pPr>
        <w:pStyle w:val="NormalWeb"/>
        <w:spacing w:before="0" w:beforeAutospacing="0" w:after="0" w:afterAutospacing="0"/>
        <w:jc w:val="both"/>
        <w:rPr>
          <w:b/>
          <w:bCs/>
          <w:color w:val="000000"/>
          <w:kern w:val="24"/>
          <w:lang w:val="en-US"/>
        </w:rPr>
      </w:pPr>
    </w:p>
    <w:p w:rsidR="00D26459" w:rsidRDefault="00D26459" w:rsidP="00D26459">
      <w:pPr>
        <w:pStyle w:val="NormalWeb"/>
        <w:spacing w:before="0" w:beforeAutospacing="0" w:after="0" w:afterAutospacing="0"/>
        <w:jc w:val="both"/>
        <w:rPr>
          <w:lang w:val="en-US"/>
        </w:rPr>
      </w:pPr>
      <w:proofErr w:type="gramStart"/>
      <w:r w:rsidRPr="0057087E">
        <w:rPr>
          <w:b/>
          <w:bCs/>
          <w:kern w:val="24"/>
          <w:lang w:val="en-US"/>
        </w:rPr>
        <w:t xml:space="preserve">Supplemental Figure </w:t>
      </w:r>
      <w:r w:rsidR="00B02E27" w:rsidRPr="0057087E">
        <w:rPr>
          <w:b/>
          <w:bCs/>
          <w:kern w:val="24"/>
          <w:lang w:val="en-US"/>
        </w:rPr>
        <w:t>2</w:t>
      </w:r>
      <w:r w:rsidRPr="0057087E">
        <w:rPr>
          <w:b/>
          <w:bCs/>
          <w:kern w:val="24"/>
          <w:lang w:val="en-US"/>
        </w:rPr>
        <w:t>.</w:t>
      </w:r>
      <w:proofErr w:type="gramEnd"/>
      <w:r w:rsidRPr="0057087E">
        <w:rPr>
          <w:b/>
          <w:bCs/>
          <w:kern w:val="24"/>
          <w:lang w:val="en-US"/>
        </w:rPr>
        <w:t xml:space="preserve"> </w:t>
      </w:r>
      <w:r w:rsidRPr="0057087E">
        <w:rPr>
          <w:lang w:val="en-US"/>
        </w:rPr>
        <w:t xml:space="preserve">Panel A and B. Elisa plates were coated with human </w:t>
      </w:r>
      <w:r w:rsidR="00247A4A" w:rsidRPr="0057087E">
        <w:rPr>
          <w:lang w:val="en-US"/>
        </w:rPr>
        <w:t>v</w:t>
      </w:r>
      <w:r w:rsidR="0050737F" w:rsidRPr="0057087E">
        <w:rPr>
          <w:lang w:val="en-US"/>
        </w:rPr>
        <w:t xml:space="preserve">on </w:t>
      </w:r>
      <w:proofErr w:type="spellStart"/>
      <w:r w:rsidR="0050737F" w:rsidRPr="0057087E">
        <w:rPr>
          <w:lang w:val="en-US"/>
        </w:rPr>
        <w:t>Willebrand</w:t>
      </w:r>
      <w:proofErr w:type="spellEnd"/>
      <w:r w:rsidR="0050737F" w:rsidRPr="0057087E">
        <w:rPr>
          <w:lang w:val="en-US"/>
        </w:rPr>
        <w:t xml:space="preserve"> factor </w:t>
      </w:r>
      <w:r w:rsidRPr="0057087E">
        <w:rPr>
          <w:lang w:val="en-US"/>
        </w:rPr>
        <w:t>(</w:t>
      </w:r>
      <w:r w:rsidR="0050737F" w:rsidRPr="0057087E">
        <w:rPr>
          <w:lang w:val="en-US"/>
        </w:rPr>
        <w:t xml:space="preserve">VWF, </w:t>
      </w:r>
      <w:r w:rsidR="008A01BB" w:rsidRPr="0057087E">
        <w:rPr>
          <w:lang w:val="en-US"/>
        </w:rPr>
        <w:t>A</w:t>
      </w:r>
      <w:r w:rsidRPr="0057087E">
        <w:rPr>
          <w:lang w:val="en-US"/>
        </w:rPr>
        <w:t xml:space="preserve">), </w:t>
      </w:r>
      <w:r w:rsidRPr="00D26459">
        <w:rPr>
          <w:lang w:val="en-US"/>
        </w:rPr>
        <w:t>or 1</w:t>
      </w:r>
      <w:proofErr w:type="gramStart"/>
      <w:r w:rsidRPr="00D26459">
        <w:rPr>
          <w:lang w:val="en-US"/>
        </w:rPr>
        <w:t>,2</w:t>
      </w:r>
      <w:proofErr w:type="gramEnd"/>
      <w:r w:rsidRPr="00D26459">
        <w:rPr>
          <w:lang w:val="en-US"/>
        </w:rPr>
        <w:t xml:space="preserve">-Diacyl-sn-glycero-3-phospho-L-serine (PS, </w:t>
      </w:r>
      <w:r w:rsidR="008A01BB">
        <w:rPr>
          <w:lang w:val="en-US"/>
        </w:rPr>
        <w:t>B</w:t>
      </w:r>
      <w:r w:rsidRPr="00D26459">
        <w:rPr>
          <w:lang w:val="en-US"/>
        </w:rPr>
        <w:t xml:space="preserve">). The different recombinant B-domain deleted FVIII were incubated at different concentrations and revealed with a biotinylated anti-human FVIII antibody (GMA-8015), streptavidin-HRP and the peroxidase substrate. The binding of FVIII is depicted as the optical density measured at 492 nm in arbitrary units (AU). </w:t>
      </w:r>
    </w:p>
    <w:p w:rsidR="00D26459" w:rsidRDefault="00D26459" w:rsidP="00D26459">
      <w:pPr>
        <w:pStyle w:val="NormalWeb"/>
        <w:spacing w:before="0" w:beforeAutospacing="0" w:after="0" w:afterAutospacing="0"/>
        <w:jc w:val="both"/>
        <w:rPr>
          <w:lang w:val="en-US"/>
        </w:rPr>
      </w:pPr>
    </w:p>
    <w:p w:rsidR="00D26459" w:rsidRDefault="00D26459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131F6" w:rsidRDefault="005131F6" w:rsidP="00384071">
      <w:pPr>
        <w:pStyle w:val="NormalWeb"/>
        <w:spacing w:before="0" w:beforeAutospacing="0" w:after="0" w:afterAutospacing="0" w:line="480" w:lineRule="auto"/>
        <w:jc w:val="both"/>
        <w:rPr>
          <w:color w:val="000000"/>
          <w:kern w:val="24"/>
          <w:lang w:val="en-US"/>
        </w:rPr>
      </w:pPr>
    </w:p>
    <w:p w:rsidR="005131F6" w:rsidRDefault="005131F6" w:rsidP="00384071">
      <w:pPr>
        <w:pStyle w:val="NormalWeb"/>
        <w:spacing w:before="0" w:beforeAutospacing="0" w:after="0" w:afterAutospacing="0" w:line="480" w:lineRule="auto"/>
        <w:jc w:val="both"/>
        <w:rPr>
          <w:color w:val="000000"/>
          <w:kern w:val="24"/>
          <w:lang w:val="en-US"/>
        </w:rPr>
      </w:pPr>
      <w:r>
        <w:rPr>
          <w:noProof/>
          <w:color w:val="000000"/>
          <w:kern w:val="24"/>
        </w:rPr>
        <w:drawing>
          <wp:inline distT="0" distB="0" distL="0" distR="0" wp14:anchorId="645125B2" wp14:editId="181FFBB4">
            <wp:extent cx="5760720" cy="252349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F6" w:rsidRDefault="005131F6" w:rsidP="00384071">
      <w:pPr>
        <w:pStyle w:val="Bibliographie"/>
        <w:spacing w:after="0" w:line="480" w:lineRule="auto"/>
        <w:jc w:val="both"/>
        <w:rPr>
          <w:b/>
          <w:bCs/>
          <w:color w:val="000000"/>
          <w:kern w:val="24"/>
        </w:rPr>
      </w:pPr>
    </w:p>
    <w:p w:rsidR="005131F6" w:rsidRDefault="005131F6" w:rsidP="00D26459">
      <w:pPr>
        <w:pStyle w:val="NormalWeb"/>
        <w:spacing w:before="0" w:beforeAutospacing="0" w:after="0" w:afterAutospacing="0"/>
        <w:jc w:val="both"/>
        <w:rPr>
          <w:color w:val="000000"/>
          <w:kern w:val="24"/>
          <w:lang w:val="en-US"/>
        </w:rPr>
      </w:pPr>
      <w:proofErr w:type="gramStart"/>
      <w:r w:rsidRPr="004C171C">
        <w:rPr>
          <w:b/>
          <w:bCs/>
          <w:color w:val="000000"/>
          <w:kern w:val="24"/>
          <w:lang w:val="en-US"/>
        </w:rPr>
        <w:t xml:space="preserve">Supplemental Figure </w:t>
      </w:r>
      <w:r w:rsidR="00B02E27" w:rsidRPr="0057087E">
        <w:rPr>
          <w:b/>
          <w:bCs/>
          <w:kern w:val="24"/>
          <w:lang w:val="en-US"/>
        </w:rPr>
        <w:t>3</w:t>
      </w:r>
      <w:r w:rsidRPr="004C171C">
        <w:rPr>
          <w:b/>
          <w:bCs/>
          <w:color w:val="000000"/>
          <w:kern w:val="24"/>
          <w:lang w:val="en-US"/>
        </w:rPr>
        <w:t>.</w:t>
      </w:r>
      <w:proofErr w:type="gramEnd"/>
      <w:r w:rsidRPr="004C171C">
        <w:rPr>
          <w:b/>
          <w:bCs/>
          <w:color w:val="000000"/>
          <w:kern w:val="24"/>
          <w:lang w:val="en-US"/>
        </w:rPr>
        <w:t xml:space="preserve"> Screening of FVIII peptide specific</w:t>
      </w:r>
      <w:r>
        <w:rPr>
          <w:b/>
          <w:bCs/>
          <w:color w:val="000000"/>
          <w:kern w:val="24"/>
          <w:lang w:val="en-US"/>
        </w:rPr>
        <w:t>ity of T cell hybridoma 1G8-A2</w:t>
      </w:r>
      <w:r w:rsidRPr="004C171C">
        <w:rPr>
          <w:b/>
          <w:bCs/>
          <w:color w:val="000000"/>
          <w:kern w:val="24"/>
          <w:lang w:val="en-US"/>
        </w:rPr>
        <w:t xml:space="preserve">. </w:t>
      </w:r>
      <w:r w:rsidRPr="004C171C">
        <w:rPr>
          <w:color w:val="000000"/>
          <w:kern w:val="24"/>
          <w:lang w:val="en-US"/>
        </w:rPr>
        <w:t>Specificity</w:t>
      </w:r>
      <w:r w:rsidRPr="0084197C">
        <w:rPr>
          <w:color w:val="000000"/>
          <w:kern w:val="24"/>
          <w:lang w:val="en-US"/>
        </w:rPr>
        <w:t xml:space="preserve"> of the FVIII-specific HLA-DRB1*0101-restricted </w:t>
      </w:r>
      <w:r>
        <w:rPr>
          <w:color w:val="000000"/>
          <w:kern w:val="24"/>
          <w:lang w:val="en-US"/>
        </w:rPr>
        <w:t>T cell</w:t>
      </w:r>
      <w:r w:rsidRPr="0084197C">
        <w:rPr>
          <w:color w:val="000000"/>
          <w:kern w:val="24"/>
          <w:lang w:val="en-US"/>
        </w:rPr>
        <w:t xml:space="preserve"> hybridoma 1G8</w:t>
      </w:r>
      <w:r>
        <w:rPr>
          <w:color w:val="000000"/>
          <w:kern w:val="24"/>
          <w:lang w:val="en-US"/>
        </w:rPr>
        <w:t>-</w:t>
      </w:r>
      <w:r w:rsidRPr="0084197C">
        <w:rPr>
          <w:color w:val="000000"/>
          <w:kern w:val="24"/>
          <w:lang w:val="en-US"/>
        </w:rPr>
        <w:t xml:space="preserve">A2 was screened against light chain (LC), heavy chain (HC) and C2 domain of FVIII (C2) by FVIII-loaded HLA-matched human </w:t>
      </w:r>
      <w:r>
        <w:rPr>
          <w:color w:val="000000"/>
          <w:kern w:val="24"/>
          <w:lang w:val="en-US"/>
        </w:rPr>
        <w:t>MO-DC</w:t>
      </w:r>
      <w:r w:rsidRPr="0084197C">
        <w:rPr>
          <w:color w:val="000000"/>
          <w:kern w:val="24"/>
          <w:lang w:val="en-US"/>
        </w:rPr>
        <w:t>s (Panel A). Overlapping peptide of the C1 domain were further tested with loaded HLA-matche</w:t>
      </w:r>
      <w:r w:rsidRPr="004C171C">
        <w:rPr>
          <w:color w:val="000000"/>
          <w:kern w:val="24"/>
          <w:lang w:val="en-US"/>
        </w:rPr>
        <w:t xml:space="preserve">d human </w:t>
      </w:r>
      <w:r>
        <w:rPr>
          <w:color w:val="000000"/>
          <w:kern w:val="24"/>
          <w:lang w:val="en-US"/>
        </w:rPr>
        <w:t>MO-DC</w:t>
      </w:r>
      <w:r w:rsidRPr="004C171C">
        <w:rPr>
          <w:color w:val="000000"/>
          <w:kern w:val="24"/>
          <w:lang w:val="en-US"/>
        </w:rPr>
        <w:t>s (Panel B). Table 1. Prediction of peptides binding to HLA DRB1*0101 with IEDB database shows that C1.1 and C1.3 sequence share only one common core peptide.</w:t>
      </w:r>
    </w:p>
    <w:p w:rsidR="00327481" w:rsidRDefault="0032748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4D6A55" w:rsidRDefault="00327481" w:rsidP="00327481">
      <w:pPr>
        <w:spacing w:line="48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E07DA4C" wp14:editId="2E4E480A">
            <wp:extent cx="2736850" cy="3113693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 cell assay DM vs HSQ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1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481" w:rsidRPr="00FF3950" w:rsidRDefault="00327481" w:rsidP="00327481">
      <w:pPr>
        <w:jc w:val="both"/>
        <w:rPr>
          <w:color w:val="000000" w:themeColor="text1"/>
          <w:lang w:val="en-US"/>
        </w:rPr>
      </w:pPr>
      <w:proofErr w:type="gramStart"/>
      <w:r w:rsidRPr="004C171C">
        <w:rPr>
          <w:b/>
          <w:bCs/>
          <w:color w:val="000000"/>
          <w:kern w:val="24"/>
          <w:lang w:val="en-US"/>
        </w:rPr>
        <w:t xml:space="preserve">Supplemental Figure </w:t>
      </w:r>
      <w:r w:rsidR="00B02E27" w:rsidRPr="0057087E">
        <w:rPr>
          <w:b/>
          <w:bCs/>
          <w:kern w:val="24"/>
          <w:lang w:val="en-US"/>
        </w:rPr>
        <w:t>4</w:t>
      </w:r>
      <w:r w:rsidRPr="0057087E">
        <w:rPr>
          <w:b/>
          <w:bCs/>
          <w:kern w:val="24"/>
          <w:lang w:val="en-US"/>
        </w:rPr>
        <w:t>.</w:t>
      </w:r>
      <w:proofErr w:type="gramEnd"/>
      <w:r w:rsidRPr="00327481">
        <w:rPr>
          <w:rFonts w:eastAsiaTheme="minorHAnsi"/>
          <w:lang w:val="en-US" w:eastAsia="en-US"/>
        </w:rPr>
        <w:t xml:space="preserve"> </w:t>
      </w:r>
      <w:r w:rsidRPr="00327481">
        <w:rPr>
          <w:b/>
          <w:szCs w:val="22"/>
          <w:lang w:val="en-US"/>
        </w:rPr>
        <w:t xml:space="preserve">Removal of both N239 and N2118 glycosylation sites do not have an additional effect on T-cell activation </w:t>
      </w:r>
      <w:r w:rsidR="009975E6">
        <w:rPr>
          <w:b/>
          <w:szCs w:val="22"/>
          <w:lang w:val="en-US"/>
        </w:rPr>
        <w:t>by human MO-DCs</w:t>
      </w:r>
      <w:r w:rsidRPr="00327481">
        <w:rPr>
          <w:b/>
          <w:szCs w:val="22"/>
          <w:lang w:val="en-US"/>
        </w:rPr>
        <w:t>.</w:t>
      </w:r>
      <w:r w:rsidRPr="00710AB2">
        <w:rPr>
          <w:szCs w:val="22"/>
          <w:lang w:val="en-US"/>
        </w:rPr>
        <w:t xml:space="preserve"> </w:t>
      </w:r>
      <w:r>
        <w:rPr>
          <w:rFonts w:eastAsiaTheme="minorHAnsi"/>
          <w:lang w:val="en-US" w:eastAsia="en-US"/>
        </w:rPr>
        <w:t>The a</w:t>
      </w:r>
      <w:r w:rsidRPr="004930FF">
        <w:rPr>
          <w:rFonts w:eastAsiaTheme="minorHAnsi"/>
          <w:lang w:val="en-US" w:eastAsia="en-US"/>
        </w:rPr>
        <w:t xml:space="preserve">ctivation of </w:t>
      </w:r>
      <w:r>
        <w:rPr>
          <w:rFonts w:eastAsiaTheme="minorHAnsi"/>
          <w:lang w:val="en-US" w:eastAsia="en-US"/>
        </w:rPr>
        <w:t>1G8-A2</w:t>
      </w:r>
      <w:r w:rsidRPr="004930FF">
        <w:rPr>
          <w:rFonts w:eastAsiaTheme="minorHAnsi"/>
          <w:lang w:val="en-US" w:eastAsia="en-US"/>
        </w:rPr>
        <w:t xml:space="preserve"> by FVIII-loaded (10</w:t>
      </w:r>
      <w:r>
        <w:rPr>
          <w:color w:val="000000"/>
          <w:kern w:val="24"/>
          <w:lang w:val="en-US"/>
        </w:rPr>
        <w:t> </w:t>
      </w:r>
      <w:proofErr w:type="spellStart"/>
      <w:r w:rsidRPr="004930FF">
        <w:rPr>
          <w:rFonts w:eastAsiaTheme="minorHAnsi"/>
          <w:lang w:val="en-US" w:eastAsia="en-US"/>
        </w:rPr>
        <w:t>nM</w:t>
      </w:r>
      <w:proofErr w:type="spellEnd"/>
      <w:r w:rsidRPr="004930FF">
        <w:rPr>
          <w:rFonts w:eastAsiaTheme="minorHAnsi"/>
          <w:lang w:val="en-US" w:eastAsia="en-US"/>
        </w:rPr>
        <w:t xml:space="preserve">) HLA-matched human MO-DCs was evaluated. IL-2 produced by the activated T cells was measured in the supernatant after </w:t>
      </w:r>
      <w:r w:rsidRPr="00DD5E08">
        <w:rPr>
          <w:rFonts w:eastAsiaTheme="minorHAnsi"/>
          <w:lang w:val="en-US" w:eastAsia="en-US"/>
        </w:rPr>
        <w:t>24</w:t>
      </w:r>
      <w:r w:rsidRPr="00DD5E08">
        <w:rPr>
          <w:color w:val="000000"/>
          <w:kern w:val="24"/>
          <w:lang w:val="en-US"/>
        </w:rPr>
        <w:t> </w:t>
      </w:r>
      <w:r w:rsidRPr="00DD5E08">
        <w:rPr>
          <w:rFonts w:eastAsiaTheme="minorHAnsi"/>
          <w:lang w:val="en-US" w:eastAsia="en-US"/>
        </w:rPr>
        <w:t>hr</w:t>
      </w:r>
      <w:r w:rsidRPr="004930FF">
        <w:rPr>
          <w:rFonts w:eastAsiaTheme="minorHAnsi"/>
          <w:lang w:val="en-US" w:eastAsia="en-US"/>
        </w:rPr>
        <w:t>. Representative of t</w:t>
      </w:r>
      <w:r>
        <w:rPr>
          <w:rFonts w:eastAsiaTheme="minorHAnsi"/>
          <w:lang w:val="en-US" w:eastAsia="en-US"/>
        </w:rPr>
        <w:t>wo</w:t>
      </w:r>
      <w:r w:rsidRPr="004930FF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 xml:space="preserve">independent </w:t>
      </w:r>
      <w:r w:rsidRPr="004930FF">
        <w:rPr>
          <w:rFonts w:eastAsiaTheme="minorHAnsi"/>
          <w:lang w:val="en-US" w:eastAsia="en-US"/>
        </w:rPr>
        <w:t>experiments (</w:t>
      </w:r>
      <w:proofErr w:type="spellStart"/>
      <w:r w:rsidRPr="004930FF">
        <w:rPr>
          <w:rFonts w:eastAsiaTheme="minorHAnsi"/>
          <w:lang w:val="en-US" w:eastAsia="en-US"/>
        </w:rPr>
        <w:t>mean±SEM</w:t>
      </w:r>
      <w:proofErr w:type="spellEnd"/>
      <w:r w:rsidRPr="004930FF">
        <w:rPr>
          <w:rFonts w:eastAsiaTheme="minorHAnsi"/>
          <w:lang w:val="en-US" w:eastAsia="en-US"/>
        </w:rPr>
        <w:t xml:space="preserve">). </w:t>
      </w:r>
    </w:p>
    <w:p w:rsidR="00327481" w:rsidRDefault="00327481" w:rsidP="00384071">
      <w:pPr>
        <w:spacing w:line="480" w:lineRule="auto"/>
        <w:jc w:val="both"/>
        <w:rPr>
          <w:lang w:val="en-US"/>
        </w:rPr>
      </w:pPr>
    </w:p>
    <w:p w:rsidR="00327481" w:rsidRDefault="00327481" w:rsidP="00384071">
      <w:pPr>
        <w:spacing w:line="480" w:lineRule="auto"/>
        <w:jc w:val="both"/>
        <w:rPr>
          <w:lang w:val="en-US"/>
        </w:rPr>
      </w:pPr>
    </w:p>
    <w:p w:rsidR="00327481" w:rsidRPr="00A15DE2" w:rsidRDefault="00327481" w:rsidP="00384071">
      <w:pPr>
        <w:spacing w:line="480" w:lineRule="auto"/>
        <w:jc w:val="both"/>
        <w:rPr>
          <w:lang w:val="en-US"/>
        </w:rPr>
      </w:pPr>
    </w:p>
    <w:sectPr w:rsidR="00327481" w:rsidRPr="00A15DE2" w:rsidSect="00F2755D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0A97D4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A97D4E" w16cid:durableId="21E2C0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D3D" w:rsidRDefault="00494D3D">
      <w:r>
        <w:separator/>
      </w:r>
    </w:p>
  </w:endnote>
  <w:endnote w:type="continuationSeparator" w:id="0">
    <w:p w:rsidR="00494D3D" w:rsidRDefault="0049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55D" w:rsidRDefault="00A15DE2" w:rsidP="00F2755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2755D" w:rsidRDefault="00494D3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55D" w:rsidRDefault="00A15DE2" w:rsidP="00F2755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7087E">
      <w:rPr>
        <w:rStyle w:val="Numrodepage"/>
        <w:noProof/>
      </w:rPr>
      <w:t>1</w:t>
    </w:r>
    <w:r>
      <w:rPr>
        <w:rStyle w:val="Numrodepage"/>
      </w:rPr>
      <w:fldChar w:fldCharType="end"/>
    </w:r>
  </w:p>
  <w:p w:rsidR="00F2755D" w:rsidRDefault="00494D3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D3D" w:rsidRDefault="00494D3D">
      <w:r>
        <w:separator/>
      </w:r>
    </w:p>
  </w:footnote>
  <w:footnote w:type="continuationSeparator" w:id="0">
    <w:p w:rsidR="00494D3D" w:rsidRDefault="00494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DE2"/>
    <w:rsid w:val="000A44B3"/>
    <w:rsid w:val="001878F3"/>
    <w:rsid w:val="00213FF6"/>
    <w:rsid w:val="00247A4A"/>
    <w:rsid w:val="002C4628"/>
    <w:rsid w:val="00316D4B"/>
    <w:rsid w:val="00327481"/>
    <w:rsid w:val="00384071"/>
    <w:rsid w:val="00494D3D"/>
    <w:rsid w:val="004D6A55"/>
    <w:rsid w:val="0050737F"/>
    <w:rsid w:val="005131F6"/>
    <w:rsid w:val="0057087E"/>
    <w:rsid w:val="005D3C1B"/>
    <w:rsid w:val="006878A3"/>
    <w:rsid w:val="006E1A92"/>
    <w:rsid w:val="007838D8"/>
    <w:rsid w:val="0084350F"/>
    <w:rsid w:val="008A01BB"/>
    <w:rsid w:val="0092166A"/>
    <w:rsid w:val="00936B6E"/>
    <w:rsid w:val="0094600D"/>
    <w:rsid w:val="009975E6"/>
    <w:rsid w:val="009C71DD"/>
    <w:rsid w:val="00A15DE2"/>
    <w:rsid w:val="00A86C2A"/>
    <w:rsid w:val="00B02E27"/>
    <w:rsid w:val="00B25978"/>
    <w:rsid w:val="00C15AE2"/>
    <w:rsid w:val="00C87FB2"/>
    <w:rsid w:val="00C92BB0"/>
    <w:rsid w:val="00D26459"/>
    <w:rsid w:val="00DA7C8A"/>
    <w:rsid w:val="00DE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56E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5DE2"/>
    <w:pPr>
      <w:spacing w:before="100" w:beforeAutospacing="1" w:after="100" w:afterAutospacing="1"/>
    </w:pPr>
  </w:style>
  <w:style w:type="character" w:styleId="lev">
    <w:name w:val="Strong"/>
    <w:qFormat/>
    <w:rsid w:val="00A15DE2"/>
    <w:rPr>
      <w:b/>
    </w:rPr>
  </w:style>
  <w:style w:type="paragraph" w:styleId="Pieddepage">
    <w:name w:val="footer"/>
    <w:basedOn w:val="Normal"/>
    <w:link w:val="PieddepageCar"/>
    <w:uiPriority w:val="99"/>
    <w:semiHidden/>
    <w:unhideWhenUsed/>
    <w:rsid w:val="00A15D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A15D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rodepage">
    <w:name w:val="page number"/>
    <w:basedOn w:val="Policepardfaut"/>
    <w:uiPriority w:val="99"/>
    <w:semiHidden/>
    <w:unhideWhenUsed/>
    <w:rsid w:val="00A15DE2"/>
  </w:style>
  <w:style w:type="paragraph" w:styleId="Bibliographie">
    <w:name w:val="Bibliography"/>
    <w:basedOn w:val="Normal"/>
    <w:next w:val="Normal"/>
    <w:uiPriority w:val="37"/>
    <w:unhideWhenUsed/>
    <w:rsid w:val="00A15DE2"/>
    <w:pPr>
      <w:tabs>
        <w:tab w:val="left" w:pos="384"/>
      </w:tabs>
      <w:spacing w:after="240"/>
      <w:ind w:left="384" w:hanging="38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64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459"/>
    <w:rPr>
      <w:rFonts w:ascii="Tahoma" w:eastAsia="Times New Roman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47A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A4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A4A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A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A4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5DE2"/>
    <w:pPr>
      <w:spacing w:before="100" w:beforeAutospacing="1" w:after="100" w:afterAutospacing="1"/>
    </w:pPr>
  </w:style>
  <w:style w:type="character" w:styleId="lev">
    <w:name w:val="Strong"/>
    <w:qFormat/>
    <w:rsid w:val="00A15DE2"/>
    <w:rPr>
      <w:b/>
    </w:rPr>
  </w:style>
  <w:style w:type="paragraph" w:styleId="Pieddepage">
    <w:name w:val="footer"/>
    <w:basedOn w:val="Normal"/>
    <w:link w:val="PieddepageCar"/>
    <w:uiPriority w:val="99"/>
    <w:semiHidden/>
    <w:unhideWhenUsed/>
    <w:rsid w:val="00A15D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A15D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rodepage">
    <w:name w:val="page number"/>
    <w:basedOn w:val="Policepardfaut"/>
    <w:uiPriority w:val="99"/>
    <w:semiHidden/>
    <w:unhideWhenUsed/>
    <w:rsid w:val="00A15DE2"/>
  </w:style>
  <w:style w:type="paragraph" w:styleId="Bibliographie">
    <w:name w:val="Bibliography"/>
    <w:basedOn w:val="Normal"/>
    <w:next w:val="Normal"/>
    <w:uiPriority w:val="37"/>
    <w:unhideWhenUsed/>
    <w:rsid w:val="00A15DE2"/>
    <w:pPr>
      <w:tabs>
        <w:tab w:val="left" w:pos="384"/>
      </w:tabs>
      <w:spacing w:after="240"/>
      <w:ind w:left="384" w:hanging="38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64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459"/>
    <w:rPr>
      <w:rFonts w:ascii="Tahoma" w:eastAsia="Times New Roman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47A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A4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A4A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A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A4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Delignat</dc:creator>
  <cp:lastModifiedBy>Sandrine Delignat</cp:lastModifiedBy>
  <cp:revision>2</cp:revision>
  <cp:lastPrinted>2019-11-26T14:47:00Z</cp:lastPrinted>
  <dcterms:created xsi:type="dcterms:W3CDTF">2020-03-06T12:47:00Z</dcterms:created>
  <dcterms:modified xsi:type="dcterms:W3CDTF">2020-03-06T12:47:00Z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zotero-version="5.0.68"&gt;&lt;session id="qjYwtWfn"/&gt;&lt;style id="http://www.zotero.org/styles/haematologica" hasBibliography="1" bibliographyStyleHasBeenSet="1"/&gt;&lt;prefs&gt;&lt;pref name="fieldType" value="Field"/&gt;&lt;/prefs&gt;&lt;/data&gt;</vt:lpwstr>
  </property>
</Properties>
</file>