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7B65BC41" w14:textId="033909F3" w:rsidR="00DE23E8" w:rsidRDefault="00DE23E8" w:rsidP="00654E8F">
      <w:pPr>
        <w:spacing w:before="240"/>
      </w:pPr>
    </w:p>
    <w:p w14:paraId="5D8AAB02" w14:textId="6824083D" w:rsidR="007816C8" w:rsidRDefault="00DF5B76" w:rsidP="007816C8">
      <w:r w:rsidRPr="006B11D1">
        <w:rPr>
          <w:b/>
        </w:rPr>
        <w:t xml:space="preserve">Supplementary Table 1. Plant spaceflight datasets and ground-based datasets related to spaceflight factors. </w:t>
      </w:r>
      <w:r w:rsidRPr="006B11D1">
        <w:t xml:space="preserve">A small selection of meta-data associated with these studies is also included to indicate the breadth of the data available. </w:t>
      </w:r>
      <w:proofErr w:type="spellStart"/>
      <w:r w:rsidRPr="006B11D1">
        <w:t>GeneLab</w:t>
      </w:r>
      <w:proofErr w:type="spellEnd"/>
      <w:r w:rsidRPr="006B11D1">
        <w:t xml:space="preserve">, </w:t>
      </w:r>
      <w:proofErr w:type="spellStart"/>
      <w:r w:rsidRPr="006B11D1">
        <w:t>GeneLab</w:t>
      </w:r>
      <w:proofErr w:type="spellEnd"/>
      <w:r w:rsidRPr="006B11D1">
        <w:t xml:space="preserve"> data repository (</w:t>
      </w:r>
      <w:r w:rsidR="00903DEC" w:rsidRPr="00903DEC">
        <w:t>https://genelab-data.ndc.nasa.gov/</w:t>
      </w:r>
      <w:r w:rsidRPr="006B11D1">
        <w:t>); GEO, Gene Expression Omnibus (</w:t>
      </w:r>
      <w:r w:rsidRPr="006B11D1">
        <w:rPr>
          <w:color w:val="000000" w:themeColor="text1"/>
        </w:rPr>
        <w:t>https://www.ncbi.nlm.nih.gov/geo/</w:t>
      </w:r>
      <w:r w:rsidRPr="006B11D1">
        <w:t xml:space="preserve">); Col-0, Columbia ecotype of </w:t>
      </w:r>
      <w:r w:rsidR="00551D81" w:rsidRPr="006B11D1">
        <w:rPr>
          <w:i/>
        </w:rPr>
        <w:t>Arabidopsis</w:t>
      </w:r>
      <w:r w:rsidRPr="006B11D1">
        <w:rPr>
          <w:i/>
        </w:rPr>
        <w:t xml:space="preserve"> thaliana</w:t>
      </w:r>
      <w:r w:rsidRPr="006B11D1">
        <w:t xml:space="preserve">; </w:t>
      </w:r>
      <w:proofErr w:type="spellStart"/>
      <w:r w:rsidRPr="006B11D1">
        <w:t>Ws</w:t>
      </w:r>
      <w:proofErr w:type="spellEnd"/>
      <w:r w:rsidRPr="006B11D1">
        <w:rPr>
          <w:color w:val="000000" w:themeColor="text1"/>
        </w:rPr>
        <w:t xml:space="preserve">, </w:t>
      </w:r>
      <w:proofErr w:type="spellStart"/>
      <w:r w:rsidRPr="006B11D1">
        <w:rPr>
          <w:color w:val="000000" w:themeColor="text1"/>
          <w:shd w:val="clear" w:color="auto" w:fill="FFFFFF"/>
        </w:rPr>
        <w:t>Wassilewskija</w:t>
      </w:r>
      <w:proofErr w:type="spellEnd"/>
      <w:r w:rsidRPr="006B11D1">
        <w:rPr>
          <w:color w:val="000000" w:themeColor="text1"/>
          <w:shd w:val="clear" w:color="auto" w:fill="FFFFFF"/>
        </w:rPr>
        <w:t xml:space="preserve"> ecotype</w:t>
      </w:r>
      <w:r w:rsidRPr="006B11D1">
        <w:rPr>
          <w:color w:val="000000" w:themeColor="text1"/>
        </w:rPr>
        <w:t xml:space="preserve">; </w:t>
      </w:r>
      <w:proofErr w:type="spellStart"/>
      <w:r w:rsidRPr="006B11D1">
        <w:t>Ler</w:t>
      </w:r>
      <w:proofErr w:type="spellEnd"/>
      <w:r w:rsidRPr="006B11D1">
        <w:t xml:space="preserve">, Landsberg ecotype; </w:t>
      </w:r>
      <w:proofErr w:type="spellStart"/>
      <w:r w:rsidRPr="006B11D1">
        <w:t>Cvi</w:t>
      </w:r>
      <w:proofErr w:type="spellEnd"/>
      <w:r w:rsidRPr="006B11D1">
        <w:t xml:space="preserve">, Cape Verdi islands ecotype; mutants of </w:t>
      </w:r>
      <w:r w:rsidR="00551D81" w:rsidRPr="006B11D1">
        <w:t>Arabidopsis</w:t>
      </w:r>
      <w:r w:rsidRPr="006B11D1">
        <w:t xml:space="preserve">: </w:t>
      </w:r>
      <w:proofErr w:type="spellStart"/>
      <w:r w:rsidRPr="006B11D1">
        <w:rPr>
          <w:i/>
        </w:rPr>
        <w:t>phyD</w:t>
      </w:r>
      <w:proofErr w:type="spellEnd"/>
      <w:r w:rsidRPr="006B11D1">
        <w:t xml:space="preserve">, Phytochrome D; </w:t>
      </w:r>
      <w:proofErr w:type="spellStart"/>
      <w:r w:rsidRPr="006B11D1">
        <w:rPr>
          <w:i/>
        </w:rPr>
        <w:t>arg</w:t>
      </w:r>
      <w:proofErr w:type="spellEnd"/>
      <w:r w:rsidRPr="006B11D1">
        <w:t xml:space="preserve">, Altered Response to Gravity; </w:t>
      </w:r>
      <w:r w:rsidRPr="006B11D1">
        <w:rPr>
          <w:i/>
        </w:rPr>
        <w:t>act2</w:t>
      </w:r>
      <w:r w:rsidRPr="006B11D1">
        <w:t xml:space="preserve">, Actin 2; </w:t>
      </w:r>
      <w:r w:rsidR="00551D81" w:rsidRPr="006B11D1">
        <w:rPr>
          <w:i/>
        </w:rPr>
        <w:t>ATM,</w:t>
      </w:r>
      <w:r w:rsidR="00551D81" w:rsidRPr="006B11D1">
        <w:rPr>
          <w:color w:val="403838"/>
        </w:rPr>
        <w:t xml:space="preserve"> </w:t>
      </w:r>
      <w:r w:rsidR="00551D81" w:rsidRPr="006B11D1">
        <w:rPr>
          <w:color w:val="403838"/>
          <w:highlight w:val="white"/>
        </w:rPr>
        <w:t>Ataxia</w:t>
      </w:r>
      <w:r w:rsidRPr="006B11D1">
        <w:rPr>
          <w:color w:val="403838"/>
          <w:highlight w:val="white"/>
        </w:rPr>
        <w:t>-</w:t>
      </w:r>
      <w:r w:rsidRPr="006B11D1">
        <w:rPr>
          <w:color w:val="403838"/>
        </w:rPr>
        <w:t>t</w:t>
      </w:r>
      <w:r w:rsidRPr="006B11D1">
        <w:rPr>
          <w:color w:val="403838"/>
          <w:highlight w:val="white"/>
        </w:rPr>
        <w:t>elangiectasia</w:t>
      </w:r>
      <w:r w:rsidRPr="006B11D1">
        <w:rPr>
          <w:color w:val="403838"/>
        </w:rPr>
        <w:t xml:space="preserve"> m</w:t>
      </w:r>
      <w:r w:rsidRPr="006B11D1">
        <w:rPr>
          <w:color w:val="403838"/>
          <w:highlight w:val="white"/>
        </w:rPr>
        <w:t>utated</w:t>
      </w:r>
      <w:r w:rsidRPr="006B11D1">
        <w:rPr>
          <w:i/>
        </w:rPr>
        <w:t xml:space="preserve">; </w:t>
      </w:r>
      <w:proofErr w:type="spellStart"/>
      <w:r w:rsidRPr="006B11D1">
        <w:rPr>
          <w:i/>
        </w:rPr>
        <w:t>atr</w:t>
      </w:r>
      <w:proofErr w:type="spellEnd"/>
      <w:r w:rsidRPr="006B11D1">
        <w:rPr>
          <w:i/>
        </w:rPr>
        <w:t xml:space="preserve">, </w:t>
      </w:r>
      <w:r w:rsidRPr="006B11D1">
        <w:rPr>
          <w:color w:val="403838"/>
        </w:rPr>
        <w:t>AT</w:t>
      </w:r>
      <w:r w:rsidRPr="006B11D1">
        <w:rPr>
          <w:color w:val="403838"/>
          <w:highlight w:val="white"/>
        </w:rPr>
        <w:t xml:space="preserve">M and </w:t>
      </w:r>
      <w:r w:rsidRPr="006B11D1">
        <w:rPr>
          <w:color w:val="403838"/>
        </w:rPr>
        <w:t>R</w:t>
      </w:r>
      <w:r w:rsidRPr="006B11D1">
        <w:rPr>
          <w:color w:val="403838"/>
          <w:highlight w:val="white"/>
        </w:rPr>
        <w:t>ad 3-related</w:t>
      </w:r>
      <w:r w:rsidRPr="006B11D1">
        <w:rPr>
          <w:i/>
        </w:rPr>
        <w:t xml:space="preserve">; </w:t>
      </w:r>
      <w:proofErr w:type="spellStart"/>
      <w:r w:rsidRPr="006B11D1">
        <w:rPr>
          <w:i/>
        </w:rPr>
        <w:t>xpf</w:t>
      </w:r>
      <w:proofErr w:type="spellEnd"/>
      <w:r w:rsidRPr="006B11D1">
        <w:rPr>
          <w:i/>
        </w:rPr>
        <w:t>,</w:t>
      </w:r>
      <w:r w:rsidR="00551D81">
        <w:rPr>
          <w:i/>
        </w:rPr>
        <w:t xml:space="preserve"> </w:t>
      </w:r>
      <w:r w:rsidRPr="006B11D1">
        <w:t xml:space="preserve">xeroderma </w:t>
      </w:r>
      <w:proofErr w:type="spellStart"/>
      <w:r w:rsidRPr="006B11D1">
        <w:t>pigementosa</w:t>
      </w:r>
      <w:proofErr w:type="spellEnd"/>
      <w:r w:rsidRPr="006B11D1">
        <w:t xml:space="preserve"> F endonuclease</w:t>
      </w:r>
      <w:r w:rsidR="007816C8">
        <w:t>; RPM, random positioning machine; HZE, High atomic weight and high energy;</w:t>
      </w:r>
      <w:r w:rsidR="007816C8" w:rsidRPr="007816C8">
        <w:t xml:space="preserve"> </w:t>
      </w:r>
      <w:r w:rsidR="007816C8">
        <w:rPr>
          <w:color w:val="000000"/>
          <w:shd w:val="clear" w:color="auto" w:fill="FFFFFF"/>
        </w:rPr>
        <w:t xml:space="preserve">ROS Meta, </w:t>
      </w:r>
      <w:proofErr w:type="spellStart"/>
      <w:r w:rsidR="0007751D">
        <w:rPr>
          <w:color w:val="000000"/>
          <w:shd w:val="clear" w:color="auto" w:fill="FFFFFF"/>
        </w:rPr>
        <w:t>meta</w:t>
      </w:r>
      <w:r w:rsidR="00400E97">
        <w:rPr>
          <w:color w:val="000000"/>
          <w:shd w:val="clear" w:color="auto" w:fill="FFFFFF"/>
        </w:rPr>
        <w:t xml:space="preserve"> </w:t>
      </w:r>
      <w:r w:rsidR="007816C8">
        <w:rPr>
          <w:color w:val="000000"/>
          <w:shd w:val="clear" w:color="auto" w:fill="FFFFFF"/>
        </w:rPr>
        <w:t>analysis</w:t>
      </w:r>
      <w:proofErr w:type="spellEnd"/>
      <w:r w:rsidR="007816C8">
        <w:rPr>
          <w:color w:val="000000"/>
          <w:shd w:val="clear" w:color="auto" w:fill="FFFFFF"/>
        </w:rPr>
        <w:t xml:space="preserve"> of experi</w:t>
      </w:r>
      <w:r w:rsidR="0007751D">
        <w:rPr>
          <w:color w:val="000000"/>
          <w:shd w:val="clear" w:color="auto" w:fill="FFFFFF"/>
        </w:rPr>
        <w:t>me</w:t>
      </w:r>
      <w:r w:rsidR="007816C8">
        <w:rPr>
          <w:color w:val="000000"/>
          <w:shd w:val="clear" w:color="auto" w:fill="FFFFFF"/>
        </w:rPr>
        <w:t xml:space="preserve">nts related to reactive oxygen species response; </w:t>
      </w:r>
      <w:r w:rsidR="00AD193E">
        <w:rPr>
          <w:color w:val="000000"/>
          <w:shd w:val="clear" w:color="auto" w:fill="FFFFFF"/>
        </w:rPr>
        <w:t>BRIC, Biological Research in Canister.</w:t>
      </w:r>
    </w:p>
    <w:p w14:paraId="70F11C7F" w14:textId="3A142623" w:rsidR="00DF5B76" w:rsidRPr="006B11D1" w:rsidRDefault="00DF5B76" w:rsidP="00DF5B76"/>
    <w:p w14:paraId="6CDF20B5" w14:textId="77777777" w:rsidR="00DF5B76" w:rsidRPr="006B11D1" w:rsidRDefault="00DF5B76" w:rsidP="00DF5B76">
      <w:pPr>
        <w:rPr>
          <w:b/>
        </w:rPr>
      </w:pPr>
      <w:r w:rsidRPr="006B11D1">
        <w:rPr>
          <w:b/>
        </w:rPr>
        <w:t xml:space="preserve"> </w:t>
      </w:r>
    </w:p>
    <w:tbl>
      <w:tblPr>
        <w:tblW w:w="11861" w:type="dxa"/>
        <w:tblLook w:val="04A0" w:firstRow="1" w:lastRow="0" w:firstColumn="1" w:lastColumn="0" w:noHBand="0" w:noVBand="1"/>
      </w:tblPr>
      <w:tblGrid>
        <w:gridCol w:w="1280"/>
        <w:gridCol w:w="371"/>
        <w:gridCol w:w="1286"/>
        <w:gridCol w:w="1524"/>
        <w:gridCol w:w="2427"/>
        <w:gridCol w:w="494"/>
        <w:gridCol w:w="146"/>
        <w:gridCol w:w="851"/>
        <w:gridCol w:w="1048"/>
        <w:gridCol w:w="227"/>
        <w:gridCol w:w="1702"/>
        <w:gridCol w:w="70"/>
        <w:gridCol w:w="270"/>
        <w:gridCol w:w="165"/>
      </w:tblGrid>
      <w:tr w:rsidR="007816C8" w:rsidRPr="006B11D1" w14:paraId="35565AC0" w14:textId="77777777" w:rsidTr="00720A47">
        <w:trPr>
          <w:gridAfter w:val="3"/>
          <w:wAfter w:w="505" w:type="dxa"/>
        </w:trPr>
        <w:tc>
          <w:tcPr>
            <w:tcW w:w="1280" w:type="dxa"/>
            <w:tcBorders>
              <w:top w:val="single" w:sz="4" w:space="0" w:color="auto"/>
              <w:bottom w:val="single" w:sz="4" w:space="0" w:color="auto"/>
            </w:tcBorders>
          </w:tcPr>
          <w:p w14:paraId="46F6A13C" w14:textId="77777777" w:rsidR="00DF5B76" w:rsidRPr="006B11D1" w:rsidRDefault="00DF5B76" w:rsidP="00DF5B76">
            <w:pPr>
              <w:rPr>
                <w:b/>
              </w:rPr>
            </w:pPr>
            <w:r w:rsidRPr="006B11D1">
              <w:rPr>
                <w:b/>
              </w:rPr>
              <w:t>Identifier</w:t>
            </w:r>
          </w:p>
        </w:tc>
        <w:tc>
          <w:tcPr>
            <w:tcW w:w="1657" w:type="dxa"/>
            <w:gridSpan w:val="2"/>
            <w:tcBorders>
              <w:top w:val="single" w:sz="4" w:space="0" w:color="auto"/>
              <w:bottom w:val="single" w:sz="4" w:space="0" w:color="auto"/>
            </w:tcBorders>
          </w:tcPr>
          <w:p w14:paraId="7E9460C5" w14:textId="77777777" w:rsidR="00DF5B76" w:rsidRPr="006B11D1" w:rsidRDefault="00DF5B76" w:rsidP="008524DC">
            <w:pPr>
              <w:ind w:left="415"/>
              <w:rPr>
                <w:b/>
              </w:rPr>
            </w:pPr>
            <w:r w:rsidRPr="006B11D1">
              <w:rPr>
                <w:b/>
              </w:rPr>
              <w:t>Reference</w:t>
            </w:r>
          </w:p>
        </w:tc>
        <w:tc>
          <w:tcPr>
            <w:tcW w:w="3951" w:type="dxa"/>
            <w:gridSpan w:val="2"/>
            <w:tcBorders>
              <w:top w:val="single" w:sz="4" w:space="0" w:color="auto"/>
              <w:bottom w:val="single" w:sz="4" w:space="0" w:color="auto"/>
            </w:tcBorders>
          </w:tcPr>
          <w:p w14:paraId="1D516DF0" w14:textId="77777777" w:rsidR="00DF5B76" w:rsidRPr="006B11D1" w:rsidRDefault="00DF5B76" w:rsidP="00DF5B76">
            <w:pPr>
              <w:jc w:val="center"/>
              <w:rPr>
                <w:b/>
              </w:rPr>
            </w:pPr>
            <w:r w:rsidRPr="006B11D1">
              <w:rPr>
                <w:b/>
              </w:rPr>
              <w:t>Genotype or ecotype</w:t>
            </w:r>
          </w:p>
          <w:p w14:paraId="57F35A24" w14:textId="29C9DA6B" w:rsidR="00DF5B76" w:rsidRPr="006B11D1" w:rsidRDefault="00A139DD" w:rsidP="00DF5B76">
            <w:pPr>
              <w:jc w:val="center"/>
              <w:rPr>
                <w:bCs/>
              </w:rPr>
            </w:pPr>
            <w:r>
              <w:rPr>
                <w:bCs/>
              </w:rPr>
              <w:t xml:space="preserve">    </w:t>
            </w:r>
            <w:r w:rsidR="00DF5B76" w:rsidRPr="006B11D1">
              <w:rPr>
                <w:bCs/>
              </w:rPr>
              <w:t>(</w:t>
            </w:r>
            <w:r w:rsidR="00DF5B76" w:rsidRPr="008524DC">
              <w:rPr>
                <w:bCs/>
                <w:i/>
                <w:iCs/>
              </w:rPr>
              <w:t>Arabidopsis</w:t>
            </w:r>
            <w:r w:rsidR="00DF5B76" w:rsidRPr="006B11D1">
              <w:rPr>
                <w:bCs/>
              </w:rPr>
              <w:t xml:space="preserve"> </w:t>
            </w:r>
            <w:r w:rsidR="00DF5B76" w:rsidRPr="008524DC">
              <w:rPr>
                <w:bCs/>
                <w:i/>
                <w:iCs/>
              </w:rPr>
              <w:t>thaliana</w:t>
            </w:r>
            <w:r w:rsidR="00DF5B76" w:rsidRPr="006B11D1">
              <w:rPr>
                <w:bCs/>
              </w:rPr>
              <w:t xml:space="preserve"> unless noted)</w:t>
            </w:r>
          </w:p>
        </w:tc>
        <w:tc>
          <w:tcPr>
            <w:tcW w:w="1491" w:type="dxa"/>
            <w:gridSpan w:val="3"/>
            <w:tcBorders>
              <w:top w:val="single" w:sz="4" w:space="0" w:color="auto"/>
              <w:bottom w:val="single" w:sz="4" w:space="0" w:color="auto"/>
            </w:tcBorders>
          </w:tcPr>
          <w:p w14:paraId="2DD5FBA2" w14:textId="2480190D" w:rsidR="00DF5B76" w:rsidRPr="006B11D1" w:rsidRDefault="007816C8" w:rsidP="00DF5B76">
            <w:pPr>
              <w:jc w:val="center"/>
              <w:rPr>
                <w:b/>
              </w:rPr>
            </w:pPr>
            <w:r>
              <w:rPr>
                <w:b/>
              </w:rPr>
              <w:t xml:space="preserve">           </w:t>
            </w:r>
            <w:r w:rsidR="00DF5B76" w:rsidRPr="006B11D1">
              <w:rPr>
                <w:b/>
              </w:rPr>
              <w:t>Notes</w:t>
            </w:r>
          </w:p>
        </w:tc>
        <w:tc>
          <w:tcPr>
            <w:tcW w:w="2977" w:type="dxa"/>
            <w:gridSpan w:val="3"/>
            <w:tcBorders>
              <w:top w:val="single" w:sz="4" w:space="0" w:color="auto"/>
              <w:bottom w:val="single" w:sz="4" w:space="0" w:color="auto"/>
            </w:tcBorders>
          </w:tcPr>
          <w:p w14:paraId="0523468E" w14:textId="40EB330B" w:rsidR="00DF5B76" w:rsidRPr="006B11D1" w:rsidRDefault="007816C8" w:rsidP="00DF5B76">
            <w:pPr>
              <w:rPr>
                <w:b/>
              </w:rPr>
            </w:pPr>
            <w:r>
              <w:rPr>
                <w:b/>
              </w:rPr>
              <w:t xml:space="preserve">           </w:t>
            </w:r>
            <w:r w:rsidR="008524DC">
              <w:rPr>
                <w:b/>
              </w:rPr>
              <w:t xml:space="preserve">   </w:t>
            </w:r>
            <w:r w:rsidR="00DF5B76" w:rsidRPr="006B11D1">
              <w:rPr>
                <w:b/>
              </w:rPr>
              <w:t>Assay Method</w:t>
            </w:r>
          </w:p>
        </w:tc>
      </w:tr>
      <w:tr w:rsidR="007816C8" w:rsidRPr="006B11D1" w14:paraId="2824D55C" w14:textId="77777777" w:rsidTr="00720A47">
        <w:trPr>
          <w:gridAfter w:val="2"/>
          <w:wAfter w:w="435" w:type="dxa"/>
        </w:trPr>
        <w:tc>
          <w:tcPr>
            <w:tcW w:w="11426" w:type="dxa"/>
            <w:gridSpan w:val="12"/>
          </w:tcPr>
          <w:p w14:paraId="4CE4552F" w14:textId="77777777" w:rsidR="00DF5B76" w:rsidRPr="006B11D1" w:rsidRDefault="00DF5B76" w:rsidP="00DF5B76">
            <w:pPr>
              <w:rPr>
                <w:bCs/>
              </w:rPr>
            </w:pPr>
          </w:p>
          <w:p w14:paraId="6EA4D951" w14:textId="77777777" w:rsidR="00DF5B76" w:rsidRPr="006B11D1" w:rsidRDefault="00DF5B76" w:rsidP="00DF5B76">
            <w:pPr>
              <w:rPr>
                <w:b/>
              </w:rPr>
            </w:pPr>
            <w:r w:rsidRPr="006B11D1">
              <w:rPr>
                <w:b/>
              </w:rPr>
              <w:t>Spaceflight</w:t>
            </w:r>
          </w:p>
          <w:p w14:paraId="4531F22F" w14:textId="77777777" w:rsidR="00DF5B76" w:rsidRPr="006B11D1" w:rsidRDefault="00DF5B76" w:rsidP="00DF5B76">
            <w:pPr>
              <w:rPr>
                <w:b/>
              </w:rPr>
            </w:pPr>
          </w:p>
        </w:tc>
      </w:tr>
      <w:tr w:rsidR="007816C8" w:rsidRPr="006B11D1" w14:paraId="5016CA40" w14:textId="77777777" w:rsidTr="00720A47">
        <w:trPr>
          <w:gridAfter w:val="1"/>
          <w:wAfter w:w="165" w:type="dxa"/>
          <w:trHeight w:val="225"/>
        </w:trPr>
        <w:tc>
          <w:tcPr>
            <w:tcW w:w="1651" w:type="dxa"/>
            <w:gridSpan w:val="2"/>
          </w:tcPr>
          <w:p w14:paraId="2819ED8F" w14:textId="77777777" w:rsidR="00DF5B76" w:rsidRPr="006B11D1" w:rsidRDefault="00DF5B76" w:rsidP="00DF5B76">
            <w:pPr>
              <w:rPr>
                <w:bCs/>
              </w:rPr>
            </w:pPr>
            <w:r w:rsidRPr="006B11D1">
              <w:rPr>
                <w:bCs/>
              </w:rPr>
              <w:t>GLDS-7</w:t>
            </w:r>
          </w:p>
        </w:tc>
        <w:tc>
          <w:tcPr>
            <w:tcW w:w="2810" w:type="dxa"/>
            <w:gridSpan w:val="2"/>
          </w:tcPr>
          <w:p w14:paraId="05BB5734" w14:textId="77777777" w:rsidR="00DF5B76" w:rsidRPr="006B11D1" w:rsidRDefault="00DF5B76" w:rsidP="00DF5B76">
            <w:pPr>
              <w:rPr>
                <w:bCs/>
              </w:rPr>
            </w:pPr>
            <w:r w:rsidRPr="006B11D1">
              <w:rPr>
                <w:bCs/>
              </w:rPr>
              <w:fldChar w:fldCharType="begin" w:fldLock="1"/>
            </w:r>
            <w:r>
              <w:rPr>
                <w:bCs/>
              </w:rPr>
              <w:instrText>ADDIN CSL_CITATION {"citationItems":[{"id":"ITEM-1","itemData":{"DOI":"10.1186/1471-2229-13-112","ISSN":"14712229","abstract":"BACKGROUND: Spaceflight presents a novel environment that is outside the evolutionary experience of terrestrial organisms. Full activation of the International Space Station as a science platform complete with sophisticated plant growth chambers, laboratory benches, and procedures for effective sample return, has enabled a new level of research capability and hypothesis testing in this unique environment. The opportunity to examine the strategies of environmental sensing in spaceflight, which includes the absence of unit gravity, provides a unique insight into the balance of influence among abiotic cues directing plant growth and development: including gravity, light, and touch. The data presented here correlate morphological and transcriptome data from replicated spaceflight experiments.\\n\\nRESULTS: The transcriptome of Arabidopsis thaliana demonstrated organ-specific changes in response to spaceflight, with 480 genes showing significant changes in expression in spaceflight plants compared with ground controls by at least 1.9-fold, and 58 by more than 7-fold. Leaves, hypocotyls, and roots each displayed unique patterns of response, yet many gene functions within the responses are related. Particularly represented across the dataset were genes associated with cell architecture and growth hormone signaling; processes that would not be anticipated to be altered in microgravity yet may correlate with morphological changes observed in spaceflight plants. As examples, differential expression of genes involved with touch, cell wall remodeling, root hairs, and cell expansion may correlate with spaceflight-associated root skewing, while differential expression of auxin-related and other gravity-signaling genes seemingly correlates with the microgravity of spaceflight. Although functionally related genes were differentially represented in leaves, hypocotyls, and roots, the expression of individual genes varied substantially across organ types, indicating that there is no single response to spaceflight. Rather, each organ employed its own response tactics within a shared strategy, largely involving cell wall architecture.\\n\\nCONCLUSIONS: Spaceflight appears to initiate cellular remodeling throughout the plant, yet specific strategies of the response are distinct among specific organs of the plant. Further, these data illustrate that in the absence of gravity plants rely on other environmental cues to initiate the morphological responses essential to successful gr…","author":[{"dropping-particle":"","family":"Paul","given":"Anna Lisa","non-dropping-particle":"","parse-names":false,"suffix":""},{"dropping-particle":"","family":"Zupanska","given":"Agata K.","non-dropping-particle":"","parse-names":false,"suffix":""},{"dropping-particle":"","family":"Schultz","given":"Eric R.","non-dropping-particle":"","parse-names":false,"suffix":""},{"dropping-particle":"","family":"Ferl","given":"Robert J.","non-dropping-particle":"","parse-names":false,"suffix":""}],"container-title":"BMC Plant Biology","id":"ITEM-1","issued":{"date-parts":[["2013"]]},"page":"112","title":"Organ-specific remodeling of the Arabidopsis transcriptome in response to spaceflight","type":"article-journal","volume":"13"},"uris":["http://www.mendeley.com/documents/?uuid=0eefff77-f7cc-45ec-8afa-1c97886cf419"]}],"mendeley":{"formattedCitation":"(Paul et al., 2013)","plainTextFormattedCitation":"(Paul et al., 2013)","previouslyFormattedCitation":"(Paul et al., 2013)"},"properties":{"noteIndex":0},"schema":"https://github.com/citation-style-language/schema/raw/master/csl-citation.json"}</w:instrText>
            </w:r>
            <w:r w:rsidRPr="006B11D1">
              <w:rPr>
                <w:bCs/>
              </w:rPr>
              <w:fldChar w:fldCharType="separate"/>
            </w:r>
            <w:r w:rsidRPr="009A6580">
              <w:rPr>
                <w:bCs/>
                <w:noProof/>
              </w:rPr>
              <w:t>(Paul et al., 2013)</w:t>
            </w:r>
            <w:r w:rsidRPr="006B11D1">
              <w:rPr>
                <w:bCs/>
              </w:rPr>
              <w:fldChar w:fldCharType="end"/>
            </w:r>
          </w:p>
        </w:tc>
        <w:tc>
          <w:tcPr>
            <w:tcW w:w="2921" w:type="dxa"/>
            <w:gridSpan w:val="2"/>
          </w:tcPr>
          <w:p w14:paraId="7F0D079B" w14:textId="77777777" w:rsidR="00DF5B76" w:rsidRPr="006B11D1" w:rsidRDefault="00DF5B76" w:rsidP="00DF5B76">
            <w:pPr>
              <w:rPr>
                <w:bCs/>
              </w:rPr>
            </w:pPr>
            <w:r w:rsidRPr="006B11D1">
              <w:rPr>
                <w:bCs/>
              </w:rPr>
              <w:t>WS &amp; Col</w:t>
            </w:r>
          </w:p>
        </w:tc>
        <w:tc>
          <w:tcPr>
            <w:tcW w:w="2045" w:type="dxa"/>
            <w:gridSpan w:val="3"/>
          </w:tcPr>
          <w:p w14:paraId="31E9BB79" w14:textId="77777777" w:rsidR="00DF5B76" w:rsidRPr="006B11D1" w:rsidRDefault="00DF5B76" w:rsidP="0007751D">
            <w:pPr>
              <w:rPr>
                <w:bCs/>
              </w:rPr>
            </w:pPr>
            <w:r w:rsidRPr="006B11D1">
              <w:rPr>
                <w:bCs/>
              </w:rPr>
              <w:t>Flight vs Ground</w:t>
            </w:r>
          </w:p>
        </w:tc>
        <w:tc>
          <w:tcPr>
            <w:tcW w:w="2269" w:type="dxa"/>
            <w:gridSpan w:val="4"/>
          </w:tcPr>
          <w:p w14:paraId="6EC9D5AA" w14:textId="77777777" w:rsidR="00DF5B76" w:rsidRPr="006B11D1" w:rsidRDefault="00DF5B76" w:rsidP="00DF5B76">
            <w:pPr>
              <w:rPr>
                <w:bCs/>
              </w:rPr>
            </w:pPr>
            <w:r w:rsidRPr="006B11D1">
              <w:rPr>
                <w:bCs/>
              </w:rPr>
              <w:t>Microarray</w:t>
            </w:r>
          </w:p>
        </w:tc>
      </w:tr>
      <w:tr w:rsidR="007816C8" w:rsidRPr="006B11D1" w14:paraId="22B0E7D4" w14:textId="77777777" w:rsidTr="00720A47">
        <w:trPr>
          <w:gridAfter w:val="1"/>
          <w:wAfter w:w="165" w:type="dxa"/>
        </w:trPr>
        <w:tc>
          <w:tcPr>
            <w:tcW w:w="1651" w:type="dxa"/>
            <w:gridSpan w:val="2"/>
          </w:tcPr>
          <w:p w14:paraId="1559DDE2" w14:textId="77777777" w:rsidR="00DF5B76" w:rsidRPr="006B11D1" w:rsidRDefault="00DF5B76" w:rsidP="00DF5B76">
            <w:pPr>
              <w:rPr>
                <w:bCs/>
              </w:rPr>
            </w:pPr>
            <w:r w:rsidRPr="006B11D1">
              <w:rPr>
                <w:bCs/>
              </w:rPr>
              <w:t>GLDS-16</w:t>
            </w:r>
          </w:p>
        </w:tc>
        <w:tc>
          <w:tcPr>
            <w:tcW w:w="2810" w:type="dxa"/>
            <w:gridSpan w:val="2"/>
          </w:tcPr>
          <w:p w14:paraId="33A1D868" w14:textId="77777777" w:rsidR="00DF5B76" w:rsidRPr="006B11D1" w:rsidRDefault="00DF5B76" w:rsidP="00DF5B76">
            <w:pPr>
              <w:rPr>
                <w:bCs/>
              </w:rPr>
            </w:pPr>
            <w:r w:rsidRPr="006B11D1">
              <w:rPr>
                <w:bCs/>
              </w:rPr>
              <w:fldChar w:fldCharType="begin" w:fldLock="1"/>
            </w:r>
            <w:r>
              <w:rPr>
                <w:bCs/>
              </w:rPr>
              <w:instrText>ADDIN CSL_CITATION {"citationItems":[{"id":"ITEM-1","itemData":{"DOI":"10.1089/ast.2014.1210","ISSN":"15311074","abstract":"Life in spaceflight demonstrates remarkable acclimation processes within the specialized habitats of vehicles subjected to the myriad of unique environmental issues associated with orbital trajectories. To examine the response processes that occur in plants in space, leaves and roots from Arabidopsis (Arabidopsis thaliana) seedlings from three GFP reporter lines that were grown from seed for 12 days on the International Space Station and preserved on orbit in RNAlater were returned to Earth and analyzed by using iTRAQ broad-scale proteomics procedures. Using stringent criteria, we identified over 1500 proteins, which included 1167 leaf proteins and 1150 root proteins we were able to accurately quantify. Quantification revealed 256 leaf proteins and 358 root proteins that showed statistically significant differential abundance in the spaceflight samples compared to ground controls, with few proteins differentially regulated in common between leaves and roots. This indicates that there are measurable proteomics responses to spaceflight and that the responses are organ-specific. These proteomics data were compared with transcriptome data from similar spaceflight samples, showing that there is a positive but limited relationship between transcriptome and proteome regulation of the overall spaceflight responses of plants. These results are discussed in terms of emergence understanding of plant responses to spaceflight particularly with regard to cell wall remodeling, as well as in the context of deriving multiple omics data sets from a single on-orbit preservation and operations approach.","author":[{"dropping-particle":"","family":"Ferl","given":"Robert J.","non-dropping-particle":"","parse-names":false,"suffix":""},{"dropping-particle":"","family":"Koh","given":"Jin","non-dropping-particle":"","parse-names":false,"suffix":""},{"dropping-particle":"","family":"Denison","given":"Fiona","non-dropping-particle":"","parse-names":false,"suffix":""},{"dropping-particle":"","family":"Paul","given":"Anna Lisa","non-dropping-particle":"","parse-names":false,"suffix":""}],"container-title":"Astrobiology","id":"ITEM-1","issued":{"date-parts":[["2015"]]},"page":"32-56","title":"Spaceflight induces specific alterations in the proteomes of arabidopsis","type":"article-journal","volume":"15"},"uris":["http://www.mendeley.com/documents/?uuid=bc2c4382-f43b-401e-b55f-0cc245a102bd"]}],"mendeley":{"formattedCitation":"(Ferl et al., 2015)","plainTextFormattedCitation":"(Ferl et al., 2015)","previouslyFormattedCitation":"(Ferl et al., 2015)"},"properties":{"noteIndex":0},"schema":"https://github.com/citation-style-language/schema/raw/master/csl-citation.json"}</w:instrText>
            </w:r>
            <w:r w:rsidRPr="006B11D1">
              <w:rPr>
                <w:bCs/>
              </w:rPr>
              <w:fldChar w:fldCharType="separate"/>
            </w:r>
            <w:r w:rsidRPr="009A6580">
              <w:rPr>
                <w:bCs/>
                <w:noProof/>
              </w:rPr>
              <w:t>(Ferl et al., 2015)</w:t>
            </w:r>
            <w:r w:rsidRPr="006B11D1">
              <w:rPr>
                <w:bCs/>
              </w:rPr>
              <w:fldChar w:fldCharType="end"/>
            </w:r>
          </w:p>
        </w:tc>
        <w:tc>
          <w:tcPr>
            <w:tcW w:w="2921" w:type="dxa"/>
            <w:gridSpan w:val="2"/>
          </w:tcPr>
          <w:p w14:paraId="62F7D530" w14:textId="77777777" w:rsidR="00DF5B76" w:rsidRPr="006B11D1" w:rsidRDefault="00DF5B76" w:rsidP="00DF5B76">
            <w:pPr>
              <w:rPr>
                <w:bCs/>
              </w:rPr>
            </w:pPr>
            <w:r w:rsidRPr="006B11D1">
              <w:rPr>
                <w:bCs/>
              </w:rPr>
              <w:t xml:space="preserve">WS </w:t>
            </w:r>
          </w:p>
        </w:tc>
        <w:tc>
          <w:tcPr>
            <w:tcW w:w="2045" w:type="dxa"/>
            <w:gridSpan w:val="3"/>
          </w:tcPr>
          <w:p w14:paraId="58BA703F" w14:textId="77777777" w:rsidR="00DF5B76" w:rsidRPr="006B11D1" w:rsidRDefault="00DF5B76" w:rsidP="00DF5B76">
            <w:pPr>
              <w:jc w:val="center"/>
              <w:rPr>
                <w:bCs/>
              </w:rPr>
            </w:pPr>
            <w:r w:rsidRPr="006B11D1">
              <w:rPr>
                <w:bCs/>
              </w:rPr>
              <w:t>“</w:t>
            </w:r>
          </w:p>
        </w:tc>
        <w:tc>
          <w:tcPr>
            <w:tcW w:w="2269" w:type="dxa"/>
            <w:gridSpan w:val="4"/>
          </w:tcPr>
          <w:p w14:paraId="03710A9D" w14:textId="77777777" w:rsidR="00DF5B76" w:rsidRPr="006B11D1" w:rsidRDefault="00DF5B76" w:rsidP="00DF5B76">
            <w:pPr>
              <w:rPr>
                <w:bCs/>
              </w:rPr>
            </w:pPr>
            <w:r w:rsidRPr="006B11D1">
              <w:rPr>
                <w:bCs/>
              </w:rPr>
              <w:t>Proteomics</w:t>
            </w:r>
          </w:p>
        </w:tc>
      </w:tr>
      <w:tr w:rsidR="007816C8" w:rsidRPr="006B11D1" w14:paraId="4F8F585C" w14:textId="77777777" w:rsidTr="00720A47">
        <w:trPr>
          <w:gridAfter w:val="1"/>
          <w:wAfter w:w="165" w:type="dxa"/>
        </w:trPr>
        <w:tc>
          <w:tcPr>
            <w:tcW w:w="1651" w:type="dxa"/>
            <w:gridSpan w:val="2"/>
          </w:tcPr>
          <w:p w14:paraId="77BA6BBB" w14:textId="77777777" w:rsidR="00DF5B76" w:rsidRPr="006B11D1" w:rsidRDefault="00DF5B76" w:rsidP="00DF5B76">
            <w:pPr>
              <w:rPr>
                <w:bCs/>
              </w:rPr>
            </w:pPr>
            <w:r w:rsidRPr="006B11D1">
              <w:rPr>
                <w:bCs/>
              </w:rPr>
              <w:t>GLDS-17</w:t>
            </w:r>
          </w:p>
        </w:tc>
        <w:tc>
          <w:tcPr>
            <w:tcW w:w="2810" w:type="dxa"/>
            <w:gridSpan w:val="2"/>
          </w:tcPr>
          <w:p w14:paraId="45C3DC38" w14:textId="77777777" w:rsidR="00DF5B76" w:rsidRPr="006B11D1" w:rsidRDefault="00DF5B76" w:rsidP="00DF5B76">
            <w:pPr>
              <w:rPr>
                <w:bCs/>
              </w:rPr>
            </w:pPr>
            <w:r w:rsidRPr="006B11D1">
              <w:rPr>
                <w:bCs/>
              </w:rPr>
              <w:fldChar w:fldCharType="begin" w:fldLock="1"/>
            </w:r>
            <w:r>
              <w:rPr>
                <w:bCs/>
              </w:rPr>
              <w:instrText>ADDIN CSL_CITATION {"citationItems":[{"id":"ITEM-1","itemData":{"DOI":"10.1089/ast.2011.0696","ISSN":"15311074","abstract":"Abstract The spaceflight environment presents unique challenges to terrestrial biology, including but not limited to the direct effects of gravity. As we near the end of the Space Shuttle era, there remain fundamental questions about the response and adaptation of plants to orbital spaceflight conditions. We address a key baseline question of whether gene expression changes are induced by the orbital environment, and then we ask whether undifferentiated cells, cells presumably lacking the typical gravity response mechanisms, perceive spaceflight. Arabidopsis seedlings and undifferentiated cultured Arabidopsis cells were launched in April, 2010, as part of the BRIC-16 flight experiment on STS-131. Biologically replicated DNA microarray and averaged RNA digital transcript profiling revealed several hundred genes in seedlings and cell cultures that were significantly affected by launch and spaceflight. The response was moderate in seedlings; only a few genes were induced by more than 7-fold, and the overall ...","author":[{"dropping-particle":"","family":"Paul","given":"Anna Lisa","non-dropping-particle":"","parse-names":false,"suffix":""},{"dropping-particle":"","family":"Zupanska","given":"Agata K.","non-dropping-particle":"","parse-names":false,"suffix":""},{"dropping-particle":"","family":"Ostrow","given":"Dejerianne T.","non-dropping-particle":"","parse-names":false,"suffix":""},{"dropping-particle":"","family":"Zhang","given":"Yanping","non-dropping-particle":"","parse-names":false,"suffix":""},{"dropping-particle":"","family":"Sun","given":"Yijun","non-dropping-particle":"","parse-names":false,"suffix":""},{"dropping-particle":"","family":"Li","given":"Jian Liang","non-dropping-particle":"","parse-names":false,"suffix":""},{"dropping-particle":"","family":"Shanker","given":"Savita","non-dropping-particle":"","parse-names":false,"suffix":""},{"dropping-particle":"","family":"Farmerie","given":"William G.","non-dropping-particle":"","parse-names":false,"suffix":""},{"dropping-particle":"","family":"Amalfitano","given":"Claire E.","non-dropping-particle":"","parse-names":false,"suffix":""},{"dropping-particle":"","family":"Ferl","given":"Robert J.","non-dropping-particle":"","parse-names":false,"suffix":""}],"container-title":"Astrobiology","id":"ITEM-1","issue":"1","issued":{"date-parts":[["2012"]]},"page":"40-56","title":"Spaceflight transcriptomes: Unique responses to a novel environment","type":"article-journal","volume":"12"},"uris":["http://www.mendeley.com/documents/?uuid=c5f60cf9-38e4-4789-a266-02af136b509d"]}],"mendeley":{"formattedCitation":"(Paul et al., 2012)","plainTextFormattedCitation":"(Paul et al., 2012)","previouslyFormattedCitation":"(Paul et al., 2012)"},"properties":{"noteIndex":0},"schema":"https://github.com/citation-style-language/schema/raw/master/csl-citation.json"}</w:instrText>
            </w:r>
            <w:r w:rsidRPr="006B11D1">
              <w:rPr>
                <w:bCs/>
              </w:rPr>
              <w:fldChar w:fldCharType="separate"/>
            </w:r>
            <w:r w:rsidRPr="009A6580">
              <w:rPr>
                <w:bCs/>
                <w:noProof/>
              </w:rPr>
              <w:t>(Paul et al., 2012)</w:t>
            </w:r>
            <w:r w:rsidRPr="006B11D1">
              <w:rPr>
                <w:bCs/>
              </w:rPr>
              <w:fldChar w:fldCharType="end"/>
            </w:r>
          </w:p>
        </w:tc>
        <w:tc>
          <w:tcPr>
            <w:tcW w:w="2921" w:type="dxa"/>
            <w:gridSpan w:val="2"/>
          </w:tcPr>
          <w:p w14:paraId="05E430C8" w14:textId="77777777" w:rsidR="00DF5B76" w:rsidRPr="006B11D1" w:rsidRDefault="00DF5B76" w:rsidP="00DF5B76">
            <w:pPr>
              <w:rPr>
                <w:bCs/>
              </w:rPr>
            </w:pPr>
            <w:r w:rsidRPr="006B11D1">
              <w:rPr>
                <w:bCs/>
              </w:rPr>
              <w:t>Col</w:t>
            </w:r>
          </w:p>
        </w:tc>
        <w:tc>
          <w:tcPr>
            <w:tcW w:w="2045" w:type="dxa"/>
            <w:gridSpan w:val="3"/>
          </w:tcPr>
          <w:p w14:paraId="1E30135E" w14:textId="77777777" w:rsidR="00DF5B76" w:rsidRPr="006B11D1" w:rsidRDefault="00DF5B76" w:rsidP="00DF5B76">
            <w:pPr>
              <w:jc w:val="center"/>
              <w:rPr>
                <w:bCs/>
              </w:rPr>
            </w:pPr>
            <w:r w:rsidRPr="006B11D1">
              <w:rPr>
                <w:bCs/>
              </w:rPr>
              <w:t>“</w:t>
            </w:r>
          </w:p>
        </w:tc>
        <w:tc>
          <w:tcPr>
            <w:tcW w:w="2269" w:type="dxa"/>
            <w:gridSpan w:val="4"/>
          </w:tcPr>
          <w:p w14:paraId="3563C528" w14:textId="77777777" w:rsidR="00DF5B76" w:rsidRPr="006B11D1" w:rsidRDefault="00DF5B76" w:rsidP="00DF5B76">
            <w:pPr>
              <w:rPr>
                <w:bCs/>
              </w:rPr>
            </w:pPr>
            <w:r w:rsidRPr="006B11D1">
              <w:rPr>
                <w:bCs/>
              </w:rPr>
              <w:t>Microarray</w:t>
            </w:r>
          </w:p>
        </w:tc>
      </w:tr>
      <w:tr w:rsidR="007816C8" w:rsidRPr="006B11D1" w14:paraId="45661F76" w14:textId="77777777" w:rsidTr="00720A47">
        <w:trPr>
          <w:gridAfter w:val="1"/>
          <w:wAfter w:w="165" w:type="dxa"/>
        </w:trPr>
        <w:tc>
          <w:tcPr>
            <w:tcW w:w="1651" w:type="dxa"/>
            <w:gridSpan w:val="2"/>
          </w:tcPr>
          <w:p w14:paraId="493DB08A" w14:textId="77777777" w:rsidR="00DF5B76" w:rsidRPr="006B11D1" w:rsidRDefault="00DF5B76" w:rsidP="00DF5B76">
            <w:pPr>
              <w:rPr>
                <w:bCs/>
              </w:rPr>
            </w:pPr>
            <w:r w:rsidRPr="006B11D1">
              <w:rPr>
                <w:bCs/>
              </w:rPr>
              <w:t>GLDS-37</w:t>
            </w:r>
          </w:p>
        </w:tc>
        <w:tc>
          <w:tcPr>
            <w:tcW w:w="2810" w:type="dxa"/>
            <w:gridSpan w:val="2"/>
          </w:tcPr>
          <w:p w14:paraId="5EAA8648" w14:textId="77777777" w:rsidR="00DF5B76" w:rsidRPr="006B11D1" w:rsidRDefault="00DF5B76" w:rsidP="00DF5B76">
            <w:pPr>
              <w:rPr>
                <w:bCs/>
              </w:rPr>
            </w:pPr>
            <w:r w:rsidRPr="006B11D1">
              <w:rPr>
                <w:bCs/>
              </w:rPr>
              <w:fldChar w:fldCharType="begin" w:fldLock="1"/>
            </w:r>
            <w:r>
              <w:rPr>
                <w:bCs/>
              </w:rPr>
              <w:instrText>ADDIN CSL_CITATION {"citationItems":[{"id":"ITEM-1","itemData":{"DOI":"10.1002/ajb2.1223","ISSN":"00029122","author":[{"dropping-particle":"","family":"Choi","given":"Won Gyu","non-dropping-particle":"","parse-names":false,"suffix":""},{"dropping-particle":"","family":"Barker","given":"Richard J.","non-dropping-particle":"","parse-names":false,"suffix":""},{"dropping-particle":"","family":"Kim","given":"Su Hwa","non-dropping-particle":"","parse-names":false,"suffix":""},{"dropping-particle":"","family":"Swanson","given":"Sarah J.","non-dropping-particle":"","parse-names":false,"suffix":""},{"dropping-particle":"","family":"Gilroy","given":"Simon","non-dropping-particle":"","parse-names":false,"suffix":""}],"container-title":"American Journal of Botany","id":"ITEM-1","issue":"1","issued":{"date-parts":[["2019"]]},"page":"123-136","title":"Variation in the transcriptome of different ecotypes of Arabidopsis thaliana reveals signatures of oxidative stress in plant responses to spaceflight","type":"article-journal","volume":"106"},"uris":["http://www.mendeley.com/documents/?uuid=efaff29b-592e-44b3-ba2d-f4fa8d79788b"]}],"mendeley":{"formattedCitation":"(Choi et al., 2019)","plainTextFormattedCitation":"(Choi et al., 2019)","previouslyFormattedCitation":"(Choi et al., 2019)"},"properties":{"noteIndex":0},"schema":"https://github.com/citation-style-language/schema/raw/master/csl-citation.json"}</w:instrText>
            </w:r>
            <w:r w:rsidRPr="006B11D1">
              <w:rPr>
                <w:bCs/>
              </w:rPr>
              <w:fldChar w:fldCharType="separate"/>
            </w:r>
            <w:r w:rsidRPr="009A6580">
              <w:rPr>
                <w:bCs/>
                <w:noProof/>
              </w:rPr>
              <w:t>(Choi et al., 2019)</w:t>
            </w:r>
            <w:r w:rsidRPr="006B11D1">
              <w:rPr>
                <w:bCs/>
              </w:rPr>
              <w:fldChar w:fldCharType="end"/>
            </w:r>
          </w:p>
        </w:tc>
        <w:tc>
          <w:tcPr>
            <w:tcW w:w="2921" w:type="dxa"/>
            <w:gridSpan w:val="2"/>
          </w:tcPr>
          <w:p w14:paraId="4EEE646D" w14:textId="77777777" w:rsidR="00DF5B76" w:rsidRPr="006B11D1" w:rsidRDefault="00DF5B76" w:rsidP="00DF5B76">
            <w:pPr>
              <w:rPr>
                <w:bCs/>
              </w:rPr>
            </w:pPr>
            <w:r w:rsidRPr="006B11D1">
              <w:rPr>
                <w:bCs/>
              </w:rPr>
              <w:t xml:space="preserve">Col, WS, </w:t>
            </w:r>
            <w:proofErr w:type="spellStart"/>
            <w:r w:rsidRPr="006B11D1">
              <w:rPr>
                <w:bCs/>
              </w:rPr>
              <w:t>Ler</w:t>
            </w:r>
            <w:proofErr w:type="spellEnd"/>
            <w:r w:rsidRPr="006B11D1">
              <w:rPr>
                <w:bCs/>
              </w:rPr>
              <w:t xml:space="preserve">, </w:t>
            </w:r>
            <w:proofErr w:type="spellStart"/>
            <w:r w:rsidRPr="006B11D1">
              <w:rPr>
                <w:bCs/>
              </w:rPr>
              <w:t>Cvi</w:t>
            </w:r>
            <w:proofErr w:type="spellEnd"/>
          </w:p>
        </w:tc>
        <w:tc>
          <w:tcPr>
            <w:tcW w:w="2045" w:type="dxa"/>
            <w:gridSpan w:val="3"/>
          </w:tcPr>
          <w:p w14:paraId="2A8F957F" w14:textId="77777777" w:rsidR="00DF5B76" w:rsidRPr="006B11D1" w:rsidRDefault="00DF5B76" w:rsidP="00DF5B76">
            <w:pPr>
              <w:jc w:val="center"/>
              <w:rPr>
                <w:bCs/>
              </w:rPr>
            </w:pPr>
            <w:r w:rsidRPr="006B11D1">
              <w:rPr>
                <w:bCs/>
              </w:rPr>
              <w:t>“</w:t>
            </w:r>
          </w:p>
        </w:tc>
        <w:tc>
          <w:tcPr>
            <w:tcW w:w="2269" w:type="dxa"/>
            <w:gridSpan w:val="4"/>
          </w:tcPr>
          <w:p w14:paraId="6166F231" w14:textId="77777777" w:rsidR="00DF5B76" w:rsidRPr="006B11D1" w:rsidRDefault="00DF5B76" w:rsidP="00DF5B76">
            <w:pPr>
              <w:rPr>
                <w:bCs/>
              </w:rPr>
            </w:pPr>
            <w:proofErr w:type="spellStart"/>
            <w:r w:rsidRPr="006B11D1">
              <w:rPr>
                <w:bCs/>
              </w:rPr>
              <w:t>RNAseq</w:t>
            </w:r>
            <w:proofErr w:type="spellEnd"/>
          </w:p>
        </w:tc>
      </w:tr>
      <w:tr w:rsidR="007816C8" w:rsidRPr="006B11D1" w14:paraId="7C507F52" w14:textId="77777777" w:rsidTr="00720A47">
        <w:trPr>
          <w:gridAfter w:val="1"/>
          <w:wAfter w:w="165" w:type="dxa"/>
        </w:trPr>
        <w:tc>
          <w:tcPr>
            <w:tcW w:w="1651" w:type="dxa"/>
            <w:gridSpan w:val="2"/>
          </w:tcPr>
          <w:p w14:paraId="79D1CDA7" w14:textId="77777777" w:rsidR="00DF5B76" w:rsidRPr="006B11D1" w:rsidRDefault="00DF5B76" w:rsidP="00DF5B76">
            <w:pPr>
              <w:rPr>
                <w:bCs/>
              </w:rPr>
            </w:pPr>
            <w:r w:rsidRPr="006B11D1">
              <w:rPr>
                <w:bCs/>
              </w:rPr>
              <w:t>GLDS-38</w:t>
            </w:r>
          </w:p>
        </w:tc>
        <w:tc>
          <w:tcPr>
            <w:tcW w:w="2810" w:type="dxa"/>
            <w:gridSpan w:val="2"/>
          </w:tcPr>
          <w:p w14:paraId="00CB6D11" w14:textId="77777777" w:rsidR="00DF5B76" w:rsidRPr="006B11D1" w:rsidRDefault="00DF5B76" w:rsidP="00DF5B76">
            <w:pPr>
              <w:rPr>
                <w:bCs/>
              </w:rPr>
            </w:pPr>
            <w:r w:rsidRPr="006B11D1">
              <w:rPr>
                <w:bCs/>
              </w:rPr>
              <w:t>NA</w:t>
            </w:r>
          </w:p>
        </w:tc>
        <w:tc>
          <w:tcPr>
            <w:tcW w:w="2921" w:type="dxa"/>
            <w:gridSpan w:val="2"/>
          </w:tcPr>
          <w:p w14:paraId="1723E026" w14:textId="77777777" w:rsidR="00DF5B76" w:rsidRPr="006B11D1" w:rsidRDefault="00DF5B76" w:rsidP="00DF5B76">
            <w:pPr>
              <w:rPr>
                <w:bCs/>
              </w:rPr>
            </w:pPr>
            <w:r w:rsidRPr="006B11D1">
              <w:rPr>
                <w:bCs/>
              </w:rPr>
              <w:t>Col</w:t>
            </w:r>
          </w:p>
        </w:tc>
        <w:tc>
          <w:tcPr>
            <w:tcW w:w="2045" w:type="dxa"/>
            <w:gridSpan w:val="3"/>
          </w:tcPr>
          <w:p w14:paraId="565AC368" w14:textId="77777777" w:rsidR="00DF5B76" w:rsidRPr="006B11D1" w:rsidRDefault="00DF5B76" w:rsidP="00DF5B76">
            <w:pPr>
              <w:jc w:val="center"/>
              <w:rPr>
                <w:bCs/>
              </w:rPr>
            </w:pPr>
            <w:r w:rsidRPr="006B11D1">
              <w:rPr>
                <w:bCs/>
              </w:rPr>
              <w:t>“</w:t>
            </w:r>
          </w:p>
        </w:tc>
        <w:tc>
          <w:tcPr>
            <w:tcW w:w="2269" w:type="dxa"/>
            <w:gridSpan w:val="4"/>
          </w:tcPr>
          <w:p w14:paraId="73075B8F" w14:textId="77777777" w:rsidR="00DF5B76" w:rsidRPr="006B11D1" w:rsidRDefault="00DF5B76" w:rsidP="00DF5B76">
            <w:pPr>
              <w:rPr>
                <w:bCs/>
              </w:rPr>
            </w:pPr>
            <w:proofErr w:type="spellStart"/>
            <w:r w:rsidRPr="006B11D1">
              <w:rPr>
                <w:bCs/>
              </w:rPr>
              <w:t>RNAseq</w:t>
            </w:r>
            <w:proofErr w:type="spellEnd"/>
          </w:p>
        </w:tc>
      </w:tr>
      <w:tr w:rsidR="007816C8" w:rsidRPr="006B11D1" w14:paraId="23296F0E" w14:textId="77777777" w:rsidTr="00720A47">
        <w:trPr>
          <w:gridAfter w:val="1"/>
          <w:wAfter w:w="165" w:type="dxa"/>
        </w:trPr>
        <w:tc>
          <w:tcPr>
            <w:tcW w:w="1651" w:type="dxa"/>
            <w:gridSpan w:val="2"/>
          </w:tcPr>
          <w:p w14:paraId="37316F17" w14:textId="77777777" w:rsidR="00DF5B76" w:rsidRPr="006B11D1" w:rsidRDefault="00DF5B76" w:rsidP="00DF5B76">
            <w:pPr>
              <w:rPr>
                <w:bCs/>
              </w:rPr>
            </w:pPr>
            <w:r w:rsidRPr="006B11D1">
              <w:rPr>
                <w:bCs/>
              </w:rPr>
              <w:t>GLDS-44</w:t>
            </w:r>
          </w:p>
        </w:tc>
        <w:tc>
          <w:tcPr>
            <w:tcW w:w="2810" w:type="dxa"/>
            <w:gridSpan w:val="2"/>
          </w:tcPr>
          <w:p w14:paraId="7E7F9A65" w14:textId="77777777" w:rsidR="00DF5B76" w:rsidRPr="006B11D1" w:rsidRDefault="00DF5B76" w:rsidP="00DF5B76">
            <w:pPr>
              <w:rPr>
                <w:bCs/>
              </w:rPr>
            </w:pPr>
            <w:r w:rsidRPr="006B11D1">
              <w:rPr>
                <w:bCs/>
              </w:rPr>
              <w:fldChar w:fldCharType="begin" w:fldLock="1"/>
            </w:r>
            <w:r>
              <w:rPr>
                <w:bCs/>
              </w:rPr>
              <w:instrText>ADDIN CSL_CITATION {"citationItems":[{"id":"ITEM-1","itemData":{"DOI":"10.3732/ajb.1400458","ISSN":"00029122","abstract":"UNLABELLED • PREMISE OF THE STUDY Plants will be an important component of advanced life support systems during space exploration missions. Therefore, understanding their biology in the spacecraft environment will be essential before they can be used for such systems.• METHODS Seedlings of Arabidopsis thaliana were grown for 2 wk in the Biological Research in Canisters (BRIC) hardware on board the second to the last mission of the space shuttle Discovery (STS-131). Transcript profiles between ground controls and space-grown seedlings were compared using stringent selection criteria.• KEY RESULTS Expression of transcripts associated with oxidative stress and cell wall remodeling was repressed in microgravity. These downregulated genes were previously shown to be enriched in root hairs consistent with seedling phenotypes observed in space. Mutations in genes that were downregulated in microgravity, including two uncharacterized root hair-expressed class III peroxidase genes (PRX44 and PRX57), led to defective polar root hair growth on Earth. PRX44 and PRX57 mutants had ruptured root hairs, which is a typical phenotype of tip-growing cells with defective cell walls and those subjected to stress.• CONCLUSIONS Long-term exposure to microgravity negatively impacts tip growth by repressing expression of genes essential for normal root hair development. Whereas changes in peroxidase gene expression leading to reduced root hair growth in space are actin-independent, root hair development modulated by phosphoinositides could be dependent on the actin cytoskeleton. These results have profound implications for plant adaptation to microgravity given the importance of tip growing cells such as root hairs for efficient nutrient capture.","author":[{"dropping-particle":"","family":"Kwon","given":"Taegun","non-dropping-particle":"","parse-names":false,"suffix":""},{"dropping-particle":"","family":"Alan Sparks","given":"J.","non-dropping-particle":"","parse-names":false,"suffix":""},{"dropping-particle":"","family":"Nakashima","given":"Jin","non-dropping-particle":"","parse-names":false,"suffix":""},{"dropping-particle":"","family":"Allen","given":"Stacy N.","non-dropping-particle":"","parse-names":false,"suffix":""},{"dropping-particle":"","family":"Tang","given":"Yuhong","non-dropping-particle":"","parse-names":false,"suffix":""},{"dropping-particle":"","family":"Blancaflor","given":"Elison B.","non-dropping-particle":"","parse-names":false,"suffix":""}],"container-title":"American Journal of Botany","id":"ITEM-1","issue":"1","issued":{"date-parts":[["2015"]]},"page":"21-35","title":"Transcriptional response of arabidopsis seedlings during spaceflight reveals peroxidase and cell wall remodeling genes associated with root hair development","type":"article-journal","volume":"102"},"uris":["http://www.mendeley.com/documents/?uuid=0a180320-2bcb-43c8-ae17-c83879cd91c2"]}],"mendeley":{"formattedCitation":"(Kwon et al., 2015)","plainTextFormattedCitation":"(Kwon et al., 2015)","previouslyFormattedCitation":"(Kwon et al., 2015)"},"properties":{"noteIndex":0},"schema":"https://github.com/citation-style-language/schema/raw/master/csl-citation.json"}</w:instrText>
            </w:r>
            <w:r w:rsidRPr="006B11D1">
              <w:rPr>
                <w:bCs/>
              </w:rPr>
              <w:fldChar w:fldCharType="separate"/>
            </w:r>
            <w:r w:rsidRPr="009A6580">
              <w:rPr>
                <w:bCs/>
                <w:noProof/>
              </w:rPr>
              <w:t>(Kwon et al., 2015)</w:t>
            </w:r>
            <w:r w:rsidRPr="006B11D1">
              <w:rPr>
                <w:bCs/>
              </w:rPr>
              <w:fldChar w:fldCharType="end"/>
            </w:r>
          </w:p>
        </w:tc>
        <w:tc>
          <w:tcPr>
            <w:tcW w:w="2921" w:type="dxa"/>
            <w:gridSpan w:val="2"/>
          </w:tcPr>
          <w:p w14:paraId="00531B1E" w14:textId="77777777" w:rsidR="00DF5B76" w:rsidRPr="006B11D1" w:rsidRDefault="00DF5B76" w:rsidP="00DF5B76">
            <w:pPr>
              <w:rPr>
                <w:bCs/>
                <w:i/>
                <w:iCs/>
              </w:rPr>
            </w:pPr>
            <w:r w:rsidRPr="006B11D1">
              <w:rPr>
                <w:bCs/>
                <w:iCs/>
              </w:rPr>
              <w:t>Col,</w:t>
            </w:r>
            <w:r w:rsidRPr="006B11D1">
              <w:rPr>
                <w:bCs/>
                <w:i/>
              </w:rPr>
              <w:t xml:space="preserve"> act2-3</w:t>
            </w:r>
          </w:p>
        </w:tc>
        <w:tc>
          <w:tcPr>
            <w:tcW w:w="2045" w:type="dxa"/>
            <w:gridSpan w:val="3"/>
          </w:tcPr>
          <w:p w14:paraId="0F43FC48" w14:textId="77777777" w:rsidR="00DF5B76" w:rsidRPr="006B11D1" w:rsidRDefault="00DF5B76" w:rsidP="00DF5B76">
            <w:pPr>
              <w:jc w:val="center"/>
              <w:rPr>
                <w:bCs/>
              </w:rPr>
            </w:pPr>
            <w:r w:rsidRPr="006B11D1">
              <w:rPr>
                <w:bCs/>
              </w:rPr>
              <w:t>“</w:t>
            </w:r>
          </w:p>
        </w:tc>
        <w:tc>
          <w:tcPr>
            <w:tcW w:w="2269" w:type="dxa"/>
            <w:gridSpan w:val="4"/>
          </w:tcPr>
          <w:p w14:paraId="3E321A58" w14:textId="77777777" w:rsidR="00DF5B76" w:rsidRPr="006B11D1" w:rsidRDefault="00DF5B76" w:rsidP="00DF5B76">
            <w:pPr>
              <w:rPr>
                <w:bCs/>
              </w:rPr>
            </w:pPr>
            <w:r w:rsidRPr="006B11D1">
              <w:rPr>
                <w:bCs/>
              </w:rPr>
              <w:t>Microarray</w:t>
            </w:r>
          </w:p>
        </w:tc>
      </w:tr>
      <w:tr w:rsidR="007816C8" w:rsidRPr="006B11D1" w14:paraId="0D95D5A3" w14:textId="77777777" w:rsidTr="00720A47">
        <w:trPr>
          <w:gridAfter w:val="1"/>
          <w:wAfter w:w="165" w:type="dxa"/>
        </w:trPr>
        <w:tc>
          <w:tcPr>
            <w:tcW w:w="1651" w:type="dxa"/>
            <w:gridSpan w:val="2"/>
          </w:tcPr>
          <w:p w14:paraId="079623E9" w14:textId="77777777" w:rsidR="00DF5B76" w:rsidRPr="006B11D1" w:rsidRDefault="00DF5B76" w:rsidP="00DF5B76">
            <w:pPr>
              <w:rPr>
                <w:bCs/>
              </w:rPr>
            </w:pPr>
            <w:r w:rsidRPr="006B11D1">
              <w:rPr>
                <w:bCs/>
              </w:rPr>
              <w:t>GLDS-57</w:t>
            </w:r>
          </w:p>
        </w:tc>
        <w:tc>
          <w:tcPr>
            <w:tcW w:w="2810" w:type="dxa"/>
            <w:gridSpan w:val="2"/>
          </w:tcPr>
          <w:p w14:paraId="25EC617C" w14:textId="77777777" w:rsidR="00DF5B76" w:rsidRPr="006B11D1" w:rsidRDefault="00DF5B76" w:rsidP="00DF5B76">
            <w:pPr>
              <w:rPr>
                <w:bCs/>
              </w:rPr>
            </w:pPr>
            <w:r w:rsidRPr="006B11D1">
              <w:rPr>
                <w:bCs/>
              </w:rPr>
              <w:fldChar w:fldCharType="begin" w:fldLock="1"/>
            </w:r>
            <w:r w:rsidRPr="006B11D1">
              <w:rPr>
                <w:bCs/>
              </w:rPr>
              <w:instrText>ADDIN CSL_CITATION {"citationItems":[{"id":"ITEM-1","itemData":{"DOI":"10.1007/s00425-008-0817-y","ISSN":"00320935","abstract":"This work describes a rare high-throughput evaluation of gene expression changes induced by space flight in a single plant cell. The cell evaluated is the spore of the fern Ceratopteris richardii, which exhibits both perception and response to gravity. cDNA microarray and Q RT-PCR analysis of spores germinating in microgravity onboard NASA space shuttle flight STS-93 revealed changes in the mRNA expression of roughly 5% of genes analyzed. These gene expression changes were compared with gene expression changes that occur during gravity perception and response in animal cells and multicellular plants. Our data contribute to a better understanding of the impact of space flight conditions, including microgravity, on cellular growth and development, and provide insights into the adaptive strategies of individual cells in response to these conditions.","author":[{"dropping-particle":"","family":"Salmi","given":"Mari L.","non-dropping-particle":"","parse-names":false,"suffix":""},{"dropping-particle":"","family":"Roux","given":"Stanley J.","non-dropping-particle":"","parse-names":false,"suffix":""}],"container-title":"Planta","id":"ITEM-1","issue":"1","issued":{"date-parts":[["2008"]]},"page":"151-159","title":"Gene expression changes induced by space flight in single-cells of the fern Ceratopteris richardii","type":"article-journal","volume":"229"},"uris":["http://www.mendeley.com/documents/?uuid=0270b766-7a9a-475c-acfe-dea4a6c1b4f2"]}],"mendeley":{"formattedCitation":"(Salmi and Roux, 2008)","plainTextFormattedCitation":"(Salmi and Roux, 2008)","previouslyFormattedCitation":"(Salmi and Roux, 2008)"},"properties":{"noteIndex":0},"schema":"https://github.com/citation-style-language/schema/raw/master/csl-citation.json"}</w:instrText>
            </w:r>
            <w:r w:rsidRPr="006B11D1">
              <w:rPr>
                <w:bCs/>
              </w:rPr>
              <w:fldChar w:fldCharType="separate"/>
            </w:r>
            <w:r w:rsidRPr="006B11D1">
              <w:rPr>
                <w:bCs/>
                <w:noProof/>
              </w:rPr>
              <w:t>(Salmi and Roux, 2008)</w:t>
            </w:r>
            <w:r w:rsidRPr="006B11D1">
              <w:rPr>
                <w:bCs/>
              </w:rPr>
              <w:fldChar w:fldCharType="end"/>
            </w:r>
          </w:p>
        </w:tc>
        <w:tc>
          <w:tcPr>
            <w:tcW w:w="2921" w:type="dxa"/>
            <w:gridSpan w:val="2"/>
          </w:tcPr>
          <w:p w14:paraId="7864A297" w14:textId="77777777" w:rsidR="00DF5B76" w:rsidRPr="006B11D1" w:rsidRDefault="00DF5B76" w:rsidP="00DF5B76">
            <w:pPr>
              <w:rPr>
                <w:bCs/>
                <w:i/>
                <w:iCs/>
              </w:rPr>
            </w:pPr>
            <w:proofErr w:type="spellStart"/>
            <w:r w:rsidRPr="006B11D1">
              <w:rPr>
                <w:bCs/>
                <w:i/>
                <w:iCs/>
              </w:rPr>
              <w:t>Ceratopteris</w:t>
            </w:r>
            <w:proofErr w:type="spellEnd"/>
            <w:r w:rsidRPr="006B11D1">
              <w:rPr>
                <w:bCs/>
                <w:i/>
                <w:iCs/>
              </w:rPr>
              <w:t xml:space="preserve"> </w:t>
            </w:r>
            <w:proofErr w:type="spellStart"/>
            <w:r w:rsidRPr="006B11D1">
              <w:rPr>
                <w:bCs/>
                <w:i/>
                <w:iCs/>
              </w:rPr>
              <w:t>reinhardii</w:t>
            </w:r>
            <w:proofErr w:type="spellEnd"/>
          </w:p>
        </w:tc>
        <w:tc>
          <w:tcPr>
            <w:tcW w:w="2045" w:type="dxa"/>
            <w:gridSpan w:val="3"/>
          </w:tcPr>
          <w:p w14:paraId="47BE852C" w14:textId="77777777" w:rsidR="00DF5B76" w:rsidRPr="006B11D1" w:rsidRDefault="00DF5B76" w:rsidP="00DF5B76">
            <w:pPr>
              <w:jc w:val="center"/>
              <w:rPr>
                <w:bCs/>
              </w:rPr>
            </w:pPr>
            <w:r w:rsidRPr="006B11D1">
              <w:rPr>
                <w:bCs/>
              </w:rPr>
              <w:t>“</w:t>
            </w:r>
          </w:p>
        </w:tc>
        <w:tc>
          <w:tcPr>
            <w:tcW w:w="2269" w:type="dxa"/>
            <w:gridSpan w:val="4"/>
          </w:tcPr>
          <w:p w14:paraId="7307CECF" w14:textId="77777777" w:rsidR="00DF5B76" w:rsidRPr="006B11D1" w:rsidRDefault="00DF5B76" w:rsidP="00DF5B76">
            <w:pPr>
              <w:rPr>
                <w:bCs/>
              </w:rPr>
            </w:pPr>
            <w:r w:rsidRPr="006B11D1">
              <w:rPr>
                <w:bCs/>
              </w:rPr>
              <w:t>Microarray</w:t>
            </w:r>
          </w:p>
        </w:tc>
      </w:tr>
      <w:tr w:rsidR="007816C8" w:rsidRPr="006B11D1" w14:paraId="5DCADF39" w14:textId="77777777" w:rsidTr="00720A47">
        <w:trPr>
          <w:gridAfter w:val="1"/>
          <w:wAfter w:w="165" w:type="dxa"/>
        </w:trPr>
        <w:tc>
          <w:tcPr>
            <w:tcW w:w="1651" w:type="dxa"/>
            <w:gridSpan w:val="2"/>
          </w:tcPr>
          <w:p w14:paraId="48317A33" w14:textId="77777777" w:rsidR="00DF5B76" w:rsidRPr="006B11D1" w:rsidRDefault="00DF5B76" w:rsidP="00DF5B76">
            <w:pPr>
              <w:rPr>
                <w:bCs/>
              </w:rPr>
            </w:pPr>
            <w:r w:rsidRPr="006B11D1">
              <w:rPr>
                <w:bCs/>
              </w:rPr>
              <w:t>GLDS-59</w:t>
            </w:r>
          </w:p>
        </w:tc>
        <w:tc>
          <w:tcPr>
            <w:tcW w:w="2810" w:type="dxa"/>
            <w:gridSpan w:val="2"/>
          </w:tcPr>
          <w:p w14:paraId="2D29C1E8" w14:textId="77777777" w:rsidR="00DF5B76" w:rsidRPr="006B11D1" w:rsidRDefault="00DF5B76" w:rsidP="00DF5B76">
            <w:pPr>
              <w:rPr>
                <w:bCs/>
              </w:rPr>
            </w:pPr>
            <w:r w:rsidRPr="006B11D1">
              <w:rPr>
                <w:bCs/>
              </w:rPr>
              <w:fldChar w:fldCharType="begin" w:fldLock="1"/>
            </w:r>
            <w:r>
              <w:rPr>
                <w:bCs/>
              </w:rPr>
              <w:instrText>ADDIN CSL_CITATION {"citationItems":[{"id":"ITEM-1","itemData":{"DOI":"10.1186/1471-2229-14-4","ISSN":"14712229","abstract":"Background: Spaceflight environment have been shown to generate reactive oxygen species (ROS) and induce oxidative stress in plants, but little is known about the gene expression of the ROS gene network in plants grown in long-term spaceflight. The molecular response and adaptation to the spaceflight environment of Mizuna plants harvested after 27 days of cultivation onboard the International Space Station (ISS) were measured using genome-wide mRNA expression analysis (mRNA-Seq). Results: Total reads of transcripts from the Mizuna grown in the ISS as well as on the ground by mRNA-Seq showed 8,258 and 14,170 transcripts up-regulated and down-regulated, respectively, in the space-grown Mizuna when compared with those from the ground-grown Mizuna. A total of 20 in 32 ROS oxidative marker genes were up-regulated, including high expression of four hallmarks, and preferentially expressed genes associated with ROS-scavenging including thioredoxin, glutaredoxin, and alternative oxidase genes. In the transcription factors of the ROS gene network, MEKK1-MKK4-MPK3, OXI1-MKK4-MPK3, and OXI1-MPK3 of MAP cascades, induction of WRKY22 by MEKK1-MKK4-MPK3 cascade, induction of WRKY25 and repression of Zat7 by Zat12 were suggested. RbohD and RbohF genes were up-regulated preferentially in NADPH oxidase genes, which produce ROS. Conclusions: This large-scale transcriptome analysis revealed that the spaceflight environment induced oxidative stress and the ROS gene network activation in the space-grown Mizuna. Among transcripts altered in expression by space conditions, some were common genes response to abiotic and biotic stress. Furthermore, certain genes were exclusively up-regulated in Mizuna grown on the ISS. Surprisingly, Mizuna grew in space normally, as well as on the ground, demonstrating that plants can acclimate to long-term exposure in the spaceflight environment by reprogramming the expression of the ROS gene network. © 2014 Sugimoto et al.; licensee BioMed Central Ltd.","author":[{"dropping-particle":"","family":"Sugimoto","given":"Manabu","non-dropping-particle":"","parse-names":false,"suffix":""},{"dropping-particle":"","family":"Oono","given":"Youko","non-dropping-particle":"","parse-names":false,"suffix":""},{"dropping-particle":"","family":"Gusev","given":"Oleg","non-dropping-particle":"","parse-names":false,"suffix":""},{"dropping-particle":"","family":"Matsumoto","given":"Takashi","non-dropping-particle":"","parse-names":false,"suffix":""},{"dropping-particle":"","family":"Yazawa","given":"Takayuki","non-dropping-particle":"","parse-names":false,"suffix":""},{"dropping-particle":"","family":"Levinskikh","given":"Margarita A.","non-dropping-particle":"","parse-names":false,"suffix":""},{"dropping-particle":"","family":"Sychev","given":"Vladimir N.","non-dropping-particle":"","parse-names":false,"suffix":""},{"dropping-particle":"","family":"Bingham","given":"Gail E.","non-dropping-particle":"","parse-names":false,"suffix":""},{"dropping-particle":"","family":"Wheeler","given":"Raymond","non-dropping-particle":"","parse-names":false,"suffix":""},{"dropping-particle":"","family":"Hummerick","given":"Mary","non-dropping-particle":"","parse-names":false,"suffix":""}],"container-title":"BMC Plant Biology","id":"ITEM-1","issued":{"date-parts":[["2014"]]},"page":"4","title":"Genome-wide expression analysis of reactive oxygen species gene network in Mizuna plants grown in long-term spaceflight","type":"article-journal","volume":"14"},"uris":["http://www.mendeley.com/documents/?uuid=6aee4631-f072-4e99-a378-310ea93708fc"]}],"mendeley":{"formattedCitation":"(Sugimoto et al., 2014)","plainTextFormattedCitation":"(Sugimoto et al., 2014)","previouslyFormattedCitation":"(Sugimoto et al., 2014)"},"properties":{"noteIndex":0},"schema":"https://github.com/citation-style-language/schema/raw/master/csl-citation.json"}</w:instrText>
            </w:r>
            <w:r w:rsidRPr="006B11D1">
              <w:rPr>
                <w:bCs/>
              </w:rPr>
              <w:fldChar w:fldCharType="separate"/>
            </w:r>
            <w:r w:rsidRPr="009A6580">
              <w:rPr>
                <w:bCs/>
                <w:noProof/>
              </w:rPr>
              <w:t>(Sugimoto et al., 2014)</w:t>
            </w:r>
            <w:r w:rsidRPr="006B11D1">
              <w:rPr>
                <w:bCs/>
              </w:rPr>
              <w:fldChar w:fldCharType="end"/>
            </w:r>
          </w:p>
        </w:tc>
        <w:tc>
          <w:tcPr>
            <w:tcW w:w="2921" w:type="dxa"/>
            <w:gridSpan w:val="2"/>
          </w:tcPr>
          <w:p w14:paraId="3600B0C8" w14:textId="77777777" w:rsidR="00DF5B76" w:rsidRPr="006B11D1" w:rsidRDefault="00DF5B76" w:rsidP="00DF5B76">
            <w:pPr>
              <w:rPr>
                <w:bCs/>
                <w:i/>
                <w:iCs/>
              </w:rPr>
            </w:pPr>
            <w:r w:rsidRPr="006B11D1">
              <w:rPr>
                <w:bCs/>
                <w:i/>
                <w:iCs/>
              </w:rPr>
              <w:t xml:space="preserve">Brassica </w:t>
            </w:r>
            <w:proofErr w:type="spellStart"/>
            <w:r w:rsidRPr="006B11D1">
              <w:rPr>
                <w:bCs/>
                <w:i/>
                <w:iCs/>
              </w:rPr>
              <w:t>napa</w:t>
            </w:r>
            <w:proofErr w:type="spellEnd"/>
          </w:p>
        </w:tc>
        <w:tc>
          <w:tcPr>
            <w:tcW w:w="2045" w:type="dxa"/>
            <w:gridSpan w:val="3"/>
          </w:tcPr>
          <w:p w14:paraId="538AB7C8" w14:textId="77777777" w:rsidR="00DF5B76" w:rsidRPr="006B11D1" w:rsidRDefault="00DF5B76" w:rsidP="00DF5B76">
            <w:pPr>
              <w:jc w:val="center"/>
              <w:rPr>
                <w:bCs/>
              </w:rPr>
            </w:pPr>
            <w:r w:rsidRPr="006B11D1">
              <w:rPr>
                <w:bCs/>
              </w:rPr>
              <w:t>“</w:t>
            </w:r>
          </w:p>
        </w:tc>
        <w:tc>
          <w:tcPr>
            <w:tcW w:w="2269" w:type="dxa"/>
            <w:gridSpan w:val="4"/>
          </w:tcPr>
          <w:p w14:paraId="0BB9464E" w14:textId="77777777" w:rsidR="00DF5B76" w:rsidRPr="006B11D1" w:rsidRDefault="00DF5B76" w:rsidP="00DF5B76">
            <w:pPr>
              <w:rPr>
                <w:bCs/>
              </w:rPr>
            </w:pPr>
            <w:proofErr w:type="spellStart"/>
            <w:r w:rsidRPr="006B11D1">
              <w:rPr>
                <w:bCs/>
              </w:rPr>
              <w:t>RNAseq</w:t>
            </w:r>
            <w:proofErr w:type="spellEnd"/>
          </w:p>
        </w:tc>
      </w:tr>
      <w:tr w:rsidR="007816C8" w:rsidRPr="006B11D1" w14:paraId="5DF34B18" w14:textId="77777777" w:rsidTr="00720A47">
        <w:trPr>
          <w:gridAfter w:val="1"/>
          <w:wAfter w:w="165" w:type="dxa"/>
        </w:trPr>
        <w:tc>
          <w:tcPr>
            <w:tcW w:w="1651" w:type="dxa"/>
            <w:gridSpan w:val="2"/>
          </w:tcPr>
          <w:p w14:paraId="4AE27316" w14:textId="77777777" w:rsidR="00DF5B76" w:rsidRPr="006B11D1" w:rsidRDefault="00DF5B76" w:rsidP="00DF5B76">
            <w:pPr>
              <w:rPr>
                <w:bCs/>
              </w:rPr>
            </w:pPr>
            <w:r w:rsidRPr="006B11D1">
              <w:rPr>
                <w:bCs/>
              </w:rPr>
              <w:t>GLDS-120</w:t>
            </w:r>
          </w:p>
        </w:tc>
        <w:tc>
          <w:tcPr>
            <w:tcW w:w="2810" w:type="dxa"/>
            <w:gridSpan w:val="2"/>
          </w:tcPr>
          <w:p w14:paraId="6C65E39D" w14:textId="77777777" w:rsidR="00DF5B76" w:rsidRPr="006B11D1" w:rsidRDefault="00DF5B76" w:rsidP="00DF5B76">
            <w:pPr>
              <w:rPr>
                <w:bCs/>
              </w:rPr>
            </w:pPr>
            <w:r w:rsidRPr="006B11D1">
              <w:rPr>
                <w:bCs/>
              </w:rPr>
              <w:fldChar w:fldCharType="begin" w:fldLock="1"/>
            </w:r>
            <w:r>
              <w:rPr>
                <w:bCs/>
              </w:rPr>
              <w:instrText>ADDIN CSL_CITATION {"citationItems":[{"id":"ITEM-1","itemData":{"DOI":"10.1371/journal.pone.0180186","ISSN":"19326203","abstract":"Experimentation on the International Space Station has reached the stage where repeated and nuanced transcriptome studies are beginning to illuminate the structural and metabolic differences between plants grown in space compared to plants on the Earth. Genes that are important in establishing the spaceflight responses are being identified, their roles in spaceflight physiological adaptation are increasingly understood, and the fact that different genotypes adapt differently is recognized. However, the basic question of whether these spaceflight responses are actually required for survival has yet to be posed, and the fundamental notion that spaceflight responses may be non-adaptive has yet to be explored. Therefore the experiments presented here were designed to ask if portions of the plant spaceflight response can be genetically removed without causing loss of spaceflight survival and without causing increased stress responses. The CARA experiment compared the spaceflight transcriptome responses in the root tips of two Arabidopsis ecotypes, Col-0 and WS, as well as that of a PhyD mutant of Col-0. When grown with the ambient light of the ISS, phyD plants displayed a significantly reduced spaceflight transcriptome response compared to Col-0, suggesting that altering the activity of a single gene can actually improve spaceflight adaptation by reducing the transcriptome cost of physiological adaptation. The WS genotype showed an even simpler spaceflight transcriptome response in the ambient light of the ISS, more broadly indicating that the plant genotype can be manipulated to reduce the cost of spaceflight adaptation, as measured by transcriptional response. These differential genotypic responses suggest that genetic manipulation could further reduce, or perhaps eliminate the metabolic cost of spaceflight adaptation. When plants were germinated and then left in the dark on the ISS, the WS genotype actually mounted a larger transcriptome response than Col-0, suggesting that the in-space light environment affects physiological adaptation, which implies that manipulating the local habitat can also substantially impact the metabolic cost of spaceflight adaptation.","author":[{"dropping-particle":"","family":"Paul","given":"Anna Lisa","non-dropping-particle":"","parse-names":false,"suffix":""},{"dropping-particle":"","family":"Sng","given":"Natasha J.","non-dropping-particle":"","parse-names":false,"suffix":""},{"dropping-particle":"","family":"Zupanska","given":"Agata K.","non-dropping-particle":"","parse-names":false,"suffix":""},{"dropping-particle":"","family":"Krishnamurthy","given":"Aparna","non-dropping-particle":"","parse-names":false,"suffix":""},{"dropping-particle":"","family":"Schultz","given":"Eric R.","non-dropping-particle":"","parse-names":false,"suffix":""},{"dropping-particle":"","family":"Ferl","given":"Robert J.","non-dropping-particle":"","parse-names":false,"suffix":""}],"container-title":"PLoS ONE","id":"ITEM-1","issue":"6","issued":{"date-parts":[["2017"]]},"page":"e0180186","title":"Genetic dissection of the Arabidopsis spaceflight transcriptome: Are some responses dispensable for the physiological adaptation of plants to spaceflight?","type":"article-journal","volume":"12"},"uris":["http://www.mendeley.com/documents/?uuid=cc38328b-f2c2-42c3-a4d6-5b42d4dcb5ba"]}],"mendeley":{"formattedCitation":"(Paul et al., 2017)","plainTextFormattedCitation":"(Paul et al., 2017)","previouslyFormattedCitation":"(Paul et al., 2017)"},"properties":{"noteIndex":0},"schema":"https://github.com/citation-style-language/schema/raw/master/csl-citation.json"}</w:instrText>
            </w:r>
            <w:r w:rsidRPr="006B11D1">
              <w:rPr>
                <w:bCs/>
              </w:rPr>
              <w:fldChar w:fldCharType="separate"/>
            </w:r>
            <w:r w:rsidRPr="009A6580">
              <w:rPr>
                <w:bCs/>
                <w:noProof/>
              </w:rPr>
              <w:t>(Paul et al., 2017)</w:t>
            </w:r>
            <w:r w:rsidRPr="006B11D1">
              <w:rPr>
                <w:bCs/>
              </w:rPr>
              <w:fldChar w:fldCharType="end"/>
            </w:r>
          </w:p>
        </w:tc>
        <w:tc>
          <w:tcPr>
            <w:tcW w:w="2921" w:type="dxa"/>
            <w:gridSpan w:val="2"/>
          </w:tcPr>
          <w:p w14:paraId="1BD9E8F6" w14:textId="77777777" w:rsidR="00DF5B76" w:rsidRPr="006B11D1" w:rsidRDefault="00DF5B76" w:rsidP="00DF5B76">
            <w:pPr>
              <w:rPr>
                <w:bCs/>
              </w:rPr>
            </w:pPr>
            <w:proofErr w:type="spellStart"/>
            <w:r w:rsidRPr="006B11D1">
              <w:rPr>
                <w:bCs/>
                <w:i/>
              </w:rPr>
              <w:t>phyD</w:t>
            </w:r>
            <w:proofErr w:type="spellEnd"/>
            <w:r w:rsidRPr="006B11D1">
              <w:rPr>
                <w:bCs/>
              </w:rPr>
              <w:t xml:space="preserve">, WS, Col </w:t>
            </w:r>
          </w:p>
        </w:tc>
        <w:tc>
          <w:tcPr>
            <w:tcW w:w="2045" w:type="dxa"/>
            <w:gridSpan w:val="3"/>
          </w:tcPr>
          <w:p w14:paraId="11CAE0A3" w14:textId="77777777" w:rsidR="00DF5B76" w:rsidRPr="006B11D1" w:rsidRDefault="00DF5B76" w:rsidP="00DF5B76">
            <w:pPr>
              <w:jc w:val="center"/>
              <w:rPr>
                <w:bCs/>
              </w:rPr>
            </w:pPr>
            <w:r w:rsidRPr="006B11D1">
              <w:rPr>
                <w:bCs/>
              </w:rPr>
              <w:t>“</w:t>
            </w:r>
          </w:p>
        </w:tc>
        <w:tc>
          <w:tcPr>
            <w:tcW w:w="2269" w:type="dxa"/>
            <w:gridSpan w:val="4"/>
          </w:tcPr>
          <w:p w14:paraId="2F189AB1" w14:textId="495D05EB" w:rsidR="00DF5B76" w:rsidRPr="006B11D1" w:rsidRDefault="00DF5B76" w:rsidP="00DF5B76">
            <w:pPr>
              <w:rPr>
                <w:bCs/>
              </w:rPr>
            </w:pPr>
            <w:proofErr w:type="spellStart"/>
            <w:r w:rsidRPr="006B11D1">
              <w:rPr>
                <w:bCs/>
              </w:rPr>
              <w:t>RNAseq</w:t>
            </w:r>
            <w:proofErr w:type="spellEnd"/>
            <w:r w:rsidRPr="006B11D1">
              <w:rPr>
                <w:bCs/>
              </w:rPr>
              <w:t xml:space="preserve"> </w:t>
            </w:r>
          </w:p>
        </w:tc>
      </w:tr>
      <w:tr w:rsidR="007816C8" w:rsidRPr="006B11D1" w14:paraId="366B9F1D" w14:textId="77777777" w:rsidTr="00720A47">
        <w:trPr>
          <w:gridAfter w:val="1"/>
          <w:wAfter w:w="165" w:type="dxa"/>
        </w:trPr>
        <w:tc>
          <w:tcPr>
            <w:tcW w:w="1651" w:type="dxa"/>
            <w:gridSpan w:val="2"/>
          </w:tcPr>
          <w:p w14:paraId="5994CCE8" w14:textId="77777777" w:rsidR="00DF5B76" w:rsidRPr="006B11D1" w:rsidRDefault="00DF5B76" w:rsidP="00DF5B76">
            <w:pPr>
              <w:rPr>
                <w:bCs/>
              </w:rPr>
            </w:pPr>
            <w:r w:rsidRPr="006B11D1">
              <w:rPr>
                <w:bCs/>
              </w:rPr>
              <w:t>GLDS-121</w:t>
            </w:r>
          </w:p>
        </w:tc>
        <w:tc>
          <w:tcPr>
            <w:tcW w:w="2810" w:type="dxa"/>
            <w:gridSpan w:val="2"/>
          </w:tcPr>
          <w:p w14:paraId="3C85BD6B" w14:textId="77777777" w:rsidR="00DF5B76" w:rsidRPr="006B11D1" w:rsidRDefault="00DF5B76" w:rsidP="00DF5B76">
            <w:pPr>
              <w:rPr>
                <w:bCs/>
              </w:rPr>
            </w:pPr>
            <w:r w:rsidRPr="006B11D1">
              <w:rPr>
                <w:bCs/>
              </w:rPr>
              <w:fldChar w:fldCharType="begin" w:fldLock="1"/>
            </w:r>
            <w:r>
              <w:rPr>
                <w:bCs/>
              </w:rPr>
              <w:instrText>ADDIN CSL_CITATION {"citationItems":[{"id":"ITEM-1","itemData":{"DOI":"10.3732/ajb.1700079","ISSN":"00029122","abstract":"PREMISE OF THE STUDY Plants will play an important role in the future of space exploration as part of bioregenerative life support. Thus, it is important to understand the effects of microgravity and spaceflight on gene expression in plant development. METHODS We analyzed the transcriptome of Arabidopsis thaliana using the Biological Research in Canisters (BRIC) hardware during Space Shuttle mission STS-131. The bioinformatics methods used included RMA (robust multi-array average), MAS5 (Microarray Suite 5.0), and PLIER (probe logarithmic intensity error estimation). Glycome profiling was used to analyze cell wall composition in the samples. In addition, our results were compared to those of two other groups using the same hardware on the same mission (BRIC-16). KEY RESULTS In our BRIC-16 experiments, we noted expression changes in genes involved in hypoxia and heat shock responses, DNA repair, and cell wall structure between spaceflight samples compared to the ground controls. In addition, glycome profiling supported our expression analyses in that there was a difference in cell wall components between ground control and spaceflight-grown plants. Comparing our studies to those of the other BRIC-16 experiments demonstrated that, even with the same hardware and similar biological materials, differences in results in gene expression were found among these spaceflight experiments. CONCLUSIONS A common theme from our BRIC-16 space experiments and those of the other two groups was the downregulation of water stress response genes in spaceflight. In addition, all three studies found differential regulation of genes associated with cell wall remodeling and stress responses between spaceflight-grown and ground control plants.","author":[{"dropping-particle":"","family":"Johnson","given":"Christina M.","non-dropping-particle":"","parse-names":false,"suffix":""},{"dropping-particle":"","family":"Subramanian","given":"Aswati","non-dropping-particle":"","parse-names":false,"suffix":""},{"dropping-particle":"","family":"Pattathil","given":"Sivakumar","non-dropping-particle":"","parse-names":false,"suffix":""},{"dropping-particle":"","family":"Correll","given":"Melanie J.","non-dropping-particle":"","parse-names":false,"suffix":""},{"dropping-particle":"","family":"Kiss","given":"John Z.","non-dropping-particle":"","parse-names":false,"suffix":""}],"container-title":"American Journal of Botany","id":"ITEM-1","issue":"8","issued":{"date-parts":[["2017"]]},"page":"1219-1231","title":"Comparative transcriptomics indicate changes in cell wall organization and stress response in seedlings during spaceflight","type":"article-journal","volume":"104"},"uris":["http://www.mendeley.com/documents/?uuid=c022df84-be2e-48c9-9499-32b670a20da4"]}],"mendeley":{"formattedCitation":"(Johnson et al., 2017)","plainTextFormattedCitation":"(Johnson et al., 2017)","previouslyFormattedCitation":"(Johnson et al., 2017)"},"properties":{"noteIndex":0},"schema":"https://github.com/citation-style-language/schema/raw/master/csl-citation.json"}</w:instrText>
            </w:r>
            <w:r w:rsidRPr="006B11D1">
              <w:rPr>
                <w:bCs/>
              </w:rPr>
              <w:fldChar w:fldCharType="separate"/>
            </w:r>
            <w:r w:rsidRPr="009A6580">
              <w:rPr>
                <w:bCs/>
                <w:noProof/>
              </w:rPr>
              <w:t>(Johnson et al., 2017)</w:t>
            </w:r>
            <w:r w:rsidRPr="006B11D1">
              <w:rPr>
                <w:bCs/>
              </w:rPr>
              <w:fldChar w:fldCharType="end"/>
            </w:r>
          </w:p>
        </w:tc>
        <w:tc>
          <w:tcPr>
            <w:tcW w:w="2921" w:type="dxa"/>
            <w:gridSpan w:val="2"/>
          </w:tcPr>
          <w:p w14:paraId="71C0833E" w14:textId="77777777" w:rsidR="00DF5B76" w:rsidRPr="006B11D1" w:rsidRDefault="00DF5B76" w:rsidP="00DF5B76">
            <w:pPr>
              <w:rPr>
                <w:bCs/>
              </w:rPr>
            </w:pPr>
            <w:proofErr w:type="spellStart"/>
            <w:r w:rsidRPr="006B11D1">
              <w:rPr>
                <w:bCs/>
              </w:rPr>
              <w:t>Ler</w:t>
            </w:r>
            <w:proofErr w:type="spellEnd"/>
          </w:p>
        </w:tc>
        <w:tc>
          <w:tcPr>
            <w:tcW w:w="2045" w:type="dxa"/>
            <w:gridSpan w:val="3"/>
          </w:tcPr>
          <w:p w14:paraId="0177C568" w14:textId="77777777" w:rsidR="00DF5B76" w:rsidRPr="006B11D1" w:rsidRDefault="00DF5B76" w:rsidP="00DF5B76">
            <w:pPr>
              <w:jc w:val="center"/>
              <w:rPr>
                <w:bCs/>
              </w:rPr>
            </w:pPr>
            <w:r w:rsidRPr="006B11D1">
              <w:rPr>
                <w:bCs/>
              </w:rPr>
              <w:t>“</w:t>
            </w:r>
          </w:p>
        </w:tc>
        <w:tc>
          <w:tcPr>
            <w:tcW w:w="2269" w:type="dxa"/>
            <w:gridSpan w:val="4"/>
          </w:tcPr>
          <w:p w14:paraId="6ADCDF33" w14:textId="77777777" w:rsidR="00DF5B76" w:rsidRPr="006B11D1" w:rsidRDefault="00DF5B76" w:rsidP="00DF5B76">
            <w:pPr>
              <w:rPr>
                <w:bCs/>
              </w:rPr>
            </w:pPr>
            <w:r w:rsidRPr="006B11D1">
              <w:rPr>
                <w:bCs/>
              </w:rPr>
              <w:t>Microarray</w:t>
            </w:r>
          </w:p>
        </w:tc>
      </w:tr>
      <w:tr w:rsidR="007816C8" w:rsidRPr="006B11D1" w14:paraId="5FF74756" w14:textId="77777777" w:rsidTr="00720A47">
        <w:trPr>
          <w:gridAfter w:val="1"/>
          <w:wAfter w:w="165" w:type="dxa"/>
        </w:trPr>
        <w:tc>
          <w:tcPr>
            <w:tcW w:w="1651" w:type="dxa"/>
            <w:gridSpan w:val="2"/>
          </w:tcPr>
          <w:p w14:paraId="59C3FD04" w14:textId="77777777" w:rsidR="00DF5B76" w:rsidRPr="006B11D1" w:rsidRDefault="00DF5B76" w:rsidP="00DF5B76">
            <w:pPr>
              <w:rPr>
                <w:bCs/>
              </w:rPr>
            </w:pPr>
            <w:r w:rsidRPr="006B11D1">
              <w:rPr>
                <w:bCs/>
              </w:rPr>
              <w:t>GLDS-147</w:t>
            </w:r>
          </w:p>
        </w:tc>
        <w:tc>
          <w:tcPr>
            <w:tcW w:w="2810" w:type="dxa"/>
            <w:gridSpan w:val="2"/>
          </w:tcPr>
          <w:p w14:paraId="4ECE685B" w14:textId="77777777" w:rsidR="00DF5B76" w:rsidRPr="006B11D1" w:rsidRDefault="00DF5B76" w:rsidP="00DF5B76">
            <w:pPr>
              <w:rPr>
                <w:bCs/>
              </w:rPr>
            </w:pPr>
            <w:r w:rsidRPr="006B11D1">
              <w:rPr>
                <w:bCs/>
              </w:rPr>
              <w:fldChar w:fldCharType="begin" w:fldLock="1"/>
            </w:r>
            <w:r>
              <w:rPr>
                <w:bCs/>
              </w:rPr>
              <w:instrText>ADDIN CSL_CITATION {"citationItems":[{"id":"ITEM-1","itemData":{"DOI":"10.1089/ast.2016.1538","ISSN":"15311074","abstract":"Scientific access to spaceflight and especially the International Space Station has revealed that physiological adaptation to spaceflight is accompanied or enabled by changes in gene expression that significantly alter the transcriptome of cells in spaceflight. A wide range of experiments have shown that plant physiological adaptation to spaceflight involves gene expression changes that alter cell wall and other metabolisms. However, while transcriptome profiling aptly illuminates changes in gene expression that accompany spaceflight adaptation, mutation analysis is required to illuminate key elements required for that adaptation. Here we report how transcriptome profiling was used to gain insight into the spaceflight adaptation role of Altered response to gravity 1 (Arg1), a gene known to affect gravity responses in plants on Earth. The study compared expression profiles of cultured lines of Arabidopsis thaliana derived from wild-type (WT) cultivar Col-0 to profiles from a knock-out line deficient in the gene encoding ARG1 (ARG1 KO), both on the ground and in space. The cell lines were launched on SpaceX CRS-2 as part of the Cellular Expression Logic (CEL) experiment of the BRIC-17 spaceflight mission. The cultured cell lines were grown within 60 mm Petri plates in Petri Dish Fixation Units (PDFUs) that were housed within the Biological Research In Canisters (BRIC) hardware. Spaceflight samples were fixed on orbit. Differentially expressed genes were identified between the two environments (spaceflight and comparable ground controls) and the two genotypes (WT and ARG1 KO). Each genotype engaged unique genes during physiological adaptation to the spaceflight environment, with little overlap. Most of the genes altered in expression in spaceflight in WT cells were found to be Arg1-dependent, suggesting a major role for that gene in the physiological adaptation of undifferentiated cells to spaceflight. Key Words: ARG1-Spaceflight-Gene expression-Physiological adaptation-BRIC. Astrobiology 17, xxx-xxx.","author":[{"dropping-particle":"","family":"Zupanska","given":"Agata K.","non-dropping-particle":"","parse-names":false,"suffix":""},{"dropping-particle":"","family":"Schultz","given":"Eric R.","non-dropping-particle":"","parse-names":false,"suffix":""},{"dropping-particle":"","family":"Yao","given":"Jiqiang","non-dropping-particle":"","parse-names":false,"suffix":""},{"dropping-particle":"","family":"Sng","given":"Natasha J.","non-dropping-particle":"","parse-names":false,"suffix":""},{"dropping-particle":"","family":"Zhou","given":"Mingqi","non-dropping-particle":"","parse-names":false,"suffix":""},{"dropping-particle":"","family":"Callaham","given":"Jordan B.","non-dropping-particle":"","parse-names":false,"suffix":""},{"dropping-particle":"","family":"Ferl","given":"Robert J.","non-dropping-particle":"","parse-names":false,"suffix":""},{"dropping-particle":"","family":"Paul","given":"Anna Lisa","non-dropping-particle":"","parse-names":false,"suffix":""}],"container-title":"Astrobiology","id":"ITEM-1","issue":"11","issued":{"date-parts":[["2017"]]},"page":"1077-1111","title":"ARG1 Functions in the Physiological Adaptation of Undifferentiated Plant Cells to Spaceflight","type":"article-journal","volume":"17"},"uris":["http://www.mendeley.com/documents/?uuid=eae7a248-fda2-4214-be84-a03ae2d1b0c7"]}],"mendeley":{"formattedCitation":"(Zupanska et al., 2017)","plainTextFormattedCitation":"(Zupanska et al., 2017)","previouslyFormattedCitation":"(Zupanska et al., 2017)"},"properties":{"noteIndex":0},"schema":"https://github.com/citation-style-language/schema/raw/master/csl-citation.json"}</w:instrText>
            </w:r>
            <w:r w:rsidRPr="006B11D1">
              <w:rPr>
                <w:bCs/>
              </w:rPr>
              <w:fldChar w:fldCharType="separate"/>
            </w:r>
            <w:r w:rsidRPr="009A6580">
              <w:rPr>
                <w:bCs/>
                <w:noProof/>
              </w:rPr>
              <w:t>(Zupanska et al., 2017)</w:t>
            </w:r>
            <w:r w:rsidRPr="006B11D1">
              <w:rPr>
                <w:bCs/>
              </w:rPr>
              <w:fldChar w:fldCharType="end"/>
            </w:r>
          </w:p>
        </w:tc>
        <w:tc>
          <w:tcPr>
            <w:tcW w:w="2921" w:type="dxa"/>
            <w:gridSpan w:val="2"/>
          </w:tcPr>
          <w:p w14:paraId="5F864618" w14:textId="77777777" w:rsidR="00DF5B76" w:rsidRPr="006B11D1" w:rsidRDefault="00DF5B76" w:rsidP="00DF5B76">
            <w:pPr>
              <w:rPr>
                <w:bCs/>
              </w:rPr>
            </w:pPr>
            <w:r w:rsidRPr="006B11D1">
              <w:rPr>
                <w:bCs/>
                <w:iCs/>
              </w:rPr>
              <w:t>Col,</w:t>
            </w:r>
            <w:r w:rsidRPr="006B11D1">
              <w:rPr>
                <w:bCs/>
                <w:i/>
              </w:rPr>
              <w:t xml:space="preserve"> arg1</w:t>
            </w:r>
            <w:r w:rsidRPr="006B11D1">
              <w:rPr>
                <w:bCs/>
              </w:rPr>
              <w:t xml:space="preserve"> </w:t>
            </w:r>
          </w:p>
        </w:tc>
        <w:tc>
          <w:tcPr>
            <w:tcW w:w="2045" w:type="dxa"/>
            <w:gridSpan w:val="3"/>
          </w:tcPr>
          <w:p w14:paraId="3D3BFB28" w14:textId="77777777" w:rsidR="00DF5B76" w:rsidRPr="006B11D1" w:rsidRDefault="00DF5B76" w:rsidP="00DF5B76">
            <w:pPr>
              <w:jc w:val="center"/>
              <w:rPr>
                <w:bCs/>
              </w:rPr>
            </w:pPr>
            <w:r w:rsidRPr="006B11D1">
              <w:rPr>
                <w:bCs/>
              </w:rPr>
              <w:t>“</w:t>
            </w:r>
          </w:p>
        </w:tc>
        <w:tc>
          <w:tcPr>
            <w:tcW w:w="2269" w:type="dxa"/>
            <w:gridSpan w:val="4"/>
          </w:tcPr>
          <w:p w14:paraId="411F11B6" w14:textId="77777777" w:rsidR="00DF5B76" w:rsidRPr="006B11D1" w:rsidRDefault="00DF5B76" w:rsidP="00DF5B76">
            <w:pPr>
              <w:rPr>
                <w:bCs/>
              </w:rPr>
            </w:pPr>
            <w:r w:rsidRPr="006B11D1">
              <w:rPr>
                <w:bCs/>
              </w:rPr>
              <w:t>Microarray</w:t>
            </w:r>
          </w:p>
        </w:tc>
      </w:tr>
      <w:tr w:rsidR="007816C8" w:rsidRPr="006B11D1" w14:paraId="21B55097" w14:textId="77777777" w:rsidTr="00720A47">
        <w:trPr>
          <w:gridAfter w:val="1"/>
          <w:wAfter w:w="165" w:type="dxa"/>
        </w:trPr>
        <w:tc>
          <w:tcPr>
            <w:tcW w:w="1651" w:type="dxa"/>
            <w:gridSpan w:val="2"/>
          </w:tcPr>
          <w:p w14:paraId="2C788E60" w14:textId="77777777" w:rsidR="00DF5B76" w:rsidRPr="006B11D1" w:rsidRDefault="00DF5B76" w:rsidP="00DF5B76">
            <w:pPr>
              <w:rPr>
                <w:bCs/>
              </w:rPr>
            </w:pPr>
            <w:r w:rsidRPr="006B11D1">
              <w:rPr>
                <w:bCs/>
              </w:rPr>
              <w:t>GLDS-205</w:t>
            </w:r>
          </w:p>
        </w:tc>
        <w:tc>
          <w:tcPr>
            <w:tcW w:w="2810" w:type="dxa"/>
            <w:gridSpan w:val="2"/>
          </w:tcPr>
          <w:p w14:paraId="27FAD470" w14:textId="77777777" w:rsidR="00DF5B76" w:rsidRPr="006B11D1" w:rsidRDefault="00DF5B76" w:rsidP="00DF5B76">
            <w:pPr>
              <w:rPr>
                <w:bCs/>
              </w:rPr>
            </w:pPr>
            <w:r w:rsidRPr="006B11D1">
              <w:rPr>
                <w:bCs/>
              </w:rPr>
              <w:fldChar w:fldCharType="begin" w:fldLock="1"/>
            </w:r>
            <w:r>
              <w:rPr>
                <w:bCs/>
              </w:rPr>
              <w:instrText>ADDIN CSL_CITATION {"citationItems":[{"id":"ITEM-1","itemData":{"DOI":"10.3390/ijms20020390","ISSN":"14220067","abstract":"Heat Shock Factor A2 (HsfA2) is part of the Heat Shock Factor (HSF) network, and plays an essential role beyond heat shock in environmental stress responses and cellular homeostatic control. Arabidopsis thaliana cell cultures derived from wild type (WT) ecotype Col-0 and a knockout line deficient in the gene encoding HSFA2 (HSFA2 KO) were grown aboard the International Space Station (ISS) to ascertain whether the HSF network functions in the adaptation to the novel environment of spaceflight. Microarray gene expression data were analyzed using a two-part comparative approach. First, genes differentially expressed between the two environments (spaceflight to ground) were identified within the same genotype, which represented physiological adaptation to spaceflight. Second, gene expression profiles were compared between the two genotypes (HSFA2 KO to WT) within the same environment, which defined genes uniquely required by each genotype on the ground and in spaceflight-adapted states. Results showed that the endoplasmic reticulum (ER) stress and unfolded protein response (UPR) define the HSFA2 KO cells’ physiological state irrespective of the environment, and likely resulted from a deficiency in the chaperone-mediated protein folding machinery in the mutant. Results further suggested that additional to its universal stress response role, HsfA2 also has specific roles in the physiological adaptation to spaceflight through cell wall remodeling, signal perception and transduction, and starch biosynthesis. Disabling HsfA2 altered the physiological state of the cells, and impacted the mechanisms induced to adapt to spaceflight, and identified HsfA2-dependent genes that are important to the adaption of wild type cells to spaceflight. Collectively these data indicate a non-thermal role for the HSF network in spaceflight adaptation.","author":[{"dropping-particle":"","family":"Zupanska","given":"Agata K.","non-dropping-particle":"","parse-names":false,"suffix":""},{"dropping-particle":"","family":"Lefrois","given":"Collin","non-dropping-particle":"","parse-names":false,"suffix":""},{"dropping-particle":"","family":"Ferl","given":"Robert J.","non-dropping-particle":"","parse-names":false,"suffix":""},{"dropping-particle":"","family":"Paul","given":"Anna Lisa","non-dropping-particle":"","parse-names":false,"suffix":""}],"container-title":"International Journal of Molecular Sciences","id":"ITEM-1","issue":"2","issued":{"date-parts":[["2019"]]},"page":"E390","title":"HSFA2 functions in the physiological adaptation of undifferentiated plant cells to spaceflight","type":"article-journal","volume":"20"},"uris":["http://www.mendeley.com/documents/?uuid=851df615-3ca0-468d-9a5c-3f962c175313"]}],"mendeley":{"formattedCitation":"(Zupanska et al., 2019)","plainTextFormattedCitation":"(Zupanska et al., 2019)","previouslyFormattedCitation":"(Zupanska et al., 2019)"},"properties":{"noteIndex":0},"schema":"https://github.com/citation-style-language/schema/raw/master/csl-citation.json"}</w:instrText>
            </w:r>
            <w:r w:rsidRPr="006B11D1">
              <w:rPr>
                <w:bCs/>
              </w:rPr>
              <w:fldChar w:fldCharType="separate"/>
            </w:r>
            <w:r w:rsidRPr="009A6580">
              <w:rPr>
                <w:bCs/>
                <w:noProof/>
              </w:rPr>
              <w:t>(Zupanska et al., 2019)</w:t>
            </w:r>
            <w:r w:rsidRPr="006B11D1">
              <w:rPr>
                <w:bCs/>
              </w:rPr>
              <w:fldChar w:fldCharType="end"/>
            </w:r>
          </w:p>
        </w:tc>
        <w:tc>
          <w:tcPr>
            <w:tcW w:w="2921" w:type="dxa"/>
            <w:gridSpan w:val="2"/>
          </w:tcPr>
          <w:p w14:paraId="5CB4A52D" w14:textId="77777777" w:rsidR="00DF5B76" w:rsidRPr="006B11D1" w:rsidRDefault="00DF5B76" w:rsidP="00DF5B76">
            <w:pPr>
              <w:rPr>
                <w:bCs/>
              </w:rPr>
            </w:pPr>
            <w:r w:rsidRPr="006B11D1">
              <w:rPr>
                <w:bCs/>
              </w:rPr>
              <w:t xml:space="preserve">Col, </w:t>
            </w:r>
            <w:r w:rsidRPr="006B11D1">
              <w:rPr>
                <w:bCs/>
                <w:i/>
                <w:iCs/>
              </w:rPr>
              <w:t>hsfa2</w:t>
            </w:r>
          </w:p>
        </w:tc>
        <w:tc>
          <w:tcPr>
            <w:tcW w:w="2045" w:type="dxa"/>
            <w:gridSpan w:val="3"/>
          </w:tcPr>
          <w:p w14:paraId="19319D0C" w14:textId="77777777" w:rsidR="00DF5B76" w:rsidRPr="006B11D1" w:rsidRDefault="00DF5B76" w:rsidP="00DF5B76">
            <w:pPr>
              <w:jc w:val="center"/>
              <w:rPr>
                <w:bCs/>
              </w:rPr>
            </w:pPr>
            <w:r w:rsidRPr="006B11D1">
              <w:rPr>
                <w:bCs/>
              </w:rPr>
              <w:t>“</w:t>
            </w:r>
          </w:p>
        </w:tc>
        <w:tc>
          <w:tcPr>
            <w:tcW w:w="2269" w:type="dxa"/>
            <w:gridSpan w:val="4"/>
          </w:tcPr>
          <w:p w14:paraId="1F6285D7" w14:textId="77777777" w:rsidR="00DF5B76" w:rsidRPr="006B11D1" w:rsidRDefault="00DF5B76" w:rsidP="00DF5B76">
            <w:pPr>
              <w:rPr>
                <w:bCs/>
              </w:rPr>
            </w:pPr>
            <w:r w:rsidRPr="006B11D1">
              <w:rPr>
                <w:bCs/>
              </w:rPr>
              <w:t>Microarray</w:t>
            </w:r>
          </w:p>
        </w:tc>
      </w:tr>
      <w:tr w:rsidR="007816C8" w:rsidRPr="006B11D1" w14:paraId="4BD22BC7" w14:textId="77777777" w:rsidTr="00720A47">
        <w:trPr>
          <w:gridAfter w:val="1"/>
          <w:wAfter w:w="165" w:type="dxa"/>
        </w:trPr>
        <w:tc>
          <w:tcPr>
            <w:tcW w:w="1651" w:type="dxa"/>
            <w:gridSpan w:val="2"/>
          </w:tcPr>
          <w:p w14:paraId="43E16F45" w14:textId="77777777" w:rsidR="00DF5B76" w:rsidRPr="006B11D1" w:rsidRDefault="00DF5B76" w:rsidP="00DF5B76">
            <w:pPr>
              <w:rPr>
                <w:bCs/>
              </w:rPr>
            </w:pPr>
            <w:r w:rsidRPr="006B11D1">
              <w:rPr>
                <w:bCs/>
              </w:rPr>
              <w:t>GLDS-213</w:t>
            </w:r>
          </w:p>
        </w:tc>
        <w:tc>
          <w:tcPr>
            <w:tcW w:w="2810" w:type="dxa"/>
            <w:gridSpan w:val="2"/>
          </w:tcPr>
          <w:p w14:paraId="3A768FAB" w14:textId="77777777" w:rsidR="00DF5B76" w:rsidRPr="006B11D1" w:rsidRDefault="00DF5B76" w:rsidP="00DF5B76">
            <w:pPr>
              <w:rPr>
                <w:bCs/>
              </w:rPr>
            </w:pPr>
            <w:r w:rsidRPr="006B11D1">
              <w:rPr>
                <w:bCs/>
              </w:rPr>
              <w:fldChar w:fldCharType="begin" w:fldLock="1"/>
            </w:r>
            <w:r>
              <w:rPr>
                <w:bCs/>
              </w:rPr>
              <w:instrText>ADDIN CSL_CITATION {"citationItems":[{"id":"ITEM-1","itemData":{"DOI":"10.1155/2015/547495","ISSN":"23146141","abstract":"The Simbox mission was the first joint space project between Germany and China in November 2011. Eleven-day-old Arabidopsis thaliana wild type semisolid callus cultures were integrated into fully automated plant cultivation containers and exposed to spaceflight conditions within the Simbox hardware on board of the spacecraft Shenzhou 8. The related ground experiment was conducted under similar conditions. The use of an in-flight centrifuge provided a 1 g gravitational field in space. The cells were metabolically quenched after 5 days via RNA later injection. The impact on the Arabidopsis transcriptome was investigated by means of whole-genome gene expression analysis. The results show a major impact of nonmicrogravity related spaceflight conditions. Genes that were significantly altered in transcript abundance are mainly involved in protein phosphorylation and MAPK cascade-related signaling processes, as well as in the cellular defense and stress responses. In contrast to short-term effects of microgravity (seconds, minutes), this mission identified only minor changes after 5 days of microgravity. These concerned genes coding for proteins involved in the plastid-associated translation machinery, mitochondrial electron transport, and energy production.","author":[{"dropping-particle":"","family":"Fengler","given":"Svenja","non-dropping-particle":"","parse-names":false,"suffix":""},{"dropping-particle":"","family":"Spirer","given":"Ina","non-dropping-particle":"","parse-names":false,"suffix":""},{"dropping-particle":"","family":"Neef","given":"Maren","non-dropping-particle":"","parse-names":false,"suffix":""},{"dropping-particle":"","family":"Ecke","given":"Margret","non-dropping-particle":"","parse-names":false,"suffix":""},{"dropping-particle":"","family":"Nieselt","given":"Kay","non-dropping-particle":"","parse-names":false,"suffix":""},{"dropping-particle":"","family":"Hampp","given":"Rüdiger","non-dropping-particle":"","parse-names":false,"suffix":""}],"container-title":"BioMed Research International","id":"ITEM-1","issued":{"date-parts":[["2015"]]},"page":"547495","title":"A whole-genome microarray study of arabidopsis thaliana semisolid callus cultures exposed to microgravity and nonmicrogravity related spaceflight conditions for 5 days on board of Shenzhou 8","type":"article-journal","volume":"2015"},"uris":["http://www.mendeley.com/documents/?uuid=2735226e-f8ca-45ae-8776-9e7cff12c9ef"]}],"mendeley":{"formattedCitation":"(Fengler et al., 2015)","plainTextFormattedCitation":"(Fengler et al., 2015)","previouslyFormattedCitation":"(Fengler et al., 2015)"},"properties":{"noteIndex":0},"schema":"https://github.com/citation-style-language/schema/raw/master/csl-citation.json"}</w:instrText>
            </w:r>
            <w:r w:rsidRPr="006B11D1">
              <w:rPr>
                <w:bCs/>
              </w:rPr>
              <w:fldChar w:fldCharType="separate"/>
            </w:r>
            <w:r w:rsidRPr="009A6580">
              <w:rPr>
                <w:bCs/>
                <w:noProof/>
              </w:rPr>
              <w:t>(Fengler et al., 2015)</w:t>
            </w:r>
            <w:r w:rsidRPr="006B11D1">
              <w:rPr>
                <w:bCs/>
              </w:rPr>
              <w:fldChar w:fldCharType="end"/>
            </w:r>
          </w:p>
        </w:tc>
        <w:tc>
          <w:tcPr>
            <w:tcW w:w="2921" w:type="dxa"/>
            <w:gridSpan w:val="2"/>
          </w:tcPr>
          <w:p w14:paraId="717278A5" w14:textId="77777777" w:rsidR="00DF5B76" w:rsidRPr="006B11D1" w:rsidRDefault="00DF5B76" w:rsidP="00DF5B76">
            <w:pPr>
              <w:rPr>
                <w:bCs/>
              </w:rPr>
            </w:pPr>
            <w:r w:rsidRPr="006B11D1">
              <w:rPr>
                <w:bCs/>
              </w:rPr>
              <w:t xml:space="preserve">Col </w:t>
            </w:r>
          </w:p>
        </w:tc>
        <w:tc>
          <w:tcPr>
            <w:tcW w:w="2045" w:type="dxa"/>
            <w:gridSpan w:val="3"/>
          </w:tcPr>
          <w:p w14:paraId="4F8B56DD" w14:textId="77777777" w:rsidR="00DF5B76" w:rsidRPr="006B11D1" w:rsidRDefault="00DF5B76" w:rsidP="00DF5B76">
            <w:pPr>
              <w:jc w:val="center"/>
              <w:rPr>
                <w:bCs/>
              </w:rPr>
            </w:pPr>
            <w:r w:rsidRPr="006B11D1">
              <w:rPr>
                <w:bCs/>
              </w:rPr>
              <w:t>“</w:t>
            </w:r>
          </w:p>
        </w:tc>
        <w:tc>
          <w:tcPr>
            <w:tcW w:w="2269" w:type="dxa"/>
            <w:gridSpan w:val="4"/>
          </w:tcPr>
          <w:p w14:paraId="2F903F1E" w14:textId="77777777" w:rsidR="00DF5B76" w:rsidRPr="006B11D1" w:rsidRDefault="00DF5B76" w:rsidP="00DF5B76">
            <w:pPr>
              <w:rPr>
                <w:bCs/>
              </w:rPr>
            </w:pPr>
            <w:r w:rsidRPr="006B11D1">
              <w:rPr>
                <w:bCs/>
              </w:rPr>
              <w:t>Microarray</w:t>
            </w:r>
          </w:p>
        </w:tc>
      </w:tr>
      <w:tr w:rsidR="007816C8" w:rsidRPr="006B11D1" w14:paraId="2213864A" w14:textId="77777777" w:rsidTr="00720A47">
        <w:trPr>
          <w:gridAfter w:val="1"/>
          <w:wAfter w:w="165" w:type="dxa"/>
        </w:trPr>
        <w:tc>
          <w:tcPr>
            <w:tcW w:w="1651" w:type="dxa"/>
            <w:gridSpan w:val="2"/>
          </w:tcPr>
          <w:p w14:paraId="166CE28F" w14:textId="4D7F72C4" w:rsidR="00DF5B76" w:rsidRPr="006B11D1" w:rsidRDefault="00DF5B76" w:rsidP="00367B63">
            <w:pPr>
              <w:rPr>
                <w:bCs/>
              </w:rPr>
            </w:pPr>
            <w:r w:rsidRPr="006B11D1">
              <w:rPr>
                <w:bCs/>
                <w:color w:val="000000" w:themeColor="text1"/>
              </w:rPr>
              <w:t>GLDS-217</w:t>
            </w:r>
          </w:p>
        </w:tc>
        <w:tc>
          <w:tcPr>
            <w:tcW w:w="2810" w:type="dxa"/>
            <w:gridSpan w:val="2"/>
          </w:tcPr>
          <w:p w14:paraId="6A3C531A" w14:textId="77777777" w:rsidR="00DF5B76" w:rsidRPr="006B11D1" w:rsidRDefault="00DF5B76" w:rsidP="00DF5B76">
            <w:pPr>
              <w:rPr>
                <w:bCs/>
              </w:rPr>
            </w:pPr>
            <w:r w:rsidRPr="006B11D1">
              <w:rPr>
                <w:bCs/>
              </w:rPr>
              <w:fldChar w:fldCharType="begin" w:fldLock="1"/>
            </w:r>
            <w:r>
              <w:rPr>
                <w:bCs/>
              </w:rPr>
              <w:instrText>ADDIN CSL_CITATION {"citationItems":[{"id":"ITEM-1","itemData":{"DOI":"10.1186/s12864-019-5554-z","ISSN":"14712164","abstract":"Plants adapted to diverse environments on Earth throughout their evolutionary history, and developed mechanisms to thrive in a variety of terrestrial habitats. When plants are grown in the novel environment of spaceflight aboard the International Space Station (ISS), an environment completely outside their evolutionary history, they respond with unique alterations to their gene expression profile. Identifying the genes important for physiological adaptation to spaceflight and dissecting the biological processes and pathways engaged by plants during spaceflight has helped reveal spaceflight adaptation, and has furthered understanding of terrestrial growth processes. However, the underlying regulatory mechanisms responsible for these changes in gene expression patterns are just beginning to be explored. Epigenetic modifications, such as DNA methylation at position five in cytosine, has been shown to play a role in the physiological adaptation to adverse terrestrial environments, and may play a role in spaceflight as well. Whole Genome Bisulfite Sequencing of DNA of Arabidopsis grown on the ISS from seed revealed organ-specific patterns of differential methylation compared to ground controls. The overall levels of methylation in CG, CHG, and CHH contexts were similar between flight and ground DNA, however, thousands of specifically differentially methylated cytosines were discovered, and there were clear organ-specific differences in methylation patterns. Spaceflight leaves had higher methylation levels in CHG and CHH contexts within protein-coding genes in spaceflight; about a fifth of the leaf genes were also differentially regulated in spaceflight, almost half of which were associated with reactive oxygen signaling. The physiological adaptation of plants to spaceflight is likely nuanced by epigenomic modification. This is the first examination of differential genomic methylation from plants grown completely in the spaceflight environment of the ISS in plant growth hardware developed for informing exploration life support strategies. Yet even in this optimized plant habitat, plants respond as if stressed. These data suggest that gene expression associated with physiological adaptation to spaceflight is regulated in part by methylation strategies similar to those engaged with familiar terrestrial stress responses. The differential methylation maps generated here provide a useful reference for elucidating the layers of regulation of spaceflight responses.","author":[{"dropping-particle":"","family":"Zhou","given":"Mingqi","non-dropping-particle":"","parse-names":false,"suffix":""},{"dropping-particle":"","family":"Sng","given":"Natasha J.","non-dropping-particle":"","parse-names":false,"suffix":""},{"dropping-particle":"","family":"Lefrois","given":"Collin E.","non-dropping-particle":"","parse-names":false,"suffix":""},{"dropping-particle":"","family":"Paul","given":"Anna Lisa","non-dropping-particle":"","parse-names":false,"suffix":""},{"dropping-particle":"","family":"Ferl","given":"Robert J.","non-dropping-particle":"","parse-names":false,"suffix":""}],"container-title":"BMC Genomics","id":"ITEM-1","issued":{"date-parts":[["2019"]]},"page":"205","title":"Epigenomics in an extraterrestrial environment: Organ-specific alteration of DNA methylation and gene expression elicited by spaceflight in Arabidopsis thaliana","type":"article-journal","volume":"20"},"uris":["http://www.mendeley.com/documents/?uuid=97cdbe5c-5bda-40fd-bc54-407e6f49ed3d"]}],"mendeley":{"formattedCitation":"(Zhou et al., 2019)","plainTextFormattedCitation":"(Zhou et al., 2019)","previouslyFormattedCitation":"(Zhou et al., 2019)"},"properties":{"noteIndex":0},"schema":"https://github.com/citation-style-language/schema/raw/master/csl-citation.json"}</w:instrText>
            </w:r>
            <w:r w:rsidRPr="006B11D1">
              <w:rPr>
                <w:bCs/>
              </w:rPr>
              <w:fldChar w:fldCharType="separate"/>
            </w:r>
            <w:r w:rsidRPr="009A6580">
              <w:rPr>
                <w:bCs/>
                <w:noProof/>
              </w:rPr>
              <w:t>(Zhou et al., 2019)</w:t>
            </w:r>
            <w:r w:rsidRPr="006B11D1">
              <w:rPr>
                <w:bCs/>
              </w:rPr>
              <w:fldChar w:fldCharType="end"/>
            </w:r>
          </w:p>
        </w:tc>
        <w:tc>
          <w:tcPr>
            <w:tcW w:w="2921" w:type="dxa"/>
            <w:gridSpan w:val="2"/>
          </w:tcPr>
          <w:p w14:paraId="274CED68" w14:textId="77777777" w:rsidR="00DF5B76" w:rsidRPr="006B11D1" w:rsidRDefault="00DF5B76" w:rsidP="00DF5B76">
            <w:pPr>
              <w:rPr>
                <w:bCs/>
              </w:rPr>
            </w:pPr>
            <w:r w:rsidRPr="006B11D1">
              <w:rPr>
                <w:bCs/>
              </w:rPr>
              <w:t>Col &amp; WS</w:t>
            </w:r>
          </w:p>
        </w:tc>
        <w:tc>
          <w:tcPr>
            <w:tcW w:w="2045" w:type="dxa"/>
            <w:gridSpan w:val="3"/>
          </w:tcPr>
          <w:p w14:paraId="4D3C63E8" w14:textId="77777777" w:rsidR="00DF5B76" w:rsidRPr="006B11D1" w:rsidRDefault="00DF5B76" w:rsidP="00DF5B76">
            <w:pPr>
              <w:jc w:val="center"/>
              <w:rPr>
                <w:bCs/>
              </w:rPr>
            </w:pPr>
            <w:r w:rsidRPr="006B11D1">
              <w:rPr>
                <w:bCs/>
              </w:rPr>
              <w:t>“</w:t>
            </w:r>
          </w:p>
        </w:tc>
        <w:tc>
          <w:tcPr>
            <w:tcW w:w="2269" w:type="dxa"/>
            <w:gridSpan w:val="4"/>
          </w:tcPr>
          <w:p w14:paraId="20D18CCE" w14:textId="77777777" w:rsidR="00DF5B76" w:rsidRPr="006B11D1" w:rsidRDefault="00DF5B76" w:rsidP="00DF5B76">
            <w:pPr>
              <w:rPr>
                <w:bCs/>
              </w:rPr>
            </w:pPr>
            <w:proofErr w:type="spellStart"/>
            <w:r w:rsidRPr="006B11D1">
              <w:rPr>
                <w:bCs/>
              </w:rPr>
              <w:t>RNAseq</w:t>
            </w:r>
            <w:proofErr w:type="spellEnd"/>
          </w:p>
        </w:tc>
      </w:tr>
      <w:tr w:rsidR="007816C8" w:rsidRPr="006B11D1" w14:paraId="32DCDF6E" w14:textId="77777777" w:rsidTr="00720A47">
        <w:trPr>
          <w:gridAfter w:val="1"/>
          <w:wAfter w:w="165" w:type="dxa"/>
        </w:trPr>
        <w:tc>
          <w:tcPr>
            <w:tcW w:w="1651" w:type="dxa"/>
            <w:gridSpan w:val="2"/>
          </w:tcPr>
          <w:p w14:paraId="62139B59" w14:textId="77777777" w:rsidR="00DF5B76" w:rsidRPr="006B11D1" w:rsidRDefault="00DF5B76" w:rsidP="00DF5B76">
            <w:pPr>
              <w:rPr>
                <w:bCs/>
              </w:rPr>
            </w:pPr>
            <w:r w:rsidRPr="006B11D1">
              <w:rPr>
                <w:bCs/>
              </w:rPr>
              <w:t>GLDS-218</w:t>
            </w:r>
          </w:p>
        </w:tc>
        <w:tc>
          <w:tcPr>
            <w:tcW w:w="2810" w:type="dxa"/>
            <w:gridSpan w:val="2"/>
          </w:tcPr>
          <w:p w14:paraId="253B96B3" w14:textId="77777777" w:rsidR="00DF5B76" w:rsidRPr="006B11D1" w:rsidRDefault="00DF5B76" w:rsidP="00DF5B76">
            <w:pPr>
              <w:rPr>
                <w:bCs/>
              </w:rPr>
            </w:pPr>
            <w:r w:rsidRPr="006B11D1">
              <w:rPr>
                <w:bCs/>
              </w:rPr>
              <w:fldChar w:fldCharType="begin" w:fldLock="1"/>
            </w:r>
            <w:r>
              <w:rPr>
                <w:bCs/>
              </w:rPr>
              <w:instrText>ADDIN CSL_CITATION {"citationItems":[{"id":"ITEM-1","itemData":{"DOI":"10.1038/s41526-019-0070-7","ISSN":"23738065","abstract":"Plants grown in spaceflight experience novel environmental signals, including those associated with microgravity and ionizing radiation. Spaceflight triggers a response involving transcriptional reprogramming and altered cell morphology, though many aspects of this response remain uncharacterized. We analyzed the spaceflight-induced transcriptome with a focus on genes that undergo alternative splicing to examine differential splicing associated with spaceflight-an unstudied characteristic of the molecular response to spaceflight exposure. RNA sequence data obtained during the APEX03 spaceflight experiment that was collected from two Arabidopsis thaliana ecotypes at two seedling stages grown onboard the International Space Station, or as ground controls at Kennedy Space Center, were reexamined to detect alternative splicing differences induced by spaceflight. Presence/absence variation analysis was used to identify putative expression-level differences in alternatively spliced isoforms between spaceflight and ground controls and was followed by analysis of significant differential alternative splicing. This study provides the first evidence of a role for alternative splicing in the molecular processes of physiological adaptation to the spaceflight environment. npj Microgravity (2019) 5:9 ; https://doi.","author":[{"dropping-particle":"","family":"Beisel","given":"Nicole S.","non-dropping-particle":"","parse-names":false,"suffix":""},{"dropping-particle":"","family":"Noble","given":"Jerald","non-dropping-particle":"","parse-names":false,"suffix":""},{"dropping-particle":"","family":"Barbazuk","given":"W. Brad","non-dropping-particle":"","parse-names":false,"suffix":""},{"dropping-particle":"","family":"Paul","given":"Anna Lisa","non-dropping-particle":"","parse-names":false,"suffix":""},{"dropping-particle":"","family":"Ferl","given":"Robert J.","non-dropping-particle":"","parse-names":false,"suffix":""}],"container-title":"npj Microgravity","id":"ITEM-1","issued":{"date-parts":[["2019"]]},"page":"9","title":"Spaceflight-induced alternative splicing during seedling development in Arabidopsis thaliana","type":"article-journal","volume":"5"},"uris":["http://www.mendeley.com/documents/?uuid=6a790d14-312c-436b-aa1e-a9dcf7f50a06"]}],"mendeley":{"formattedCitation":"(Beisel et al., 2019)","plainTextFormattedCitation":"(Beisel et al., 2019)","previouslyFormattedCitation":"(Beisel et al., 2019)"},"properties":{"noteIndex":0},"schema":"https://github.com/citation-style-language/schema/raw/master/csl-citation.json"}</w:instrText>
            </w:r>
            <w:r w:rsidRPr="006B11D1">
              <w:rPr>
                <w:bCs/>
              </w:rPr>
              <w:fldChar w:fldCharType="separate"/>
            </w:r>
            <w:r w:rsidRPr="009A6580">
              <w:rPr>
                <w:bCs/>
                <w:noProof/>
              </w:rPr>
              <w:t>(Beisel et al., 2019)</w:t>
            </w:r>
            <w:r w:rsidRPr="006B11D1">
              <w:rPr>
                <w:bCs/>
              </w:rPr>
              <w:fldChar w:fldCharType="end"/>
            </w:r>
          </w:p>
        </w:tc>
        <w:tc>
          <w:tcPr>
            <w:tcW w:w="2921" w:type="dxa"/>
            <w:gridSpan w:val="2"/>
          </w:tcPr>
          <w:p w14:paraId="7A11240B" w14:textId="77777777" w:rsidR="00DF5B76" w:rsidRPr="006B11D1" w:rsidRDefault="00DF5B76" w:rsidP="00DF5B76">
            <w:pPr>
              <w:rPr>
                <w:bCs/>
              </w:rPr>
            </w:pPr>
            <w:r w:rsidRPr="006B11D1">
              <w:rPr>
                <w:bCs/>
              </w:rPr>
              <w:t>Col</w:t>
            </w:r>
          </w:p>
        </w:tc>
        <w:tc>
          <w:tcPr>
            <w:tcW w:w="2045" w:type="dxa"/>
            <w:gridSpan w:val="3"/>
          </w:tcPr>
          <w:p w14:paraId="7EA0C416" w14:textId="77777777" w:rsidR="00DF5B76" w:rsidRPr="006B11D1" w:rsidRDefault="00DF5B76" w:rsidP="00DF5B76">
            <w:pPr>
              <w:jc w:val="center"/>
              <w:rPr>
                <w:bCs/>
              </w:rPr>
            </w:pPr>
            <w:r w:rsidRPr="006B11D1">
              <w:rPr>
                <w:bCs/>
              </w:rPr>
              <w:t>“</w:t>
            </w:r>
          </w:p>
        </w:tc>
        <w:tc>
          <w:tcPr>
            <w:tcW w:w="2269" w:type="dxa"/>
            <w:gridSpan w:val="4"/>
          </w:tcPr>
          <w:p w14:paraId="788F7733" w14:textId="77777777" w:rsidR="00DF5B76" w:rsidRPr="006B11D1" w:rsidRDefault="00DF5B76" w:rsidP="00DF5B76">
            <w:pPr>
              <w:rPr>
                <w:bCs/>
              </w:rPr>
            </w:pPr>
            <w:proofErr w:type="spellStart"/>
            <w:r w:rsidRPr="006B11D1">
              <w:rPr>
                <w:bCs/>
              </w:rPr>
              <w:t>RNAseq</w:t>
            </w:r>
            <w:proofErr w:type="spellEnd"/>
          </w:p>
        </w:tc>
      </w:tr>
      <w:tr w:rsidR="007816C8" w:rsidRPr="006B11D1" w14:paraId="0B923A36" w14:textId="77777777" w:rsidTr="00720A47">
        <w:trPr>
          <w:gridAfter w:val="1"/>
          <w:wAfter w:w="165" w:type="dxa"/>
        </w:trPr>
        <w:tc>
          <w:tcPr>
            <w:tcW w:w="1651" w:type="dxa"/>
            <w:gridSpan w:val="2"/>
          </w:tcPr>
          <w:p w14:paraId="4E6F4935" w14:textId="77777777" w:rsidR="00DF5B76" w:rsidRPr="006B11D1" w:rsidRDefault="00DF5B76" w:rsidP="00DF5B76">
            <w:pPr>
              <w:rPr>
                <w:bCs/>
              </w:rPr>
            </w:pPr>
            <w:r w:rsidRPr="006B11D1">
              <w:rPr>
                <w:bCs/>
              </w:rPr>
              <w:lastRenderedPageBreak/>
              <w:t xml:space="preserve">GLDS-251 </w:t>
            </w:r>
          </w:p>
        </w:tc>
        <w:tc>
          <w:tcPr>
            <w:tcW w:w="2810" w:type="dxa"/>
            <w:gridSpan w:val="2"/>
          </w:tcPr>
          <w:p w14:paraId="1E5856C4" w14:textId="29C23160" w:rsidR="00DF5B76" w:rsidRPr="006B11D1" w:rsidRDefault="00157A04" w:rsidP="00DF5B76">
            <w:pPr>
              <w:rPr>
                <w:bCs/>
              </w:rPr>
            </w:pPr>
            <w:r>
              <w:rPr>
                <w:bCs/>
              </w:rPr>
              <w:t>(</w:t>
            </w:r>
            <w:r w:rsidR="00527BAE">
              <w:rPr>
                <w:bCs/>
              </w:rPr>
              <w:fldChar w:fldCharType="begin" w:fldLock="1"/>
            </w:r>
            <w:r w:rsidR="00527BAE">
              <w:rPr>
                <w:bCs/>
              </w:rPr>
              <w:instrText>ADDIN CSL_CITATION {"citationItems":[{"id":"ITEM-1","itemData":{"author":[{"dropping-particle":"","family":"Vandenbrink","given":"Joshua P.","non-dropping-particle":"","parse-names":false,"suffix":""},{"dropping-particle":"","family":"Herranz","given":"Raúl","non-dropping-particle":"","parse-names":false,"suffix":""},{"dropping-particle":"","family":"Poehlman, William","given":"L.","non-dropping-particle":"","parse-names":false,"suffix":""},{"dropping-particle":"","family":"Feltus, Frank","given":"A.","non-dropping-particle":"","parse-names":false,"suffix":""},{"dropping-particle":"","family":"Ciska","given":"Malgorzata","non-dropping-particle":"","parse-names":false,"suffix":""},{"dropping-particle":"","family":"Medina, Francisco","given":"J.","non-dropping-particle":"","parse-names":false,"suffix":""},{"dropping-particle":"","family":"Kiss, John","given":"Z.","non-dropping-particle":"","parse-names":false,"suffix":""}],"container-title":"American Journal of Botany","id":"ITEM-1","issue":"11","issued":{"date-parts":[["2019"]]},"page":"1466-1476","title":"RNA‐seq analyses of Arabidopsis thaliana seedlings after exposure to blue‐light phototropic stimuli in microgravity","type":"article-journal","volume":"106"},"uris":["http://www.mendeley.com/documents/?uuid=1f7efd9f-c7bb-42bf-b729-319be28c1eb5"]}],"mendeley":{"formattedCitation":"(Vandenbrink et al., 2019)","plainTextFormattedCitation":"(Vandenbrink et al., 2019)"},"properties":{"noteIndex":0},"schema":"https://github.com/citation-style-language/schema/raw/master/csl-citation.json"}</w:instrText>
            </w:r>
            <w:r w:rsidR="00527BAE">
              <w:rPr>
                <w:bCs/>
              </w:rPr>
              <w:fldChar w:fldCharType="separate"/>
            </w:r>
            <w:r w:rsidR="00527BAE" w:rsidRPr="00527BAE">
              <w:rPr>
                <w:bCs/>
                <w:noProof/>
              </w:rPr>
              <w:t>Vandenbrink et al., 2019</w:t>
            </w:r>
            <w:r w:rsidR="00527BAE">
              <w:rPr>
                <w:bCs/>
              </w:rPr>
              <w:fldChar w:fldCharType="end"/>
            </w:r>
            <w:r w:rsidR="00527BAE">
              <w:rPr>
                <w:bCs/>
              </w:rPr>
              <w:t xml:space="preserve">; </w:t>
            </w:r>
            <w:r w:rsidR="00527BAE">
              <w:rPr>
                <w:bCs/>
              </w:rPr>
              <w:fldChar w:fldCharType="begin" w:fldLock="1"/>
            </w:r>
            <w:r w:rsidR="00527BAE">
              <w:rPr>
                <w:bCs/>
              </w:rPr>
              <w:instrText>ADDIN CSL_CITATION {"citationItems":[{"id":"ITEM-1","itemData":{"DOI":"10.3389/fpls.2019.01529","author":[{"dropping-particle":"","family":"Herranz","given":"Raul","non-dropping-particle":"","parse-names":false,"suffix":""},{"dropping-particle":"","family":"Vandenbrink","given":"Joshua P.","non-dropping-particle":"","parse-names":false,"suffix":""},{"dropping-particle":"","family":"Villacampa","given":"Alicia","non-dropping-particle":"","parse-names":false,"suffix":""},{"dropping-particle":"","family":"Manzano","given":"Aranzazu","non-dropping-particle":"","parse-names":false,"suffix":""},{"dropping-particle":"","family":"Poehlman, William","given":"L.","non-dropping-particle":"","parse-names":false,"suffix":""},{"dropping-particle":"","family":"Feltus, Frank","given":"A.","non-dropping-particle":"","parse-names":false,"suffix":""},{"dropping-particle":"","family":"Kiss, John","given":"Z.","non-dropping-particle":"","parse-names":false,"suffix":""},{"dropping-particle":"","family":"Medina, Francisco","given":"J.","non-dropping-particle":"","parse-names":false,"suffix":""}],"container-title":"Frontiers in Plant Science","id":"ITEM-1","issued":{"date-parts":[["2019"]]},"title":"RNAseq analysis of the response of Arabidopsis thaliana to fractional gravity under blue-light stimulation during spaceflight","type":"article-journal","volume":"26"},"uris":["http://www.mendeley.com/documents/?uuid=6660f0fd-0907-4c7e-9883-81446fd1606a"]}],"mendeley":{"formattedCitation":"(Herranz et al., 2019)","manualFormatting":"Herranz et al., 2019)","plainTextFormattedCitation":"(Herranz et al., 2019)","previouslyFormattedCitation":"(Herranz et al., 2019)"},"properties":{"noteIndex":0},"schema":"https://github.com/citation-style-language/schema/raw/master/csl-citation.json"}</w:instrText>
            </w:r>
            <w:r w:rsidR="00527BAE">
              <w:rPr>
                <w:bCs/>
              </w:rPr>
              <w:fldChar w:fldCharType="separate"/>
            </w:r>
            <w:r w:rsidR="00527BAE" w:rsidRPr="00527BAE">
              <w:rPr>
                <w:bCs/>
                <w:noProof/>
              </w:rPr>
              <w:t>Herranz et al., 2019)</w:t>
            </w:r>
            <w:r w:rsidR="00527BAE">
              <w:rPr>
                <w:bCs/>
              </w:rPr>
              <w:fldChar w:fldCharType="end"/>
            </w:r>
          </w:p>
        </w:tc>
        <w:tc>
          <w:tcPr>
            <w:tcW w:w="2921" w:type="dxa"/>
            <w:gridSpan w:val="2"/>
          </w:tcPr>
          <w:p w14:paraId="3E054EE2" w14:textId="77777777" w:rsidR="00DF5B76" w:rsidRPr="006B11D1" w:rsidRDefault="00DF5B76" w:rsidP="00DF5B76">
            <w:pPr>
              <w:rPr>
                <w:bCs/>
              </w:rPr>
            </w:pPr>
            <w:r w:rsidRPr="006B11D1">
              <w:rPr>
                <w:bCs/>
              </w:rPr>
              <w:t>Col</w:t>
            </w:r>
          </w:p>
        </w:tc>
        <w:tc>
          <w:tcPr>
            <w:tcW w:w="2045" w:type="dxa"/>
            <w:gridSpan w:val="3"/>
          </w:tcPr>
          <w:p w14:paraId="6CAFF7FC" w14:textId="77777777" w:rsidR="00DF5B76" w:rsidRPr="006B11D1" w:rsidRDefault="00DF5B76" w:rsidP="00DF5B76">
            <w:pPr>
              <w:jc w:val="center"/>
              <w:rPr>
                <w:bCs/>
              </w:rPr>
            </w:pPr>
            <w:r w:rsidRPr="006B11D1">
              <w:rPr>
                <w:bCs/>
              </w:rPr>
              <w:t>“</w:t>
            </w:r>
          </w:p>
        </w:tc>
        <w:tc>
          <w:tcPr>
            <w:tcW w:w="2269" w:type="dxa"/>
            <w:gridSpan w:val="4"/>
          </w:tcPr>
          <w:p w14:paraId="35C96E1E" w14:textId="77777777" w:rsidR="00DF5B76" w:rsidRPr="006B11D1" w:rsidRDefault="00DF5B76" w:rsidP="00DF5B76">
            <w:pPr>
              <w:rPr>
                <w:bCs/>
              </w:rPr>
            </w:pPr>
            <w:proofErr w:type="spellStart"/>
            <w:r w:rsidRPr="006B11D1">
              <w:rPr>
                <w:bCs/>
              </w:rPr>
              <w:t>RNAseq</w:t>
            </w:r>
            <w:proofErr w:type="spellEnd"/>
          </w:p>
        </w:tc>
      </w:tr>
      <w:tr w:rsidR="007816C8" w:rsidRPr="006B11D1" w14:paraId="75119E61" w14:textId="77777777" w:rsidTr="00720A47">
        <w:trPr>
          <w:gridAfter w:val="1"/>
          <w:wAfter w:w="165" w:type="dxa"/>
        </w:trPr>
        <w:tc>
          <w:tcPr>
            <w:tcW w:w="1651" w:type="dxa"/>
            <w:gridSpan w:val="2"/>
          </w:tcPr>
          <w:p w14:paraId="03CFDDC5" w14:textId="77777777" w:rsidR="00DF5B76" w:rsidRPr="006B11D1" w:rsidRDefault="00DF5B76" w:rsidP="00DF5B76">
            <w:pPr>
              <w:rPr>
                <w:bCs/>
              </w:rPr>
            </w:pPr>
            <w:r w:rsidRPr="006B11D1">
              <w:rPr>
                <w:bCs/>
              </w:rPr>
              <w:t>NA</w:t>
            </w:r>
          </w:p>
        </w:tc>
        <w:tc>
          <w:tcPr>
            <w:tcW w:w="2810" w:type="dxa"/>
            <w:gridSpan w:val="2"/>
          </w:tcPr>
          <w:p w14:paraId="587B923A" w14:textId="77777777" w:rsidR="00DF5B76" w:rsidRPr="006B11D1" w:rsidRDefault="00DF5B76" w:rsidP="00DF5B76">
            <w:pPr>
              <w:rPr>
                <w:bCs/>
              </w:rPr>
            </w:pPr>
            <w:r w:rsidRPr="006B11D1">
              <w:rPr>
                <w:bCs/>
              </w:rPr>
              <w:fldChar w:fldCharType="begin" w:fldLock="1"/>
            </w:r>
            <w:r>
              <w:rPr>
                <w:bCs/>
              </w:rPr>
              <w:instrText>ADDIN CSL_CITATION {"citationItems":[{"id":"ITEM-1","itemData":{"DOI":"10.1007/s00425-013-1909-x","ISSN":"00320935","abstract":"The transcriptome of seedlings was analyzed from experiments performed on the International Space Station to study the interacting effects of light and gravity on plant tropisms (project named TROPI-2; Kiss et al. 2012). Seeds of Arabidopsis were germinated in space, and seedlings were then grown in the European Modular Cultivation System for 4 days at ~1g followed by exposure to a range of gravitational accelerations (from microgravity to 1g) and two light treatments (blue light with or without a 1 h pretreatment with red). At the end of the experiments, the cassettes containing the seedlings were frozen in the minus eighty laboratory freezer and returned to Earth on space shuttle mission STS-131. The RNA was extracted from whole seedlings and used for the transcriptome analyses. A comparison of 1g spaceflight samples with 1g ground controls identified 230 genes that were differentially regulated at least twofold, emphasizing the need for \"in situ\" tissue fixation on a 1g centrifuge as an important control for spaceflight experiments. A further comparison of all spaceflight samples with ground controls identified approximately 280 genes that were differentially regulated at least twofold. Of these genes, several were involved in regulating cell polarity (i.e., auxin, calcium, lipid metabolism), cell-wall development, oxygen status, and cell defense or stress. However, when the transcriptome of the all g-treated spaceflight samples was compared with microgravity samples, only ~130 genes were identified as being differently regulated (P ≤ 0.01). Of this subset, only 27 genes were at least twofold differently regulated between microgravity and 1g space samples and included putative/pseudo/undefined genes (14), transposable elements (5), an expansin (ATEXP24; At1g21240), a cell-wall kinase (WAK3; At1g21240), a laccase-like flavonoid oxidase (TT10; At5g48100), among others.","author":[{"dropping-particle":"","family":"Correll","given":"Melanie J.","non-dropping-particle":"","parse-names":false,"suffix":""},{"dropping-particle":"","family":"Pyle","given":"Tyler P.","non-dropping-particle":"","parse-names":false,"suffix":""},{"dropping-particle":"","family":"Millar","given":"Katherine D.L.","non-dropping-particle":"","parse-names":false,"suffix":""},{"dropping-particle":"","family":"Sun","given":"Yijun","non-dropping-particle":"","parse-names":false,"suffix":""},{"dropping-particle":"","family":"Yao","given":"Jin","non-dropping-particle":"","parse-names":false,"suffix":""},{"dropping-particle":"","family":"Edelmann","given":"Richard E.","non-dropping-particle":"","parse-names":false,"suffix":""},{"dropping-particle":"","family":"Kiss","given":"John Z.","non-dropping-particle":"","parse-names":false,"suffix":""}],"container-title":"Planta","id":"ITEM-1","issued":{"date-parts":[["2013"]]},"title":"Transcriptome analyses of Arabidopsis thaliana seedlings grown in space: Implications for gravity-responsive genes","type":"article-journal"},"uris":["http://www.mendeley.com/documents/?uuid=7d1c1981-40f4-4dc9-941a-bcc5c233db5e"]}],"mendeley":{"formattedCitation":"(Correll et al., 2013)","plainTextFormattedCitation":"(Correll et al., 2013)","previouslyFormattedCitation":"(Correll et al., 2013)"},"properties":{"noteIndex":0},"schema":"https://github.com/citation-style-language/schema/raw/master/csl-citation.json"}</w:instrText>
            </w:r>
            <w:r w:rsidRPr="006B11D1">
              <w:rPr>
                <w:bCs/>
              </w:rPr>
              <w:fldChar w:fldCharType="separate"/>
            </w:r>
            <w:r w:rsidRPr="009A6580">
              <w:rPr>
                <w:bCs/>
                <w:noProof/>
              </w:rPr>
              <w:t>(Correll et al., 2013)</w:t>
            </w:r>
            <w:r w:rsidRPr="006B11D1">
              <w:rPr>
                <w:bCs/>
              </w:rPr>
              <w:fldChar w:fldCharType="end"/>
            </w:r>
          </w:p>
        </w:tc>
        <w:tc>
          <w:tcPr>
            <w:tcW w:w="2921" w:type="dxa"/>
            <w:gridSpan w:val="2"/>
          </w:tcPr>
          <w:p w14:paraId="17A595BD" w14:textId="77777777" w:rsidR="00DF5B76" w:rsidRPr="006B11D1" w:rsidRDefault="00DF5B76" w:rsidP="00DF5B76">
            <w:pPr>
              <w:rPr>
                <w:bCs/>
              </w:rPr>
            </w:pPr>
            <w:proofErr w:type="spellStart"/>
            <w:r w:rsidRPr="006B11D1">
              <w:rPr>
                <w:bCs/>
              </w:rPr>
              <w:t>Ler</w:t>
            </w:r>
            <w:proofErr w:type="spellEnd"/>
            <w:r w:rsidRPr="006B11D1">
              <w:rPr>
                <w:bCs/>
              </w:rPr>
              <w:t xml:space="preserve"> </w:t>
            </w:r>
          </w:p>
        </w:tc>
        <w:tc>
          <w:tcPr>
            <w:tcW w:w="2045" w:type="dxa"/>
            <w:gridSpan w:val="3"/>
          </w:tcPr>
          <w:p w14:paraId="466E1EE5" w14:textId="77777777" w:rsidR="00DF5B76" w:rsidRPr="006B11D1" w:rsidRDefault="00DF5B76" w:rsidP="00DF5B76">
            <w:pPr>
              <w:jc w:val="center"/>
              <w:rPr>
                <w:bCs/>
              </w:rPr>
            </w:pPr>
            <w:r w:rsidRPr="006B11D1">
              <w:rPr>
                <w:bCs/>
              </w:rPr>
              <w:t>“</w:t>
            </w:r>
          </w:p>
        </w:tc>
        <w:tc>
          <w:tcPr>
            <w:tcW w:w="2269" w:type="dxa"/>
            <w:gridSpan w:val="4"/>
          </w:tcPr>
          <w:p w14:paraId="09A4099E" w14:textId="77777777" w:rsidR="00DF5B76" w:rsidRPr="006B11D1" w:rsidRDefault="00DF5B76" w:rsidP="00DF5B76">
            <w:pPr>
              <w:rPr>
                <w:bCs/>
              </w:rPr>
            </w:pPr>
            <w:r w:rsidRPr="006B11D1">
              <w:rPr>
                <w:bCs/>
              </w:rPr>
              <w:t>Microarray</w:t>
            </w:r>
          </w:p>
        </w:tc>
      </w:tr>
      <w:tr w:rsidR="007816C8" w:rsidRPr="006B11D1" w14:paraId="17D8DA6A" w14:textId="77777777" w:rsidTr="00720A47">
        <w:trPr>
          <w:gridAfter w:val="1"/>
          <w:wAfter w:w="165" w:type="dxa"/>
        </w:trPr>
        <w:tc>
          <w:tcPr>
            <w:tcW w:w="1651" w:type="dxa"/>
            <w:gridSpan w:val="2"/>
          </w:tcPr>
          <w:p w14:paraId="3FF5E0FB" w14:textId="77777777" w:rsidR="00DF5B76" w:rsidRPr="006B11D1" w:rsidRDefault="00DF5B76" w:rsidP="00DF5B76">
            <w:pPr>
              <w:rPr>
                <w:bCs/>
              </w:rPr>
            </w:pPr>
            <w:r w:rsidRPr="006B11D1">
              <w:rPr>
                <w:bCs/>
              </w:rPr>
              <w:t>NA</w:t>
            </w:r>
          </w:p>
        </w:tc>
        <w:tc>
          <w:tcPr>
            <w:tcW w:w="2810" w:type="dxa"/>
            <w:gridSpan w:val="2"/>
          </w:tcPr>
          <w:p w14:paraId="56C4CCD5" w14:textId="77777777" w:rsidR="00DF5B76" w:rsidRPr="006B11D1" w:rsidRDefault="00DF5B76" w:rsidP="00DF5B76">
            <w:pPr>
              <w:rPr>
                <w:bCs/>
              </w:rPr>
            </w:pPr>
            <w:r w:rsidRPr="006B11D1">
              <w:rPr>
                <w:bCs/>
              </w:rPr>
              <w:fldChar w:fldCharType="begin" w:fldLock="1"/>
            </w:r>
            <w:r>
              <w:rPr>
                <w:bCs/>
              </w:rPr>
              <w:instrText>ADDIN CSL_CITATION {"citationItems":[{"id":"ITEM-1","itemData":{"DOI":"10.1007/s12217-015-9432-2","ISSN":"18750494","abstract":"© 2015, Springer Science+Business Media Dordrecht. The transcriptome of Oryza sativacalli was analyzed on board the Chinese spaceship “Shenzhou 8” to study the effects of microgravity on plant signal transduction and secondary metabolism (as one of the experiments with SIMBOX on Shenzhou 8). Calli of Oryza sativa were pre-cultured for 4 days on ground and then loaded into the stationary platform or the rotating platform of a biological incubator, called SIMBOX, to grow in space under microgravity conditions or 1g-conditions, respectively. The calli were fixed by RNAlater after grew 324 h under microgravity. After 17 days, Shenzhou 8 returned to Earth carrying SIMBOX. Oryza sativa calli were recovered, and the RNA was extracted for transcriptome analysis. After comparing 1 gspaceflight controls-inflight controls with 1 g-ground controls, 157 probe sets with different expression levels (fold change ≥2, p&lt;0.05) were identified. When comparing spaceflight controls to 1 g-ground controls and to 1 g-inflight controls, 678 probe sets with different expression levels (fold change ≥2, p&lt;0.05) were identified. The fact that the same 678 probe sets were identified in these two comparisons suggests that transcription was affected under microgravity conditions. MapMan analysis was used to classify 627 microgravity responsive (MR) transcripts. The MR transcripts were mainly involved in cell wall structure, the TCA cycle, primary metabolism, transcription, protein modification and degradation, hormone metabolism, calcium regulation, receptor like kinase activity and transport.","author":[{"dropping-particle":"","family":"Jin","given":"Jing","non-dropping-particle":"","parse-names":false,"suffix":""},{"dropping-particle":"","family":"Chen","given":"Haiying","non-dropping-particle":"","parse-names":false,"suffix":""},{"dropping-particle":"","family":"Cai","given":"Weiming","non-dropping-particle":"","parse-names":false,"suffix":""}],"container-title":"Microgravity Science and Technology","id":"ITEM-1","issue":"6","issued":{"date-parts":[["2015"]]},"page":"437-453","title":"Transcriptome Analysis of Oryza sativa Calli Under Microgravity","type":"article-journal","volume":"27"},"uris":["http://www.mendeley.com/documents/?uuid=cb2af50c-44dc-4486-9579-328ad16d58c3"]}],"mendeley":{"formattedCitation":"(Jin et al., 2015)","plainTextFormattedCitation":"(Jin et al., 2015)","previouslyFormattedCitation":"(Jin et al., 2015)"},"properties":{"noteIndex":0},"schema":"https://github.com/citation-style-language/schema/raw/master/csl-citation.json"}</w:instrText>
            </w:r>
            <w:r w:rsidRPr="006B11D1">
              <w:rPr>
                <w:bCs/>
              </w:rPr>
              <w:fldChar w:fldCharType="separate"/>
            </w:r>
            <w:r w:rsidRPr="009A6580">
              <w:rPr>
                <w:bCs/>
                <w:noProof/>
              </w:rPr>
              <w:t>(Jin et al., 2015)</w:t>
            </w:r>
            <w:r w:rsidRPr="006B11D1">
              <w:rPr>
                <w:bCs/>
              </w:rPr>
              <w:fldChar w:fldCharType="end"/>
            </w:r>
          </w:p>
        </w:tc>
        <w:tc>
          <w:tcPr>
            <w:tcW w:w="2921" w:type="dxa"/>
            <w:gridSpan w:val="2"/>
          </w:tcPr>
          <w:p w14:paraId="56F2E470" w14:textId="77777777" w:rsidR="00DF5B76" w:rsidRPr="006B11D1" w:rsidRDefault="00DF5B76" w:rsidP="00DF5B76">
            <w:pPr>
              <w:rPr>
                <w:bCs/>
                <w:i/>
                <w:iCs/>
              </w:rPr>
            </w:pPr>
            <w:r w:rsidRPr="006B11D1">
              <w:rPr>
                <w:bCs/>
                <w:i/>
                <w:iCs/>
              </w:rPr>
              <w:t>Oryza sativa</w:t>
            </w:r>
          </w:p>
        </w:tc>
        <w:tc>
          <w:tcPr>
            <w:tcW w:w="2045" w:type="dxa"/>
            <w:gridSpan w:val="3"/>
          </w:tcPr>
          <w:p w14:paraId="3F328D74" w14:textId="77777777" w:rsidR="00DF5B76" w:rsidRPr="006B11D1" w:rsidRDefault="00DF5B76" w:rsidP="00DF5B76">
            <w:pPr>
              <w:jc w:val="center"/>
              <w:rPr>
                <w:bCs/>
              </w:rPr>
            </w:pPr>
            <w:r w:rsidRPr="006B11D1">
              <w:rPr>
                <w:bCs/>
              </w:rPr>
              <w:t>“</w:t>
            </w:r>
          </w:p>
        </w:tc>
        <w:tc>
          <w:tcPr>
            <w:tcW w:w="2269" w:type="dxa"/>
            <w:gridSpan w:val="4"/>
          </w:tcPr>
          <w:p w14:paraId="11698325" w14:textId="77777777" w:rsidR="00DF5B76" w:rsidRPr="006B11D1" w:rsidRDefault="00DF5B76" w:rsidP="00DF5B76">
            <w:pPr>
              <w:rPr>
                <w:bCs/>
              </w:rPr>
            </w:pPr>
            <w:r w:rsidRPr="006B11D1">
              <w:rPr>
                <w:bCs/>
              </w:rPr>
              <w:t>Microarray</w:t>
            </w:r>
          </w:p>
        </w:tc>
      </w:tr>
      <w:tr w:rsidR="007816C8" w:rsidRPr="006B11D1" w14:paraId="1F01DA91" w14:textId="77777777" w:rsidTr="00720A47">
        <w:trPr>
          <w:gridAfter w:val="2"/>
          <w:wAfter w:w="435" w:type="dxa"/>
        </w:trPr>
        <w:tc>
          <w:tcPr>
            <w:tcW w:w="11426" w:type="dxa"/>
            <w:gridSpan w:val="12"/>
          </w:tcPr>
          <w:p w14:paraId="753FE248" w14:textId="77777777" w:rsidR="00DF5B76" w:rsidRPr="006B11D1" w:rsidRDefault="00DF5B76" w:rsidP="00DF5B76">
            <w:pPr>
              <w:rPr>
                <w:bCs/>
              </w:rPr>
            </w:pPr>
          </w:p>
          <w:p w14:paraId="2ED8D2D4" w14:textId="77777777" w:rsidR="00DF5B76" w:rsidRPr="006B11D1" w:rsidRDefault="00DF5B76" w:rsidP="00DF5B76">
            <w:pPr>
              <w:rPr>
                <w:b/>
              </w:rPr>
            </w:pPr>
            <w:r w:rsidRPr="006B11D1">
              <w:rPr>
                <w:b/>
              </w:rPr>
              <w:t>Spaceflight-related, ground-based studies</w:t>
            </w:r>
          </w:p>
          <w:p w14:paraId="4F1CCD6E" w14:textId="77777777" w:rsidR="00DF5B76" w:rsidRPr="006B11D1" w:rsidRDefault="00DF5B76" w:rsidP="00DF5B76">
            <w:pPr>
              <w:rPr>
                <w:bCs/>
              </w:rPr>
            </w:pPr>
          </w:p>
        </w:tc>
      </w:tr>
      <w:tr w:rsidR="007816C8" w:rsidRPr="006B11D1" w14:paraId="618AEC46" w14:textId="77777777" w:rsidTr="00720A47">
        <w:tc>
          <w:tcPr>
            <w:tcW w:w="1651" w:type="dxa"/>
            <w:gridSpan w:val="2"/>
          </w:tcPr>
          <w:p w14:paraId="252AABD8" w14:textId="77777777" w:rsidR="00DF5B76" w:rsidRPr="006B11D1" w:rsidRDefault="00DF5B76" w:rsidP="00DF5B76">
            <w:pPr>
              <w:rPr>
                <w:bCs/>
              </w:rPr>
            </w:pPr>
            <w:r w:rsidRPr="006B11D1">
              <w:rPr>
                <w:bCs/>
              </w:rPr>
              <w:t>GLDS-38</w:t>
            </w:r>
          </w:p>
        </w:tc>
        <w:tc>
          <w:tcPr>
            <w:tcW w:w="2810" w:type="dxa"/>
            <w:gridSpan w:val="2"/>
          </w:tcPr>
          <w:p w14:paraId="710F35AA" w14:textId="77777777" w:rsidR="00DF5B76" w:rsidRPr="006B11D1" w:rsidRDefault="00DF5B76" w:rsidP="00DF5B76">
            <w:pPr>
              <w:rPr>
                <w:bCs/>
              </w:rPr>
            </w:pPr>
            <w:r w:rsidRPr="006B11D1">
              <w:rPr>
                <w:bCs/>
              </w:rPr>
              <w:fldChar w:fldCharType="begin" w:fldLock="1"/>
            </w:r>
            <w:r>
              <w:rPr>
                <w:bCs/>
              </w:rPr>
              <w:instrText>ADDIN CSL_CITATION {"citationItems":[{"id":"ITEM-1","itemData":{"DOI":"10.1371/journal.pone.0175943","ISSN":"19326203","abstract":"© 2017 Kruse et al. This is an open access article distributed under the terms of the Creative Commons Attribution License, which permits unrestricted use, distribution, and reproduction in any medium, provided the original author and source are credited. Tissue preservation is a minimal requirement for the success of plant RNA and protein expression studies. The standard of snap-freezing in liquid nitrogen is not always practical or possible. RNAlater, a concentrated solution of ammonium and cesium sulfates, has become a standard preservative in the absence of liquid nitrogen. Here, we demonstrate the effectiveness of RNAlater in preserving both RNA and proteins in Arabidopsis thaliana tissues for use in RNAseq and LC-MS/MS analysis of proteins. While successful in preserving plant material, a transcriptomic and proteomic response is evident. Specifically, 5770 gene transcripts, 84 soluble proteins, and 120 membrane-bound proteins were found to be differentially expressed at a log-fold change of ±1 (P ≤ 0.05). This response is mirrored in the abundance of post-translational modifications, with 23 of the 108 (21.3%) phosphorylated proteins showing altered abundance at a log-fold change of ±1 (P ≤ 0.05). While RNAlater is effective in preserving biological information, our findings warrant caution in its use for transcriptomic and proteomic experiments.","author":[{"dropping-particle":"","family":"Kruse","given":"Colin P.S.","non-dropping-particle":"","parse-names":false,"suffix":""},{"dropping-particle":"","family":"Basu","given":"Proma","non-dropping-particle":"","parse-names":false,"suffix":""},{"dropping-particle":"","family":"Luesse","given":"Darron R.","non-dropping-particle":"","parse-names":false,"suffix":""},{"dropping-particle":"","family":"Wyatt","given":"Sarah E.","non-dropping-particle":"","parse-names":false,"suffix":""}],"container-title":"PLoS ONE","id":"ITEM-1","issue":"4","issued":{"date-parts":[["2017"]]},"page":"e0175943","title":"Transcriptome and proteome responses in RNAlater preserved tissue of Arabidopsis thaliana","type":"article-journal","volume":"12"},"uris":["http://www.mendeley.com/documents/?uuid=fd107e7f-3579-4020-a9ae-10ee97e4097a"]}],"mendeley":{"formattedCitation":"(Kruse et al., 2017)","plainTextFormattedCitation":"(Kruse et al., 2017)","previouslyFormattedCitation":"(Kruse et al., 2017)"},"properties":{"noteIndex":0},"schema":"https://github.com/citation-style-language/schema/raw/master/csl-citation.json"}</w:instrText>
            </w:r>
            <w:r w:rsidRPr="006B11D1">
              <w:rPr>
                <w:bCs/>
              </w:rPr>
              <w:fldChar w:fldCharType="separate"/>
            </w:r>
            <w:r w:rsidRPr="009A6580">
              <w:rPr>
                <w:bCs/>
                <w:noProof/>
              </w:rPr>
              <w:t>(Kruse et al., 2017)</w:t>
            </w:r>
            <w:r w:rsidRPr="006B11D1">
              <w:rPr>
                <w:bCs/>
              </w:rPr>
              <w:fldChar w:fldCharType="end"/>
            </w:r>
          </w:p>
        </w:tc>
        <w:tc>
          <w:tcPr>
            <w:tcW w:w="3067" w:type="dxa"/>
            <w:gridSpan w:val="3"/>
          </w:tcPr>
          <w:p w14:paraId="6F8A9D70" w14:textId="77777777" w:rsidR="00DF5B76" w:rsidRPr="006B11D1" w:rsidRDefault="00DF5B76" w:rsidP="00DF5B76">
            <w:pPr>
              <w:rPr>
                <w:bCs/>
              </w:rPr>
            </w:pPr>
            <w:r w:rsidRPr="006B11D1">
              <w:rPr>
                <w:bCs/>
              </w:rPr>
              <w:t>Col</w:t>
            </w:r>
          </w:p>
        </w:tc>
        <w:tc>
          <w:tcPr>
            <w:tcW w:w="2126" w:type="dxa"/>
            <w:gridSpan w:val="3"/>
          </w:tcPr>
          <w:p w14:paraId="33C6B412" w14:textId="77777777" w:rsidR="00DF5B76" w:rsidRPr="006B11D1" w:rsidRDefault="00DF5B76" w:rsidP="00DF5B76">
            <w:pPr>
              <w:rPr>
                <w:bCs/>
              </w:rPr>
            </w:pPr>
            <w:r w:rsidRPr="006B11D1">
              <w:rPr>
                <w:bCs/>
              </w:rPr>
              <w:t>RNA later treatment</w:t>
            </w:r>
          </w:p>
        </w:tc>
        <w:tc>
          <w:tcPr>
            <w:tcW w:w="2207" w:type="dxa"/>
            <w:gridSpan w:val="4"/>
          </w:tcPr>
          <w:p w14:paraId="68F6DD0B" w14:textId="77777777" w:rsidR="00DF5B76" w:rsidRPr="006B11D1" w:rsidRDefault="00DF5B76" w:rsidP="00DF5B76">
            <w:pPr>
              <w:rPr>
                <w:bCs/>
              </w:rPr>
            </w:pPr>
            <w:proofErr w:type="spellStart"/>
            <w:r w:rsidRPr="006B11D1">
              <w:rPr>
                <w:bCs/>
              </w:rPr>
              <w:t>RNAseq</w:t>
            </w:r>
            <w:proofErr w:type="spellEnd"/>
            <w:r w:rsidRPr="006B11D1">
              <w:rPr>
                <w:bCs/>
              </w:rPr>
              <w:t xml:space="preserve"> &amp; Proteomics</w:t>
            </w:r>
          </w:p>
        </w:tc>
      </w:tr>
      <w:tr w:rsidR="007816C8" w:rsidRPr="006B11D1" w14:paraId="3E138E47" w14:textId="77777777" w:rsidTr="00720A47">
        <w:tc>
          <w:tcPr>
            <w:tcW w:w="1651" w:type="dxa"/>
            <w:gridSpan w:val="2"/>
          </w:tcPr>
          <w:p w14:paraId="29972E3F" w14:textId="77777777" w:rsidR="00DF5B76" w:rsidRPr="006B11D1" w:rsidRDefault="00DF5B76" w:rsidP="00DF5B76">
            <w:pPr>
              <w:rPr>
                <w:bCs/>
              </w:rPr>
            </w:pPr>
            <w:r w:rsidRPr="006B11D1">
              <w:rPr>
                <w:bCs/>
              </w:rPr>
              <w:t>GEO: GSE29787</w:t>
            </w:r>
          </w:p>
        </w:tc>
        <w:tc>
          <w:tcPr>
            <w:tcW w:w="2810" w:type="dxa"/>
            <w:gridSpan w:val="2"/>
          </w:tcPr>
          <w:p w14:paraId="27D5E12F" w14:textId="77777777" w:rsidR="00DF5B76" w:rsidRPr="006B11D1" w:rsidRDefault="00DF5B76" w:rsidP="00DF5B76">
            <w:pPr>
              <w:rPr>
                <w:bCs/>
              </w:rPr>
            </w:pPr>
            <w:r w:rsidRPr="006B11D1">
              <w:rPr>
                <w:bCs/>
              </w:rPr>
              <w:fldChar w:fldCharType="begin" w:fldLock="1"/>
            </w:r>
            <w:r>
              <w:rPr>
                <w:bCs/>
              </w:rPr>
              <w:instrText>ADDIN CSL_CITATION {"citationItems":[{"id":"ITEM-1","itemData":{"DOI":"10.1186/1471-2164-13-105","ISSN":"14712164","abstract":"Background: Biological systems respond to changes in both the Earth's magnetic and gravitational fields, but as experiments in space are expensive and infrequent, Earth-based simulation techniques are required. A high gradient magnetic field can be used to levitate biological material, thereby simulating microgravity and can also create environments with a reduced or an enhanced level of gravity (g), although special attention should be paid to the possible effects of the magnetic field (B) itself.Results: Using diamagnetic levitation, we exposed Arabidopsis thaliana in vitro callus cultures to five environments with different levels of effective gravity and magnetic field strengths. The environments included levitation, i.e. simulated μg* (close to 0 g* at B = 10.1 T), intermediate g* (0.1 g* at B = 14.7 T) and enhanced gravity levels (1.9 g* at B = 14.7 T and 2 g* at B = 10.1 T) plus an internal 1 g* control (B = 16.5 T). The asterisk denotes the presence of the background magnetic field, as opposed to the effective gravity environments in the absence of an applied magnetic field, created using a Random Position Machine (simulated μg) and a Large Diameter Centrifuge (2 g).Microarray analysis indicates that changes in the overall gene expression of cultured cells exposed to these unusual environments barely reach significance using an FDR algorithm. However, it was found that gravitational and magnetic fields produce synergistic variations in the steady state of the transcriptional profile of plants. Transcriptomic results confirm that high gradient magnetic fields (i.e. to create μg* and 2 g* conditions) have a significant effect, mainly on structural, abiotic stress genes and secondary metabolism genes, but these subtle gravitational effects are only observable using clustering methodologies.Conclusions: A detailed microarray dataset analysis, based on clustering of similarly expressed genes (GEDI software), can detect underlying global-scale responses, which cannot be detected by means of individual gene expression techniques using raw or corrected p values (FDR). A subtle, but consistent, genome-scale response to hypogravity environments was found, which was opposite to the response in a hypergravity environment. © 2012 Manzano et al; licensee BioMed Central Ltd.","author":[{"dropping-particle":"","family":"Manzano","given":"Ana I.","non-dropping-particle":"","parse-names":false,"suffix":""},{"dropping-particle":"","family":"Loon","given":"Jack J.W.A.","non-dropping-particle":"van","parse-names":false,"suffix":""},{"dropping-particle":"","family":"Christianen","given":"Peter C.M.","non-dropping-particle":"","parse-names":false,"suffix":""},{"dropping-particle":"","family":"Gonzalez-Rubio","given":"Juana M.","non-dropping-particle":"","parse-names":false,"suffix":""},{"dropping-particle":"","family":"Medina","given":"F. Javier","non-dropping-particle":"","parse-names":false,"suffix":""},{"dropping-particle":"","family":"Herranz","given":"Raul","non-dropping-particle":"","parse-names":false,"suffix":""}],"container-title":"BMC Genomics","id":"ITEM-1","issued":{"date-parts":[["2012"]]},"page":"105","title":"Gravitational and magnetic field variations synergize to cause subtle variations in the global transcriptional state of Arabidopsis in vitro callus cultures","type":"article-journal","volume":"13"},"uris":["http://www.mendeley.com/documents/?uuid=025d0d00-979d-4949-b6d4-f59c0bddb40f"]}],"mendeley":{"formattedCitation":"(Manzano et al., 2012)","plainTextFormattedCitation":"(Manzano et al., 2012)","previouslyFormattedCitation":"(Manzano et al., 2012)"},"properties":{"noteIndex":0},"schema":"https://github.com/citation-style-language/schema/raw/master/csl-citation.json"}</w:instrText>
            </w:r>
            <w:r w:rsidRPr="006B11D1">
              <w:rPr>
                <w:bCs/>
              </w:rPr>
              <w:fldChar w:fldCharType="separate"/>
            </w:r>
            <w:r w:rsidRPr="009A6580">
              <w:rPr>
                <w:bCs/>
                <w:noProof/>
              </w:rPr>
              <w:t>(Manzano et al., 2012)</w:t>
            </w:r>
            <w:r w:rsidRPr="006B11D1">
              <w:rPr>
                <w:bCs/>
              </w:rPr>
              <w:fldChar w:fldCharType="end"/>
            </w:r>
          </w:p>
        </w:tc>
        <w:tc>
          <w:tcPr>
            <w:tcW w:w="3067" w:type="dxa"/>
            <w:gridSpan w:val="3"/>
          </w:tcPr>
          <w:p w14:paraId="532C87B0" w14:textId="77777777" w:rsidR="00DF5B76" w:rsidRPr="006B11D1" w:rsidRDefault="00DF5B76" w:rsidP="00DF5B76">
            <w:pPr>
              <w:rPr>
                <w:bCs/>
              </w:rPr>
            </w:pPr>
            <w:r w:rsidRPr="006B11D1">
              <w:rPr>
                <w:bCs/>
              </w:rPr>
              <w:t>Col</w:t>
            </w:r>
          </w:p>
        </w:tc>
        <w:tc>
          <w:tcPr>
            <w:tcW w:w="2126" w:type="dxa"/>
            <w:gridSpan w:val="3"/>
          </w:tcPr>
          <w:p w14:paraId="6E5E4CF1" w14:textId="77777777" w:rsidR="00DF5B76" w:rsidRPr="006B11D1" w:rsidRDefault="00DF5B76" w:rsidP="00DF5B76">
            <w:pPr>
              <w:rPr>
                <w:bCs/>
              </w:rPr>
            </w:pPr>
            <w:r w:rsidRPr="006B11D1">
              <w:rPr>
                <w:bCs/>
              </w:rPr>
              <w:t>RPM, magnetic levitation</w:t>
            </w:r>
          </w:p>
        </w:tc>
        <w:tc>
          <w:tcPr>
            <w:tcW w:w="2207" w:type="dxa"/>
            <w:gridSpan w:val="4"/>
          </w:tcPr>
          <w:p w14:paraId="32BAA9DF" w14:textId="77777777" w:rsidR="00DF5B76" w:rsidRPr="006B11D1" w:rsidRDefault="00DF5B76" w:rsidP="00DF5B76">
            <w:pPr>
              <w:rPr>
                <w:bCs/>
              </w:rPr>
            </w:pPr>
            <w:r w:rsidRPr="006B11D1">
              <w:rPr>
                <w:bCs/>
              </w:rPr>
              <w:t>Microarray</w:t>
            </w:r>
          </w:p>
        </w:tc>
      </w:tr>
      <w:tr w:rsidR="007816C8" w:rsidRPr="006B11D1" w14:paraId="3E2D85B2" w14:textId="77777777" w:rsidTr="00720A47">
        <w:tc>
          <w:tcPr>
            <w:tcW w:w="1651" w:type="dxa"/>
            <w:gridSpan w:val="2"/>
          </w:tcPr>
          <w:p w14:paraId="0F461176" w14:textId="77777777" w:rsidR="00DF5B76" w:rsidRPr="006B11D1" w:rsidRDefault="00DF5B76" w:rsidP="00DF5B76">
            <w:pPr>
              <w:jc w:val="center"/>
              <w:rPr>
                <w:bCs/>
              </w:rPr>
            </w:pPr>
            <w:r w:rsidRPr="006B11D1">
              <w:rPr>
                <w:bCs/>
              </w:rPr>
              <w:t>NA</w:t>
            </w:r>
          </w:p>
        </w:tc>
        <w:tc>
          <w:tcPr>
            <w:tcW w:w="2810" w:type="dxa"/>
            <w:gridSpan w:val="2"/>
          </w:tcPr>
          <w:p w14:paraId="0E18A347" w14:textId="77777777" w:rsidR="00DF5B76" w:rsidRPr="006B11D1" w:rsidRDefault="00DF5B76" w:rsidP="00DF5B76">
            <w:pPr>
              <w:rPr>
                <w:bCs/>
              </w:rPr>
            </w:pPr>
            <w:r w:rsidRPr="006B11D1">
              <w:rPr>
                <w:bCs/>
              </w:rPr>
              <w:fldChar w:fldCharType="begin" w:fldLock="1"/>
            </w:r>
            <w:r>
              <w:rPr>
                <w:bCs/>
              </w:rPr>
              <w:instrText>ADDIN CSL_CITATION {"citationItems":[{"id":"ITEM-1","itemData":{"DOI":"10.1111/j.1365-313X.2006.02931.x","ISSN":"09607412","abstract":"The ATR and ATM protein kinases are known to be involved in a wide variety of responses to DNA damage. The Arabidopsis thaliana genome includes both ATR and ATM orthologs, and plants with null alleles of these genes are viable. Arabidopsis atr and atm mutants display hypersensitivity to gamma-irradiation. To further characterize the roles of ATM and ATR in response to ionizing radiation, we performed a short-term global transcription analysis in wild-type and mutant lines. We found that hundreds of genes are upregulated in response to gamma-irradiation, and that the induction of virtually all of these genes is dependent on ATM, but not ATR. The transcript of CYCB1;1 is unique among the cyclin transcripts in being rapidly and powerfully upregulated in response to ionizing radiation, while other G(2)-associated transcripts are suppressed. We found that both ATM and ATR contribute to the induction of a CYCB1;1:GUS fusion by IR, but only ATR is required for the persistence of this response. We propose that this upregulation of CYCB1;1 does not reflect the accumulation of cells in G(2), but instead reflects a still unknown role for this cyclin in DNA damage response.","author":[{"dropping-particle":"","family":"Culligan","given":"Kevin M.","non-dropping-particle":"","parse-names":false,"suffix":""},{"dropping-particle":"","family":"Robertson","given":"Clare E.","non-dropping-particle":"","parse-names":false,"suffix":""},{"dropping-particle":"","family":"Foreman","given":"Julia","non-dropping-particle":"","parse-names":false,"suffix":""},{"dropping-particle":"","family":"Doerner","given":"Peter","non-dropping-particle":"","parse-names":false,"suffix":""},{"dropping-particle":"","family":"Britt","given":"Anne B.","non-dropping-particle":"","parse-names":false,"suffix":""}],"container-title":"Plant Journal","id":"ITEM-1","issue":"6","issued":{"date-parts":[["2006"]]},"page":"947-961","title":"ATR and ATM play both distinct and additive roles in response to ionizing radiation","type":"article-journal","volume":"48"},"uris":["http://www.mendeley.com/documents/?uuid=ff852a9b-b0c7-41ae-98b5-8eb37afb293c"]}],"mendeley":{"formattedCitation":"(Culligan et al., 2006)","plainTextFormattedCitation":"(Culligan et al., 2006)","previouslyFormattedCitation":"(Culligan et al., 2006)"},"properties":{"noteIndex":0},"schema":"https://github.com/citation-style-language/schema/raw/master/csl-citation.json"}</w:instrText>
            </w:r>
            <w:r w:rsidRPr="006B11D1">
              <w:rPr>
                <w:bCs/>
              </w:rPr>
              <w:fldChar w:fldCharType="separate"/>
            </w:r>
            <w:r w:rsidRPr="009A6580">
              <w:rPr>
                <w:bCs/>
                <w:noProof/>
              </w:rPr>
              <w:t>(Culligan et al., 2006)</w:t>
            </w:r>
            <w:r w:rsidRPr="006B11D1">
              <w:rPr>
                <w:bCs/>
              </w:rPr>
              <w:fldChar w:fldCharType="end"/>
            </w:r>
          </w:p>
        </w:tc>
        <w:tc>
          <w:tcPr>
            <w:tcW w:w="3067" w:type="dxa"/>
            <w:gridSpan w:val="3"/>
          </w:tcPr>
          <w:p w14:paraId="623C923D" w14:textId="77777777" w:rsidR="00DF5B76" w:rsidRPr="006B11D1" w:rsidRDefault="00DF5B76" w:rsidP="00DF5B76">
            <w:pPr>
              <w:rPr>
                <w:bCs/>
              </w:rPr>
            </w:pPr>
            <w:r w:rsidRPr="006B11D1">
              <w:rPr>
                <w:bCs/>
              </w:rPr>
              <w:t xml:space="preserve">WS, </w:t>
            </w:r>
            <w:r w:rsidRPr="006B11D1">
              <w:rPr>
                <w:bCs/>
                <w:i/>
              </w:rPr>
              <w:t xml:space="preserve">atm, </w:t>
            </w:r>
            <w:proofErr w:type="spellStart"/>
            <w:r w:rsidRPr="006B11D1">
              <w:rPr>
                <w:bCs/>
                <w:i/>
              </w:rPr>
              <w:t>atr</w:t>
            </w:r>
            <w:proofErr w:type="spellEnd"/>
            <w:r w:rsidRPr="006B11D1">
              <w:rPr>
                <w:bCs/>
                <w:i/>
              </w:rPr>
              <w:t>, xpf</w:t>
            </w:r>
            <w:r w:rsidRPr="006B11D1">
              <w:rPr>
                <w:rFonts w:eastAsia="Adobe Caslon Pro"/>
                <w:bCs/>
                <w:i/>
              </w:rPr>
              <w:t>‐</w:t>
            </w:r>
            <w:r w:rsidRPr="006B11D1">
              <w:rPr>
                <w:bCs/>
                <w:i/>
              </w:rPr>
              <w:t>2</w:t>
            </w:r>
          </w:p>
        </w:tc>
        <w:tc>
          <w:tcPr>
            <w:tcW w:w="2126" w:type="dxa"/>
            <w:gridSpan w:val="3"/>
          </w:tcPr>
          <w:p w14:paraId="48C317E2" w14:textId="77777777" w:rsidR="00DF5B76" w:rsidRPr="006B11D1" w:rsidRDefault="00DF5B76" w:rsidP="00DF5B76">
            <w:pPr>
              <w:rPr>
                <w:bCs/>
              </w:rPr>
            </w:pPr>
            <w:r w:rsidRPr="006B11D1">
              <w:rPr>
                <w:bCs/>
              </w:rPr>
              <w:t>10Gy radiation</w:t>
            </w:r>
          </w:p>
        </w:tc>
        <w:tc>
          <w:tcPr>
            <w:tcW w:w="2207" w:type="dxa"/>
            <w:gridSpan w:val="4"/>
          </w:tcPr>
          <w:p w14:paraId="7F781E40" w14:textId="77777777" w:rsidR="00DF5B76" w:rsidRPr="006B11D1" w:rsidRDefault="00DF5B76" w:rsidP="00DF5B76">
            <w:pPr>
              <w:rPr>
                <w:bCs/>
              </w:rPr>
            </w:pPr>
            <w:r w:rsidRPr="006B11D1">
              <w:rPr>
                <w:bCs/>
              </w:rPr>
              <w:t>Microarray</w:t>
            </w:r>
          </w:p>
        </w:tc>
      </w:tr>
      <w:tr w:rsidR="007816C8" w:rsidRPr="006B11D1" w14:paraId="6B0DC65C" w14:textId="77777777" w:rsidTr="00720A47">
        <w:tc>
          <w:tcPr>
            <w:tcW w:w="1651" w:type="dxa"/>
            <w:gridSpan w:val="2"/>
          </w:tcPr>
          <w:p w14:paraId="736ECEA9" w14:textId="77777777" w:rsidR="00DF5B76" w:rsidRPr="006B11D1" w:rsidRDefault="00DF5B76" w:rsidP="00DF5B76">
            <w:pPr>
              <w:rPr>
                <w:bCs/>
              </w:rPr>
            </w:pPr>
            <w:r w:rsidRPr="006B11D1">
              <w:rPr>
                <w:bCs/>
              </w:rPr>
              <w:t>GLDS-46 / GEO: GSE61484</w:t>
            </w:r>
          </w:p>
        </w:tc>
        <w:tc>
          <w:tcPr>
            <w:tcW w:w="2810" w:type="dxa"/>
            <w:gridSpan w:val="2"/>
          </w:tcPr>
          <w:p w14:paraId="7CFB10CB" w14:textId="77777777" w:rsidR="00DF5B76" w:rsidRPr="006B11D1" w:rsidRDefault="00DF5B76" w:rsidP="00DF5B76">
            <w:pPr>
              <w:rPr>
                <w:bCs/>
              </w:rPr>
            </w:pPr>
            <w:r w:rsidRPr="006B11D1">
              <w:rPr>
                <w:bCs/>
              </w:rPr>
              <w:fldChar w:fldCharType="begin" w:fldLock="1"/>
            </w:r>
            <w:r>
              <w:rPr>
                <w:bCs/>
              </w:rPr>
              <w:instrText>ADDIN CSL_CITATION {"citationItems":[{"id":"ITEM-1","itemData":{"DOI":"10.3389/fpls.2014.00364","ISSN":"1664462X","abstract":"Plants exhibit a robust transcriptional response to gamma radiation which includes the induction of transcripts required for homologous recombination and the suppression of transcripts that promote cell cycle progression. Various DNA damaging agents induce different spectra of DNA damage as well as \"collateral\" damage to other cellular components and therefore are not expected to provoke identical responses by the cell. Here we study the effects of two different types of ionizing radiation (IR) treatment, HZE (1 GeV Fe(26+) high mass, high charge, and high energy relativistic particles) and gamma photons, on the transcriptome of Arabidopsis thaliana seedlings. Both types of IR induce small clusters of radicals that can result in the formation of double strand breaks (DSBs), but HZE also produces linear arrays of extremely clustered damage. We performed these experiments across a range of time points (1.5-24 h after irradiation) in both wild-type plants and in mutants defective in the DSB-sensing protein kinase ATM. The two types of IR exhibit a shared double strand break-repair-related damage response, although they differ slightly in the timing, degree, and ATM-dependence of the response. The ATM-dependent, DNA metabolism-related transcripts of the \"DSB response\" were also induced by other DNA damaging agents, but were not induced by conventional stresses. Both Gamma and HZE irradiation induced, at 24 h post-irradiation, ATM-dependent transcripts associated with a variety of conventional stresses; these were overrepresented for pathogen response, rather than DNA metabolism. In contrast, only HZE-irradiated plants, at 1.5 h after irradiation, exhibited an additional and very extensive transcriptional response, shared with plants experiencing \"extended night.\" This response was not apparent in gamma-irradiated plants.","author":[{"dropping-particle":"","family":"Missirian","given":"Victor","non-dropping-particle":"","parse-names":false,"suffix":""},{"dropping-particle":"","family":"Conklin","given":"Phillip A.","non-dropping-particle":"","parse-names":false,"suffix":""},{"dropping-particle":"","family":"Culligan","given":"Kevin M.","non-dropping-particle":"","parse-names":false,"suffix":""},{"dropping-particle":"","family":"Huefner","given":"Neil D.","non-dropping-particle":"","parse-names":false,"suffix":""},{"dropping-particle":"","family":"Britt","given":"Anne B.","non-dropping-particle":"","parse-names":false,"suffix":""}],"container-title":"Frontiers in Plant Science","id":"ITEM-1","issued":{"date-parts":[["2014"]]},"page":"364","title":"High atomic weight, high-energy radiation (HZE) induces transcriptional responses shared with conventional stresses in addition to a core \"DSB\" response specific to clastogenic treatments","type":"article-journal","volume":"5"},"uris":["http://www.mendeley.com/documents/?uuid=0ecaf9d9-07fd-4995-96e4-884d1d40071e"]}],"mendeley":{"formattedCitation":"(Missirian et al., 2014)","plainTextFormattedCitation":"(Missirian et al., 2014)","previouslyFormattedCitation":"(Missirian et al., 2014)"},"properties":{"noteIndex":0},"schema":"https://github.com/citation-style-language/schema/raw/master/csl-citation.json"}</w:instrText>
            </w:r>
            <w:r w:rsidRPr="006B11D1">
              <w:rPr>
                <w:bCs/>
              </w:rPr>
              <w:fldChar w:fldCharType="separate"/>
            </w:r>
            <w:r w:rsidRPr="009A6580">
              <w:rPr>
                <w:bCs/>
                <w:noProof/>
              </w:rPr>
              <w:t>(Missirian et al., 2014)</w:t>
            </w:r>
            <w:r w:rsidRPr="006B11D1">
              <w:rPr>
                <w:bCs/>
              </w:rPr>
              <w:fldChar w:fldCharType="end"/>
            </w:r>
          </w:p>
        </w:tc>
        <w:tc>
          <w:tcPr>
            <w:tcW w:w="3067" w:type="dxa"/>
            <w:gridSpan w:val="3"/>
          </w:tcPr>
          <w:p w14:paraId="46C02F10" w14:textId="77777777" w:rsidR="00DF5B76" w:rsidRPr="006B11D1" w:rsidRDefault="00DF5B76" w:rsidP="00DF5B76">
            <w:pPr>
              <w:rPr>
                <w:bCs/>
              </w:rPr>
            </w:pPr>
            <w:r w:rsidRPr="006B11D1">
              <w:rPr>
                <w:bCs/>
              </w:rPr>
              <w:t xml:space="preserve">Col and </w:t>
            </w:r>
            <w:r w:rsidRPr="006B11D1">
              <w:rPr>
                <w:bCs/>
                <w:i/>
              </w:rPr>
              <w:t>atm1-1</w:t>
            </w:r>
          </w:p>
        </w:tc>
        <w:tc>
          <w:tcPr>
            <w:tcW w:w="2126" w:type="dxa"/>
            <w:gridSpan w:val="3"/>
          </w:tcPr>
          <w:p w14:paraId="55DA4144" w14:textId="371F64DB" w:rsidR="00DF5B76" w:rsidRPr="006B11D1" w:rsidRDefault="00DF5B76" w:rsidP="00DF5B76">
            <w:pPr>
              <w:rPr>
                <w:bCs/>
              </w:rPr>
            </w:pPr>
            <w:r w:rsidRPr="006B11D1">
              <w:rPr>
                <w:bCs/>
              </w:rPr>
              <w:t xml:space="preserve">HZE &amp; </w:t>
            </w:r>
            <w:r w:rsidR="007816C8" w:rsidRPr="006B11D1">
              <w:rPr>
                <w:bCs/>
              </w:rPr>
              <w:t>G</w:t>
            </w:r>
            <w:r w:rsidR="007816C8">
              <w:rPr>
                <w:bCs/>
              </w:rPr>
              <w:t>amma</w:t>
            </w:r>
            <w:r w:rsidR="007816C8" w:rsidRPr="006B11D1">
              <w:rPr>
                <w:bCs/>
              </w:rPr>
              <w:t xml:space="preserve"> </w:t>
            </w:r>
            <w:r w:rsidRPr="006B11D1">
              <w:rPr>
                <w:bCs/>
              </w:rPr>
              <w:t>radiation</w:t>
            </w:r>
          </w:p>
        </w:tc>
        <w:tc>
          <w:tcPr>
            <w:tcW w:w="2207" w:type="dxa"/>
            <w:gridSpan w:val="4"/>
          </w:tcPr>
          <w:p w14:paraId="3106C058" w14:textId="77777777" w:rsidR="00DF5B76" w:rsidRPr="006B11D1" w:rsidRDefault="00DF5B76" w:rsidP="00DF5B76">
            <w:pPr>
              <w:rPr>
                <w:bCs/>
              </w:rPr>
            </w:pPr>
            <w:r w:rsidRPr="006B11D1">
              <w:rPr>
                <w:bCs/>
              </w:rPr>
              <w:t>Microarray</w:t>
            </w:r>
          </w:p>
        </w:tc>
      </w:tr>
      <w:tr w:rsidR="007816C8" w:rsidRPr="006B11D1" w14:paraId="750789EC" w14:textId="77777777" w:rsidTr="00720A47">
        <w:tc>
          <w:tcPr>
            <w:tcW w:w="1651" w:type="dxa"/>
            <w:gridSpan w:val="2"/>
          </w:tcPr>
          <w:p w14:paraId="0A7FA1D3" w14:textId="77777777" w:rsidR="00DF5B76" w:rsidRPr="006B11D1" w:rsidRDefault="00DF5B76" w:rsidP="00DF5B76">
            <w:pPr>
              <w:rPr>
                <w:bCs/>
              </w:rPr>
            </w:pPr>
            <w:r w:rsidRPr="006B11D1">
              <w:rPr>
                <w:bCs/>
              </w:rPr>
              <w:t xml:space="preserve"> GLDS-22</w:t>
            </w:r>
          </w:p>
        </w:tc>
        <w:tc>
          <w:tcPr>
            <w:tcW w:w="2810" w:type="dxa"/>
            <w:gridSpan w:val="2"/>
          </w:tcPr>
          <w:p w14:paraId="5D6FCC6E" w14:textId="1BBAF0F9" w:rsidR="00DF5B76" w:rsidRPr="006B11D1" w:rsidRDefault="00157A04" w:rsidP="00DF5B76">
            <w:pPr>
              <w:rPr>
                <w:bCs/>
              </w:rPr>
            </w:pPr>
            <w:r>
              <w:rPr>
                <w:bCs/>
              </w:rPr>
              <w:t>(</w:t>
            </w:r>
            <w:r w:rsidR="00DF5B76" w:rsidRPr="006B11D1">
              <w:rPr>
                <w:bCs/>
              </w:rPr>
              <w:t>Visscher et al., 2010</w:t>
            </w:r>
            <w:r>
              <w:rPr>
                <w:bCs/>
              </w:rPr>
              <w:t>)</w:t>
            </w:r>
          </w:p>
        </w:tc>
        <w:tc>
          <w:tcPr>
            <w:tcW w:w="3067" w:type="dxa"/>
            <w:gridSpan w:val="3"/>
          </w:tcPr>
          <w:p w14:paraId="25027B51" w14:textId="77777777" w:rsidR="00DF5B76" w:rsidRPr="006B11D1" w:rsidRDefault="00DF5B76" w:rsidP="00DF5B76">
            <w:r w:rsidRPr="006B11D1">
              <w:rPr>
                <w:color w:val="000000"/>
                <w:shd w:val="clear" w:color="auto" w:fill="FFFFFF"/>
              </w:rPr>
              <w:t xml:space="preserve">Col &amp; </w:t>
            </w:r>
            <w:r w:rsidRPr="006B11D1">
              <w:rPr>
                <w:i/>
                <w:iCs/>
                <w:color w:val="000000"/>
                <w:shd w:val="clear" w:color="auto" w:fill="FFFFFF"/>
              </w:rPr>
              <w:t>cax1-1</w:t>
            </w:r>
          </w:p>
          <w:p w14:paraId="6B41A6B8" w14:textId="77777777" w:rsidR="00DF5B76" w:rsidRPr="006B11D1" w:rsidRDefault="00DF5B76" w:rsidP="00DF5B76">
            <w:pPr>
              <w:rPr>
                <w:bCs/>
              </w:rPr>
            </w:pPr>
          </w:p>
        </w:tc>
        <w:tc>
          <w:tcPr>
            <w:tcW w:w="2126" w:type="dxa"/>
            <w:gridSpan w:val="3"/>
          </w:tcPr>
          <w:p w14:paraId="50A5C7F2" w14:textId="77777777" w:rsidR="00DF5B76" w:rsidRPr="006B11D1" w:rsidRDefault="00DF5B76" w:rsidP="00DF5B76">
            <w:pPr>
              <w:rPr>
                <w:bCs/>
              </w:rPr>
            </w:pPr>
            <w:r w:rsidRPr="006B11D1">
              <w:rPr>
                <w:bCs/>
              </w:rPr>
              <w:t>MgCl</w:t>
            </w:r>
            <w:r w:rsidRPr="006B11D1">
              <w:rPr>
                <w:bCs/>
                <w:vertAlign w:val="subscript"/>
              </w:rPr>
              <w:t>2</w:t>
            </w:r>
            <w:r w:rsidRPr="006B11D1">
              <w:rPr>
                <w:bCs/>
              </w:rPr>
              <w:t xml:space="preserve"> salts </w:t>
            </w:r>
          </w:p>
        </w:tc>
        <w:tc>
          <w:tcPr>
            <w:tcW w:w="2207" w:type="dxa"/>
            <w:gridSpan w:val="4"/>
          </w:tcPr>
          <w:p w14:paraId="02F4665C" w14:textId="77777777" w:rsidR="00DF5B76" w:rsidRPr="006B11D1" w:rsidRDefault="00DF5B76" w:rsidP="00DF5B76">
            <w:pPr>
              <w:rPr>
                <w:bCs/>
              </w:rPr>
            </w:pPr>
            <w:r w:rsidRPr="006B11D1">
              <w:rPr>
                <w:bCs/>
              </w:rPr>
              <w:t>Microarray</w:t>
            </w:r>
          </w:p>
        </w:tc>
      </w:tr>
      <w:tr w:rsidR="007816C8" w:rsidRPr="006B11D1" w14:paraId="5EBCFCFB" w14:textId="77777777" w:rsidTr="00720A47">
        <w:tc>
          <w:tcPr>
            <w:tcW w:w="1651" w:type="dxa"/>
            <w:gridSpan w:val="2"/>
          </w:tcPr>
          <w:p w14:paraId="3D430CE9" w14:textId="77777777" w:rsidR="00DF5B76" w:rsidRPr="006B11D1" w:rsidRDefault="00DF5B76" w:rsidP="00DF5B76">
            <w:pPr>
              <w:rPr>
                <w:bCs/>
              </w:rPr>
            </w:pPr>
            <w:r w:rsidRPr="006B11D1">
              <w:rPr>
                <w:bCs/>
              </w:rPr>
              <w:t>NA</w:t>
            </w:r>
          </w:p>
        </w:tc>
        <w:tc>
          <w:tcPr>
            <w:tcW w:w="2810" w:type="dxa"/>
            <w:gridSpan w:val="2"/>
          </w:tcPr>
          <w:p w14:paraId="50531FE2" w14:textId="77777777" w:rsidR="00DF5B76" w:rsidRPr="006B11D1" w:rsidRDefault="00DF5B76" w:rsidP="00DF5B76">
            <w:pPr>
              <w:rPr>
                <w:bCs/>
              </w:rPr>
            </w:pPr>
            <w:r w:rsidRPr="006B11D1">
              <w:rPr>
                <w:bCs/>
              </w:rPr>
              <w:fldChar w:fldCharType="begin" w:fldLock="1"/>
            </w:r>
            <w:r>
              <w:rPr>
                <w:bCs/>
              </w:rPr>
              <w:instrText>ADDIN CSL_CITATION {"citationItems":[{"id":"ITEM-1","itemData":{"DOI":"10.1104/pp.16.00420","ISSN":"15322548","abstract":"© 2016 American Society of Plant Biologists. All rights reserved. In the last decade, microarray studies have delivered extensive inventories of transcriptome-wide changes in messenger RNA levels provoked by various types of oxidative stress in Arabidopsis (Arabidopsis thaliana). Previous cross-study comparisons indicated how different types of reactive oxygen species (ROS) and their subcellular accumulation sites are able to reshape the transcriptome in specific manners. However, these analyses often employed simplistic statistical frameworks that are not compatible with large-scale analyses. Here, we reanalyzed a total of 79 Affymetrix ATH1 microarray studies of redox homeostasis perturbation experiments. To create hierarchy in such a high number of transcriptomic data sets, all transcriptional profiles were clustered on the overlap extent of their differentially expressed transcripts. Subsequently, meta-analysis determined a single magnitude of differential expression across studies and identified common transcriptional footprints per cluster. The resulting transcriptional footprints revealed the regulation of various metabolic pathways and gene families. The RESPIRATORY BURST OXIDASE HOMOLOG F-mediated respiratory burst had a major impact and was a converging point among several studies. Conversely, the timing of the oxidative stress response was a determining factor in shaping different transcriptome footprints. Our study emphasizes the need to interpret transcriptomic data sets in a systematic context, where initial, specific stress triggers can converge to common, aspecific transcriptional changes. We believe that these refined transcriptional footprints provide a valuable resource for assessing the involvement of ROS in biological processes in plants.","author":[{"dropping-particle":"","family":"Willems","given":"Patrick","non-dropping-particle":"","parse-names":false,"suffix":""},{"dropping-particle":"","family":"Mhamdi","given":"Amna","non-dropping-particle":"","parse-names":false,"suffix":""},{"dropping-particle":"","family":"Stael","given":"Simon","non-dropping-particle":"","parse-names":false,"suffix":""},{"dropping-particle":"","family":"Storme","given":"Veronique","non-dropping-particle":"","parse-names":false,"suffix":""},{"dropping-particle":"","family":"Kerchev","given":"Pavel","non-dropping-particle":"","parse-names":false,"suffix":""},{"dropping-particle":"","family":"Noctor","given":"Graham","non-dropping-particle":"","parse-names":false,"suffix":""},{"dropping-particle":"","family":"Gevaert","given":"Kris","non-dropping-particle":"","parse-names":false,"suffix":""},{"dropping-particle":"","family":"Breusegem","given":"Frank","non-dropping-particle":"Van","parse-names":false,"suffix":""}],"container-title":"Plant Physiology","id":"ITEM-1","issue":"3","issued":{"date-parts":[["2016"]]},"page":"1720-1733","title":"The ROS wheel: Refining ROS transcriptional footprints","type":"article-journal","volume":"17"},"uris":["http://www.mendeley.com/documents/?uuid=4694d03b-4ea2-4f08-9ed9-e1b3d26b5048"]}],"mendeley":{"formattedCitation":"(Willems et al., 2016)","plainTextFormattedCitation":"(Willems et al., 2016)","previouslyFormattedCitation":"(Willems et al., 2016)"},"properties":{"noteIndex":0},"schema":"https://github.com/citation-style-language/schema/raw/master/csl-citation.json"}</w:instrText>
            </w:r>
            <w:r w:rsidRPr="006B11D1">
              <w:rPr>
                <w:bCs/>
              </w:rPr>
              <w:fldChar w:fldCharType="separate"/>
            </w:r>
            <w:r w:rsidRPr="009A6580">
              <w:rPr>
                <w:bCs/>
                <w:noProof/>
              </w:rPr>
              <w:t>(Willems et al., 2016)</w:t>
            </w:r>
            <w:r w:rsidRPr="006B11D1">
              <w:rPr>
                <w:bCs/>
              </w:rPr>
              <w:fldChar w:fldCharType="end"/>
            </w:r>
          </w:p>
        </w:tc>
        <w:tc>
          <w:tcPr>
            <w:tcW w:w="3067" w:type="dxa"/>
            <w:gridSpan w:val="3"/>
          </w:tcPr>
          <w:p w14:paraId="1FFB07C1" w14:textId="77777777" w:rsidR="00DF5B76" w:rsidRPr="006B11D1" w:rsidRDefault="00DF5B76" w:rsidP="00DF5B76">
            <w:pPr>
              <w:rPr>
                <w:bCs/>
              </w:rPr>
            </w:pPr>
            <w:r w:rsidRPr="006B11D1">
              <w:rPr>
                <w:bCs/>
              </w:rPr>
              <w:t xml:space="preserve">Col, </w:t>
            </w:r>
            <w:proofErr w:type="spellStart"/>
            <w:r w:rsidRPr="006B11D1">
              <w:rPr>
                <w:bCs/>
              </w:rPr>
              <w:t>Ler</w:t>
            </w:r>
            <w:proofErr w:type="spellEnd"/>
            <w:r w:rsidRPr="006B11D1">
              <w:rPr>
                <w:bCs/>
              </w:rPr>
              <w:t>, WS</w:t>
            </w:r>
          </w:p>
        </w:tc>
        <w:tc>
          <w:tcPr>
            <w:tcW w:w="2126" w:type="dxa"/>
            <w:gridSpan w:val="3"/>
          </w:tcPr>
          <w:p w14:paraId="7C654B1B" w14:textId="3D0A2897" w:rsidR="00DF5B76" w:rsidRPr="006B11D1" w:rsidRDefault="00DF5B76" w:rsidP="00DF5B76">
            <w:pPr>
              <w:rPr>
                <w:bCs/>
              </w:rPr>
            </w:pPr>
            <w:r w:rsidRPr="006B11D1">
              <w:rPr>
                <w:bCs/>
              </w:rPr>
              <w:t xml:space="preserve">ROS </w:t>
            </w:r>
            <w:proofErr w:type="spellStart"/>
            <w:r w:rsidRPr="006B11D1">
              <w:rPr>
                <w:bCs/>
              </w:rPr>
              <w:t xml:space="preserve">Meta </w:t>
            </w:r>
            <w:r w:rsidR="00EA00FF">
              <w:rPr>
                <w:bCs/>
              </w:rPr>
              <w:t>a</w:t>
            </w:r>
            <w:r w:rsidR="00EA00FF" w:rsidRPr="006B11D1">
              <w:rPr>
                <w:bCs/>
              </w:rPr>
              <w:t>nalysis</w:t>
            </w:r>
            <w:proofErr w:type="spellEnd"/>
          </w:p>
        </w:tc>
        <w:tc>
          <w:tcPr>
            <w:tcW w:w="2207" w:type="dxa"/>
            <w:gridSpan w:val="4"/>
          </w:tcPr>
          <w:p w14:paraId="54FF3C66" w14:textId="77777777" w:rsidR="00DF5B76" w:rsidRPr="006B11D1" w:rsidRDefault="00DF5B76" w:rsidP="00DF5B76">
            <w:pPr>
              <w:rPr>
                <w:bCs/>
              </w:rPr>
            </w:pPr>
            <w:r w:rsidRPr="006B11D1">
              <w:rPr>
                <w:bCs/>
              </w:rPr>
              <w:t>Microarray</w:t>
            </w:r>
          </w:p>
        </w:tc>
      </w:tr>
      <w:tr w:rsidR="007816C8" w:rsidRPr="006B11D1" w14:paraId="6A9689A5" w14:textId="77777777" w:rsidTr="00720A47">
        <w:tc>
          <w:tcPr>
            <w:tcW w:w="1651" w:type="dxa"/>
            <w:gridSpan w:val="2"/>
          </w:tcPr>
          <w:p w14:paraId="1342008E" w14:textId="77777777" w:rsidR="00DF5B76" w:rsidRPr="006B11D1" w:rsidRDefault="00DF5B76" w:rsidP="00DF5B76">
            <w:pPr>
              <w:rPr>
                <w:bCs/>
              </w:rPr>
            </w:pPr>
            <w:r w:rsidRPr="006B11D1">
              <w:rPr>
                <w:bCs/>
              </w:rPr>
              <w:t>GEO: GSE5749</w:t>
            </w:r>
          </w:p>
        </w:tc>
        <w:tc>
          <w:tcPr>
            <w:tcW w:w="2810" w:type="dxa"/>
            <w:gridSpan w:val="2"/>
          </w:tcPr>
          <w:p w14:paraId="661BF31E" w14:textId="77777777" w:rsidR="00DF5B76" w:rsidRPr="006B11D1" w:rsidRDefault="00DF5B76" w:rsidP="00DF5B76">
            <w:pPr>
              <w:rPr>
                <w:bCs/>
              </w:rPr>
            </w:pPr>
            <w:r w:rsidRPr="006B11D1">
              <w:rPr>
                <w:bCs/>
              </w:rPr>
              <w:fldChar w:fldCharType="begin" w:fldLock="1"/>
            </w:r>
            <w:r>
              <w:rPr>
                <w:bCs/>
              </w:rPr>
              <w:instrText>ADDIN CSL_CITATION {"citationItems":[{"id":"ITEM-1","itemData":{"DOI":"10.1126/science.1090022","ISSN":"00368075","abstract":"A global map of gene expression within an organ can identify genes with coordinated expression in localized domains, thereby relating gene activity to cell fate and tissue specialization. Here, we present localization of expression of more than 22,000 genes in the Arabidopsis root. Gene expression was mapped to 15 different zones of the root that correspond to cell types and tissues at progressive developmental stages. Patterns of gene expression traverse traditional anatomical boundaries and show cassettes of hormonal response. Chromosomal clustering defined some coregulated genes. This expression map correlates groups of genes to specific cell fates and should serve to guide reverse genetics.","author":[{"dropping-particle":"","family":"Birnbaum","given":"Kenneth","non-dropping-particle":"","parse-names":false,"suffix":""},{"dropping-particle":"","family":"Shasha","given":"Dennis E.","non-dropping-particle":"","parse-names":false,"suffix":""},{"dropping-particle":"","family":"Wang","given":"Jean Y.","non-dropping-particle":"","parse-names":false,"suffix":""},{"dropping-particle":"","family":"Jung","given":"Jee W.","non-dropping-particle":"","parse-names":false,"suffix":""},{"dropping-particle":"","family":"Lambert","given":"Georgina M.","non-dropping-particle":"","parse-names":false,"suffix":""},{"dropping-particle":"","family":"Galbraith","given":"David W.","non-dropping-particle":"","parse-names":false,"suffix":""},{"dropping-particle":"","family":"Benfey","given":"Philip N.","non-dropping-particle":"","parse-names":false,"suffix":""}],"container-title":"Science","id":"ITEM-1","issue":"5652","issued":{"date-parts":[["2003"]]},"page":"1956-1960","title":"A Gene Expression Map of the Arabidopsis Root","type":"article-journal","volume":"302"},"uris":["http://www.mendeley.com/documents/?uuid=45214706-0ced-4ed2-a09f-2a4404c5e0b3"]}],"mendeley":{"formattedCitation":"(Birnbaum et al., 2003)","plainTextFormattedCitation":"(Birnbaum et al., 2003)","previouslyFormattedCitation":"(Birnbaum et al., 2003)"},"properties":{"noteIndex":0},"schema":"https://github.com/citation-style-language/schema/raw/master/csl-citation.json"}</w:instrText>
            </w:r>
            <w:r w:rsidRPr="006B11D1">
              <w:rPr>
                <w:bCs/>
              </w:rPr>
              <w:fldChar w:fldCharType="separate"/>
            </w:r>
            <w:r w:rsidRPr="009A6580">
              <w:rPr>
                <w:bCs/>
                <w:noProof/>
              </w:rPr>
              <w:t>(Birnbaum et al., 2003)</w:t>
            </w:r>
            <w:r w:rsidRPr="006B11D1">
              <w:rPr>
                <w:bCs/>
              </w:rPr>
              <w:fldChar w:fldCharType="end"/>
            </w:r>
          </w:p>
        </w:tc>
        <w:tc>
          <w:tcPr>
            <w:tcW w:w="3067" w:type="dxa"/>
            <w:gridSpan w:val="3"/>
          </w:tcPr>
          <w:p w14:paraId="594AB431" w14:textId="77777777" w:rsidR="00DF5B76" w:rsidRPr="006B11D1" w:rsidRDefault="00DF5B76" w:rsidP="00DF5B76">
            <w:pPr>
              <w:rPr>
                <w:bCs/>
              </w:rPr>
            </w:pPr>
            <w:r w:rsidRPr="006B11D1">
              <w:rPr>
                <w:bCs/>
              </w:rPr>
              <w:t>Col</w:t>
            </w:r>
          </w:p>
        </w:tc>
        <w:tc>
          <w:tcPr>
            <w:tcW w:w="2126" w:type="dxa"/>
            <w:gridSpan w:val="3"/>
          </w:tcPr>
          <w:p w14:paraId="21EFA407" w14:textId="77777777" w:rsidR="00DF5B76" w:rsidRPr="006B11D1" w:rsidRDefault="00DF5B76" w:rsidP="00DF5B76">
            <w:pPr>
              <w:rPr>
                <w:bCs/>
              </w:rPr>
            </w:pPr>
            <w:r w:rsidRPr="006B11D1">
              <w:rPr>
                <w:bCs/>
              </w:rPr>
              <w:t>Root tissue map</w:t>
            </w:r>
          </w:p>
        </w:tc>
        <w:tc>
          <w:tcPr>
            <w:tcW w:w="2207" w:type="dxa"/>
            <w:gridSpan w:val="4"/>
          </w:tcPr>
          <w:p w14:paraId="01746D6C" w14:textId="77777777" w:rsidR="00DF5B76" w:rsidRPr="006B11D1" w:rsidRDefault="00DF5B76" w:rsidP="00DF5B76">
            <w:pPr>
              <w:rPr>
                <w:bCs/>
              </w:rPr>
            </w:pPr>
            <w:r w:rsidRPr="006B11D1">
              <w:rPr>
                <w:bCs/>
              </w:rPr>
              <w:t>Microarray</w:t>
            </w:r>
          </w:p>
        </w:tc>
      </w:tr>
      <w:tr w:rsidR="007816C8" w:rsidRPr="006B11D1" w14:paraId="09CB5135" w14:textId="77777777" w:rsidTr="00720A47">
        <w:tc>
          <w:tcPr>
            <w:tcW w:w="1651" w:type="dxa"/>
            <w:gridSpan w:val="2"/>
          </w:tcPr>
          <w:p w14:paraId="2C2B6EBD" w14:textId="77777777" w:rsidR="00DF5B76" w:rsidRPr="006B11D1" w:rsidRDefault="00DF5B76" w:rsidP="00DF5B76">
            <w:pPr>
              <w:rPr>
                <w:bCs/>
              </w:rPr>
            </w:pPr>
            <w:r w:rsidRPr="006B11D1">
              <w:rPr>
                <w:bCs/>
              </w:rPr>
              <w:t>NA</w:t>
            </w:r>
          </w:p>
        </w:tc>
        <w:tc>
          <w:tcPr>
            <w:tcW w:w="2810" w:type="dxa"/>
            <w:gridSpan w:val="2"/>
          </w:tcPr>
          <w:p w14:paraId="194407E7" w14:textId="77777777" w:rsidR="00DF5B76" w:rsidRPr="006B11D1" w:rsidRDefault="00DF5B76" w:rsidP="00DF5B76">
            <w:pPr>
              <w:rPr>
                <w:bCs/>
              </w:rPr>
            </w:pPr>
            <w:r w:rsidRPr="006B11D1">
              <w:rPr>
                <w:bCs/>
              </w:rPr>
              <w:fldChar w:fldCharType="begin" w:fldLock="1"/>
            </w:r>
            <w:r>
              <w:rPr>
                <w:bCs/>
              </w:rPr>
              <w:instrText>ADDIN CSL_CITATION {"citationItems":[{"id":"ITEM-1","itemData":{"DOI":"10.1016/j.lssr.2017.09.001","ISSN":"22145532","abstract":"The Biological Research in Canisters (BRIC) hardware has been used to house many biology experiments on both the Space Transport System (STS, commonly known as the space shuttle) and the International Space Station (ISS). However, microscopic examination of Arabidopsis seedlings by Johnson et al. (2015) indicated the hardware itself may affect cell morphology. The experiment herein was designed to assess the effects of the BRIC-Petri Dish Fixation Units (BRIC-PDFU) hardware on the transcriptome and proteome of Arabidopsis seedlings. To our knowledge, this is the first transcriptomic and proteomic comparison of Arabidopsis seedlings grown with and without hardware. Arabidopsis thaliana wild-type Columbia (Col-0) seeds were sterilized and bulk plated on forty-four 60 mm Petri plates, of which 22 were integrated into the BRIC-PDFU hardware and 22 were maintained in closed containers at Ohio University. Seedlings were grown for approximately 3 days, fixed with RNAlater ® and stored at -80 °C prior to RNA and protein extraction, with proteins separated into membrane and soluble fractions prior to analysis. The RNAseq analysis identified 1651 differentially expressed genes; MS/MS analysis identified 598 soluble and 589 membrane proteins differentially abundant both at p &lt; .05. Fold enrichment analysis of gene ontology terms related to differentially expressed transcripts and proteins highlighted a variety of stress responses. Some of these genes and proteins have been previously identified in spaceflight experiments, indicating that these genes and proteins may be perturbed by both conditions.","author":[{"dropping-particle":"","family":"Basu","given":"Proma","non-dropping-particle":"","parse-names":false,"suffix":""},{"dropping-particle":"","family":"Kruse","given":"Colin P.S.","non-dropping-particle":"","parse-names":false,"suffix":""},{"dropping-particle":"","family":"Luesse","given":"Darron R.","non-dropping-particle":"","parse-names":false,"suffix":""},{"dropping-particle":"","family":"Wyatt","given":"Sarah E.","non-dropping-particle":"","parse-names":false,"suffix":""}],"container-title":"Life Sciences in Space Research","id":"ITEM-1","issued":{"date-parts":[["2017"]]},"page":"88-96","title":"Growth in spaceflight hardware results in alterations to the transcriptome and proteome","type":"article-journal","volume":"15"},"uris":["http://www.mendeley.com/documents/?uuid=f6aa8e3f-7f72-4740-b7c9-15a612706462"]}],"mendeley":{"formattedCitation":"(Basu et al., 2017)","plainTextFormattedCitation":"(Basu et al., 2017)","previouslyFormattedCitation":"(Basu et al., 2017)"},"properties":{"noteIndex":0},"schema":"https://github.com/citation-style-language/schema/raw/master/csl-citation.json"}</w:instrText>
            </w:r>
            <w:r w:rsidRPr="006B11D1">
              <w:rPr>
                <w:bCs/>
              </w:rPr>
              <w:fldChar w:fldCharType="separate"/>
            </w:r>
            <w:r w:rsidRPr="009A6580">
              <w:rPr>
                <w:bCs/>
                <w:noProof/>
              </w:rPr>
              <w:t>(Basu et al., 2017)</w:t>
            </w:r>
            <w:r w:rsidRPr="006B11D1">
              <w:rPr>
                <w:bCs/>
              </w:rPr>
              <w:fldChar w:fldCharType="end"/>
            </w:r>
          </w:p>
        </w:tc>
        <w:tc>
          <w:tcPr>
            <w:tcW w:w="3067" w:type="dxa"/>
            <w:gridSpan w:val="3"/>
          </w:tcPr>
          <w:p w14:paraId="61EFE815" w14:textId="77777777" w:rsidR="00DF5B76" w:rsidRPr="006B11D1" w:rsidRDefault="00DF5B76" w:rsidP="00DF5B76">
            <w:pPr>
              <w:rPr>
                <w:bCs/>
              </w:rPr>
            </w:pPr>
            <w:r w:rsidRPr="006B11D1">
              <w:rPr>
                <w:bCs/>
              </w:rPr>
              <w:t>Col</w:t>
            </w:r>
          </w:p>
        </w:tc>
        <w:tc>
          <w:tcPr>
            <w:tcW w:w="2126" w:type="dxa"/>
            <w:gridSpan w:val="3"/>
          </w:tcPr>
          <w:p w14:paraId="4BA74C30" w14:textId="77777777" w:rsidR="00DF5B76" w:rsidRPr="006B11D1" w:rsidRDefault="00DF5B76" w:rsidP="00DF5B76">
            <w:pPr>
              <w:rPr>
                <w:bCs/>
              </w:rPr>
            </w:pPr>
            <w:r w:rsidRPr="006B11D1">
              <w:rPr>
                <w:bCs/>
              </w:rPr>
              <w:t>BRIC hardware effect</w:t>
            </w:r>
          </w:p>
        </w:tc>
        <w:tc>
          <w:tcPr>
            <w:tcW w:w="2207" w:type="dxa"/>
            <w:gridSpan w:val="4"/>
          </w:tcPr>
          <w:p w14:paraId="6C22B01E" w14:textId="77777777" w:rsidR="00DF5B76" w:rsidRPr="006B11D1" w:rsidRDefault="00DF5B76" w:rsidP="00DF5B76">
            <w:pPr>
              <w:rPr>
                <w:bCs/>
              </w:rPr>
            </w:pPr>
            <w:proofErr w:type="spellStart"/>
            <w:r w:rsidRPr="006B11D1">
              <w:rPr>
                <w:bCs/>
              </w:rPr>
              <w:t>RNAseq</w:t>
            </w:r>
            <w:proofErr w:type="spellEnd"/>
            <w:r w:rsidRPr="006B11D1">
              <w:rPr>
                <w:bCs/>
              </w:rPr>
              <w:t>, proteomics</w:t>
            </w:r>
          </w:p>
        </w:tc>
      </w:tr>
      <w:tr w:rsidR="007816C8" w:rsidRPr="006B11D1" w14:paraId="06208429" w14:textId="77777777" w:rsidTr="00720A47">
        <w:tc>
          <w:tcPr>
            <w:tcW w:w="1651" w:type="dxa"/>
            <w:gridSpan w:val="2"/>
          </w:tcPr>
          <w:p w14:paraId="57F71DB8" w14:textId="77777777" w:rsidR="00DF5B76" w:rsidRPr="006B11D1" w:rsidRDefault="00DF5B76" w:rsidP="00DF5B76">
            <w:pPr>
              <w:rPr>
                <w:bCs/>
              </w:rPr>
            </w:pPr>
            <w:r w:rsidRPr="006B11D1">
              <w:rPr>
                <w:bCs/>
              </w:rPr>
              <w:t>GLDS-208</w:t>
            </w:r>
          </w:p>
        </w:tc>
        <w:tc>
          <w:tcPr>
            <w:tcW w:w="2810" w:type="dxa"/>
            <w:gridSpan w:val="2"/>
          </w:tcPr>
          <w:p w14:paraId="3E3BEFEA" w14:textId="77777777" w:rsidR="00DF5B76" w:rsidRPr="006B11D1" w:rsidRDefault="00DF5B76" w:rsidP="00DF5B76">
            <w:pPr>
              <w:rPr>
                <w:bCs/>
              </w:rPr>
            </w:pPr>
            <w:r w:rsidRPr="006B11D1">
              <w:rPr>
                <w:bCs/>
              </w:rPr>
              <w:fldChar w:fldCharType="begin" w:fldLock="1"/>
            </w:r>
            <w:r>
              <w:rPr>
                <w:bCs/>
              </w:rPr>
              <w:instrText>ADDIN CSL_CITATION {"citationItems":[{"id":"ITEM-1","itemData":{"DOI":"10.1002/aps3.1197","ISSN":"15372197","abstract":"Premise of the Study The root apex is an important region involved in environmental sensing, but comprises a very small part of the root. Obtaining root apex transcriptomes is therefore challenging when the samples are limited. The feasibility of using tiny root sections for transcriptome analysis was examined, comparing RNA sequencing (RNA-Seq) to microarrays in characterizing genes that are relevant to spaceflight. Methods Arabidopsis thaliana Columbia ecotype (Col-0) roots were sectioned into Zone 1 (0.5 mm; root cap and meristematic zone) and Zone 2 (1.5 mm; transition, elongation, and growth-terminating zone). Differential gene expression in each was compared. Results Both microarrays and RNA-Seq proved applicable to the small samples. A total of 4180 genes were differentially expressed (with fold changes of 2 or greater) between Zone 1 and Zone 2. In addition, 771 unique genes and 19 novel transcriptionally active regions were identified by RNA-Seq that were not detected in microarrays. However, microarrays detected spaceflight-relevant genes that were missed in RNA-Seq. Discussion Single root tip subsections can be used for transcriptome analysis using either RNA-Seq or microarrays. Both RNA-Seq and microarrays provided novel information. These data suggest that techniques for dealing with small, rare samples from spaceflight can be further enhanced, and that RNA-Seq may miss some spaceflight-relevant changes in gene expression.","author":[{"dropping-particle":"","family":"Krishnamurthy","given":"Aparna","non-dropping-particle":"","parse-names":false,"suffix":""},{"dropping-particle":"","family":"Ferl","given":"Robert J.","non-dropping-particle":"","parse-names":false,"suffix":""},{"dropping-particle":"","family":"Paul","given":"Anna Lisa","non-dropping-particle":"","parse-names":false,"suffix":""}],"container-title":"Applications in Plant Sciences","id":"ITEM-1","issue":"11","issued":{"date-parts":[["2018"]]},"page":"e01197","title":"Comparing RNA-Seq and microarray gene expression data in two zones of the Arabidopsis root apex relevant to spaceflight","type":"article-journal","volume":"6"},"uris":["http://www.mendeley.com/documents/?uuid=bb974654-0629-48fe-83fd-01401bcc60c1"]}],"mendeley":{"formattedCitation":"(Krishnamurthy et al., 2018)","plainTextFormattedCitation":"(Krishnamurthy et al., 2018)","previouslyFormattedCitation":"(Krishnamurthy et al., 2018)"},"properties":{"noteIndex":0},"schema":"https://github.com/citation-style-language/schema/raw/master/csl-citation.json"}</w:instrText>
            </w:r>
            <w:r w:rsidRPr="006B11D1">
              <w:rPr>
                <w:bCs/>
              </w:rPr>
              <w:fldChar w:fldCharType="separate"/>
            </w:r>
            <w:r w:rsidRPr="009A6580">
              <w:rPr>
                <w:bCs/>
                <w:noProof/>
              </w:rPr>
              <w:t>(Krishnamurthy et al., 2018)</w:t>
            </w:r>
            <w:r w:rsidRPr="006B11D1">
              <w:rPr>
                <w:bCs/>
              </w:rPr>
              <w:fldChar w:fldCharType="end"/>
            </w:r>
          </w:p>
        </w:tc>
        <w:tc>
          <w:tcPr>
            <w:tcW w:w="3067" w:type="dxa"/>
            <w:gridSpan w:val="3"/>
          </w:tcPr>
          <w:p w14:paraId="1C6FB635" w14:textId="77777777" w:rsidR="00DF5B76" w:rsidRPr="006B11D1" w:rsidRDefault="00DF5B76" w:rsidP="00DF5B76">
            <w:pPr>
              <w:rPr>
                <w:bCs/>
              </w:rPr>
            </w:pPr>
            <w:r w:rsidRPr="006B11D1">
              <w:rPr>
                <w:bCs/>
              </w:rPr>
              <w:t>Col</w:t>
            </w:r>
          </w:p>
        </w:tc>
        <w:tc>
          <w:tcPr>
            <w:tcW w:w="2126" w:type="dxa"/>
            <w:gridSpan w:val="3"/>
          </w:tcPr>
          <w:p w14:paraId="04ADCCB3" w14:textId="77777777" w:rsidR="00DF5B76" w:rsidRPr="006B11D1" w:rsidRDefault="00DF5B76" w:rsidP="00DF5B76">
            <w:pPr>
              <w:rPr>
                <w:bCs/>
              </w:rPr>
            </w:pPr>
            <w:r w:rsidRPr="006B11D1">
              <w:rPr>
                <w:bCs/>
              </w:rPr>
              <w:t>Root tip transcriptome</w:t>
            </w:r>
          </w:p>
        </w:tc>
        <w:tc>
          <w:tcPr>
            <w:tcW w:w="2207" w:type="dxa"/>
            <w:gridSpan w:val="4"/>
          </w:tcPr>
          <w:p w14:paraId="1A92A068" w14:textId="77777777" w:rsidR="00DF5B76" w:rsidRPr="006B11D1" w:rsidRDefault="00DF5B76" w:rsidP="00DF5B76">
            <w:pPr>
              <w:rPr>
                <w:bCs/>
              </w:rPr>
            </w:pPr>
            <w:r w:rsidRPr="006B11D1">
              <w:rPr>
                <w:bCs/>
              </w:rPr>
              <w:t xml:space="preserve">Microarray &amp; </w:t>
            </w:r>
            <w:proofErr w:type="spellStart"/>
            <w:r w:rsidRPr="006B11D1">
              <w:rPr>
                <w:bCs/>
              </w:rPr>
              <w:t>RNAseq</w:t>
            </w:r>
            <w:proofErr w:type="spellEnd"/>
          </w:p>
        </w:tc>
      </w:tr>
      <w:tr w:rsidR="007816C8" w:rsidRPr="006B11D1" w14:paraId="7BE66736" w14:textId="77777777" w:rsidTr="00720A47">
        <w:tc>
          <w:tcPr>
            <w:tcW w:w="1651" w:type="dxa"/>
            <w:gridSpan w:val="2"/>
          </w:tcPr>
          <w:p w14:paraId="287ACC39" w14:textId="77777777" w:rsidR="00DF5B76" w:rsidRPr="006B11D1" w:rsidRDefault="00DF5B76" w:rsidP="00DF5B76">
            <w:pPr>
              <w:rPr>
                <w:bCs/>
              </w:rPr>
            </w:pPr>
            <w:r w:rsidRPr="006B11D1">
              <w:rPr>
                <w:bCs/>
              </w:rPr>
              <w:t>GLDS-144</w:t>
            </w:r>
          </w:p>
        </w:tc>
        <w:tc>
          <w:tcPr>
            <w:tcW w:w="2810" w:type="dxa"/>
            <w:gridSpan w:val="2"/>
          </w:tcPr>
          <w:p w14:paraId="09F96A72" w14:textId="77777777" w:rsidR="00DF5B76" w:rsidRPr="006B11D1" w:rsidRDefault="00DF5B76" w:rsidP="00DF5B76">
            <w:pPr>
              <w:rPr>
                <w:bCs/>
              </w:rPr>
            </w:pPr>
            <w:r w:rsidRPr="006B11D1">
              <w:rPr>
                <w:color w:val="000000"/>
                <w:shd w:val="clear" w:color="auto" w:fill="FFFFFF"/>
              </w:rPr>
              <w:fldChar w:fldCharType="begin" w:fldLock="1"/>
            </w:r>
            <w:r>
              <w:rPr>
                <w:color w:val="000000"/>
                <w:shd w:val="clear" w:color="auto" w:fill="FFFFFF"/>
              </w:rPr>
              <w:instrText>ADDIN CSL_CITATION {"citationItems":[{"id":"ITEM-1","itemData":{"DOI":"10.1016/j.ygeno.2019.01.007","ISSN":"10898646","abstract":"Plant cell proliferation is affected by microgravity during spaceflight, but involved molecular mechanisms, key for space agronomy goals, remain unclear. To investigate transcriptomic changes in cell cycle phases caused by simulated microgravity, an Arabidopsis immobilized synchronous suspension culture was incubated in a Random Positioning Machine. After simulation, a transcriptomic analysis was performed with two subpopulations of cells (G2/M and G1 phases enriched) and an asynchronous culture sample. Differential expression was found at cell proliferation, energy/redox and stress responses, plus unknown biological processes gene ontology groups. Overall expression inhibition was a common response to simulated microgravity, but differences peak at the G2/M phase and stress response components change dramatically from G2/M to the G1 subpopulation suggesting a differential adaptation response to simulated microgravity through the cell cycle. Cell cycle adaptation using both known stress mechanisms and unknown function genes may cope with reduced gravity as an evolutionary novel environment.","author":[{"dropping-particle":"","family":"Kamal","given":"Khaled Y.","non-dropping-particle":"","parse-names":false,"suffix":""},{"dropping-particle":"","family":"Loon","given":"Jack J.W.A.","non-dropping-particle":"van","parse-names":false,"suffix":""},{"dropping-particle":"","family":"Medina","given":"F. Javier","non-dropping-particle":"","parse-names":false,"suffix":""},{"dropping-particle":"","family":"Herranz","given":"Raúl","non-dropping-particle":"","parse-names":false,"suffix":""}],"container-title":"Genomics","id":"ITEM-1","issued":{"date-parts":[["2019"]]},"page":"30536","title":"Differential transcriptional profile through cell cycle progression in Arabidopsis cultures under simulated microgravity","type":"article-journal","volume":"S0888-7543"},"uris":["http://www.mendeley.com/documents/?uuid=2058a2ce-93ee-4f8a-a52a-0816d99aed09"]}],"mendeley":{"formattedCitation":"(Kamal et al., 2019)","plainTextFormattedCitation":"(Kamal et al., 2019)","previouslyFormattedCitation":"(Kamal et al., 2019)"},"properties":{"noteIndex":0},"schema":"https://github.com/citation-style-language/schema/raw/master/csl-citation.json"}</w:instrText>
            </w:r>
            <w:r w:rsidRPr="006B11D1">
              <w:rPr>
                <w:color w:val="000000"/>
                <w:shd w:val="clear" w:color="auto" w:fill="FFFFFF"/>
              </w:rPr>
              <w:fldChar w:fldCharType="separate"/>
            </w:r>
            <w:r w:rsidRPr="009A6580">
              <w:rPr>
                <w:noProof/>
                <w:color w:val="000000"/>
                <w:shd w:val="clear" w:color="auto" w:fill="FFFFFF"/>
              </w:rPr>
              <w:t>(Kamal et al., 2019)</w:t>
            </w:r>
            <w:r w:rsidRPr="006B11D1">
              <w:rPr>
                <w:color w:val="000000"/>
                <w:shd w:val="clear" w:color="auto" w:fill="FFFFFF"/>
              </w:rPr>
              <w:fldChar w:fldCharType="end"/>
            </w:r>
          </w:p>
        </w:tc>
        <w:tc>
          <w:tcPr>
            <w:tcW w:w="3067" w:type="dxa"/>
            <w:gridSpan w:val="3"/>
          </w:tcPr>
          <w:p w14:paraId="407552AF" w14:textId="77777777" w:rsidR="00DF5B76" w:rsidRPr="006B11D1" w:rsidRDefault="00DF5B76" w:rsidP="00DF5B76">
            <w:pPr>
              <w:rPr>
                <w:bCs/>
              </w:rPr>
            </w:pPr>
            <w:r w:rsidRPr="006B11D1">
              <w:rPr>
                <w:bCs/>
              </w:rPr>
              <w:t>Col</w:t>
            </w:r>
          </w:p>
        </w:tc>
        <w:tc>
          <w:tcPr>
            <w:tcW w:w="2126" w:type="dxa"/>
            <w:gridSpan w:val="3"/>
          </w:tcPr>
          <w:p w14:paraId="6FF1D10C" w14:textId="77777777" w:rsidR="00DF5B76" w:rsidRPr="006B11D1" w:rsidRDefault="00DF5B76" w:rsidP="00DF5B76">
            <w:pPr>
              <w:rPr>
                <w:bCs/>
              </w:rPr>
            </w:pPr>
            <w:r w:rsidRPr="006B11D1">
              <w:rPr>
                <w:bCs/>
              </w:rPr>
              <w:t>RPM, cell cycle analysis</w:t>
            </w:r>
          </w:p>
        </w:tc>
        <w:tc>
          <w:tcPr>
            <w:tcW w:w="2207" w:type="dxa"/>
            <w:gridSpan w:val="4"/>
          </w:tcPr>
          <w:p w14:paraId="2AEDB285" w14:textId="77777777" w:rsidR="00DF5B76" w:rsidRPr="006B11D1" w:rsidRDefault="00DF5B76" w:rsidP="00DF5B76">
            <w:pPr>
              <w:rPr>
                <w:bCs/>
              </w:rPr>
            </w:pPr>
            <w:r w:rsidRPr="006B11D1">
              <w:rPr>
                <w:bCs/>
              </w:rPr>
              <w:t>Microarray</w:t>
            </w:r>
          </w:p>
        </w:tc>
      </w:tr>
      <w:tr w:rsidR="007816C8" w:rsidRPr="006B11D1" w14:paraId="26A17E33" w14:textId="77777777" w:rsidTr="00720A47">
        <w:tc>
          <w:tcPr>
            <w:tcW w:w="1651" w:type="dxa"/>
            <w:gridSpan w:val="2"/>
          </w:tcPr>
          <w:p w14:paraId="1A0A3A19" w14:textId="77777777" w:rsidR="00DF5B76" w:rsidRPr="006B11D1" w:rsidRDefault="00DF5B76" w:rsidP="00DF5B76">
            <w:pPr>
              <w:rPr>
                <w:bCs/>
              </w:rPr>
            </w:pPr>
            <w:r w:rsidRPr="006B11D1">
              <w:rPr>
                <w:bCs/>
              </w:rPr>
              <w:t>GLDS-45</w:t>
            </w:r>
          </w:p>
        </w:tc>
        <w:tc>
          <w:tcPr>
            <w:tcW w:w="2810" w:type="dxa"/>
            <w:gridSpan w:val="2"/>
          </w:tcPr>
          <w:p w14:paraId="156383E3" w14:textId="77777777" w:rsidR="00DF5B76" w:rsidRPr="006B11D1" w:rsidRDefault="00DF5B76" w:rsidP="00DF5B76">
            <w:pPr>
              <w:rPr>
                <w:bCs/>
              </w:rPr>
            </w:pPr>
            <w:r w:rsidRPr="006B11D1">
              <w:rPr>
                <w:bCs/>
              </w:rPr>
              <w:t>NA</w:t>
            </w:r>
          </w:p>
        </w:tc>
        <w:tc>
          <w:tcPr>
            <w:tcW w:w="3067" w:type="dxa"/>
            <w:gridSpan w:val="3"/>
          </w:tcPr>
          <w:p w14:paraId="25C754C9" w14:textId="77777777" w:rsidR="00DF5B76" w:rsidRPr="006B11D1" w:rsidRDefault="00DF5B76" w:rsidP="00DF5B76">
            <w:pPr>
              <w:rPr>
                <w:bCs/>
              </w:rPr>
            </w:pPr>
            <w:r w:rsidRPr="006B11D1">
              <w:rPr>
                <w:bCs/>
              </w:rPr>
              <w:t>Col</w:t>
            </w:r>
          </w:p>
        </w:tc>
        <w:tc>
          <w:tcPr>
            <w:tcW w:w="2126" w:type="dxa"/>
            <w:gridSpan w:val="3"/>
          </w:tcPr>
          <w:p w14:paraId="6B0C7B22" w14:textId="77777777" w:rsidR="00DF5B76" w:rsidRPr="006B11D1" w:rsidRDefault="00DF5B76" w:rsidP="00DF5B76">
            <w:pPr>
              <w:rPr>
                <w:bCs/>
              </w:rPr>
            </w:pPr>
            <w:r w:rsidRPr="006B11D1">
              <w:rPr>
                <w:bCs/>
              </w:rPr>
              <w:t>Clinostat responses</w:t>
            </w:r>
          </w:p>
        </w:tc>
        <w:tc>
          <w:tcPr>
            <w:tcW w:w="2207" w:type="dxa"/>
            <w:gridSpan w:val="4"/>
          </w:tcPr>
          <w:p w14:paraId="58DCB891" w14:textId="77777777" w:rsidR="00DF5B76" w:rsidRPr="006B11D1" w:rsidRDefault="00DF5B76" w:rsidP="00DF5B76">
            <w:pPr>
              <w:rPr>
                <w:bCs/>
              </w:rPr>
            </w:pPr>
            <w:r w:rsidRPr="006B11D1">
              <w:rPr>
                <w:bCs/>
              </w:rPr>
              <w:t>Microarray</w:t>
            </w:r>
          </w:p>
        </w:tc>
      </w:tr>
      <w:tr w:rsidR="007816C8" w:rsidRPr="006B11D1" w14:paraId="217705BD" w14:textId="77777777" w:rsidTr="00720A47">
        <w:tc>
          <w:tcPr>
            <w:tcW w:w="1651" w:type="dxa"/>
            <w:gridSpan w:val="2"/>
            <w:tcBorders>
              <w:bottom w:val="single" w:sz="4" w:space="0" w:color="auto"/>
            </w:tcBorders>
          </w:tcPr>
          <w:p w14:paraId="1C73371B" w14:textId="77777777" w:rsidR="00DF5B76" w:rsidRPr="006B11D1" w:rsidRDefault="00DF5B76" w:rsidP="00DF5B76">
            <w:pPr>
              <w:rPr>
                <w:bCs/>
              </w:rPr>
            </w:pPr>
            <w:r w:rsidRPr="006B11D1">
              <w:rPr>
                <w:bCs/>
              </w:rPr>
              <w:t>GLDS-8</w:t>
            </w:r>
          </w:p>
        </w:tc>
        <w:tc>
          <w:tcPr>
            <w:tcW w:w="2810" w:type="dxa"/>
            <w:gridSpan w:val="2"/>
            <w:tcBorders>
              <w:bottom w:val="single" w:sz="4" w:space="0" w:color="auto"/>
            </w:tcBorders>
          </w:tcPr>
          <w:p w14:paraId="0B15D2B7" w14:textId="77777777" w:rsidR="00DF5B76" w:rsidRPr="006B11D1" w:rsidRDefault="00DF5B76" w:rsidP="00DF5B76">
            <w:r w:rsidRPr="006B11D1">
              <w:rPr>
                <w:color w:val="000000"/>
                <w:shd w:val="clear" w:color="auto" w:fill="FFFFFF"/>
              </w:rPr>
              <w:fldChar w:fldCharType="begin" w:fldLock="1"/>
            </w:r>
            <w:r>
              <w:rPr>
                <w:color w:val="000000"/>
                <w:shd w:val="clear" w:color="auto" w:fill="FFFFFF"/>
              </w:rPr>
              <w:instrText>ADDIN CSL_CITATION {"citationItems":[{"id":"ITEM-1","itemData":{"DOI":"10.1186/1471-2164-13-105","ISSN":"14712164","abstract":"Background: Biological systems respond to changes in both the Earth's magnetic and gravitational fields, but as experiments in space are expensive and infrequent, Earth-based simulation techniques are required. A high gradient magnetic field can be used to levitate biological material, thereby simulating microgravity and can also create environments with a reduced or an enhanced level of gravity (g), although special attention should be paid to the possible effects of the magnetic field (B) itself.Results: Using diamagnetic levitation, we exposed Arabidopsis thaliana in vitro callus cultures to five environments with different levels of effective gravity and magnetic field strengths. The environments included levitation, i.e. simulated μg* (close to 0 g* at B = 10.1 T), intermediate g* (0.1 g* at B = 14.7 T) and enhanced gravity levels (1.9 g* at B = 14.7 T and 2 g* at B = 10.1 T) plus an internal 1 g* control (B = 16.5 T). The asterisk denotes the presence of the background magnetic field, as opposed to the effective gravity environments in the absence of an applied magnetic field, created using a Random Position Machine (simulated μg) and a Large Diameter Centrifuge (2 g).Microarray analysis indicates that changes in the overall gene expression of cultured cells exposed to these unusual environments barely reach significance using an FDR algorithm. However, it was found that gravitational and magnetic fields produce synergistic variations in the steady state of the transcriptional profile of plants. Transcriptomic results confirm that high gradient magnetic fields (i.e. to create μg* and 2 g* conditions) have a significant effect, mainly on structural, abiotic stress genes and secondary metabolism genes, but these subtle gravitational effects are only observable using clustering methodologies.Conclusions: A detailed microarray dataset analysis, based on clustering of similarly expressed genes (GEDI software), can detect underlying global-scale responses, which cannot be detected by means of individual gene expression techniques using raw or corrected p values (FDR). A subtle, but consistent, genome-scale response to hypogravity environments was found, which was opposite to the response in a hypergravity environment. © 2012 Manzano et al; licensee BioMed Central Ltd.","author":[{"dropping-particle":"","family":"Manzano","given":"Ana I.","non-dropping-particle":"","parse-names":false,"suffix":""},{"dropping-particle":"","family":"Loon","given":"Jack J.W.A.","non-dropping-particle":"van","parse-names":false,"suffix":""},{"dropping-particle":"","family":"Christianen","given":"Peter C.M.","non-dropping-particle":"","parse-names":false,"suffix":""},{"dropping-particle":"","family":"Gonzalez-Rubio","given":"Juana M.","non-dropping-particle":"","parse-names":false,"suffix":""},{"dropping-particle":"","family":"Medina","given":"F. Javier","non-dropping-particle":"","parse-names":false,"suffix":""},{"dropping-particle":"","family":"Herranz","given":"Raul","non-dropping-particle":"","parse-names":false,"suffix":""}],"container-title":"BMC Genomics","id":"ITEM-1","issued":{"date-parts":[["2012"]]},"page":"105","title":"Gravitational and magnetic field variations synergize to cause subtle variations in the global transcriptional state of Arabidopsis in vitro callus cultures","type":"article-journal","volume":"13"},"uris":["http://www.mendeley.com/documents/?uuid=025d0d00-979d-4949-b6d4-f59c0bddb40f"]}],"mendeley":{"formattedCitation":"(Manzano et al., 2012)","plainTextFormattedCitation":"(Manzano et al., 2012)","previouslyFormattedCitation":"(Manzano et al., 2012)"},"properties":{"noteIndex":0},"schema":"https://github.com/citation-style-language/schema/raw/master/csl-citation.json"}</w:instrText>
            </w:r>
            <w:r w:rsidRPr="006B11D1">
              <w:rPr>
                <w:color w:val="000000"/>
                <w:shd w:val="clear" w:color="auto" w:fill="FFFFFF"/>
              </w:rPr>
              <w:fldChar w:fldCharType="separate"/>
            </w:r>
            <w:r w:rsidRPr="009A6580">
              <w:rPr>
                <w:noProof/>
                <w:color w:val="000000"/>
                <w:shd w:val="clear" w:color="auto" w:fill="FFFFFF"/>
              </w:rPr>
              <w:t>(Manzano et al., 2012)</w:t>
            </w:r>
            <w:r w:rsidRPr="006B11D1">
              <w:rPr>
                <w:color w:val="000000"/>
                <w:shd w:val="clear" w:color="auto" w:fill="FFFFFF"/>
              </w:rPr>
              <w:fldChar w:fldCharType="end"/>
            </w:r>
          </w:p>
        </w:tc>
        <w:tc>
          <w:tcPr>
            <w:tcW w:w="3067" w:type="dxa"/>
            <w:gridSpan w:val="3"/>
            <w:tcBorders>
              <w:bottom w:val="single" w:sz="4" w:space="0" w:color="auto"/>
            </w:tcBorders>
          </w:tcPr>
          <w:p w14:paraId="5F416A08" w14:textId="77777777" w:rsidR="00DF5B76" w:rsidRPr="006B11D1" w:rsidRDefault="00DF5B76" w:rsidP="00DF5B76">
            <w:pPr>
              <w:rPr>
                <w:bCs/>
              </w:rPr>
            </w:pPr>
            <w:proofErr w:type="spellStart"/>
            <w:r w:rsidRPr="006B11D1">
              <w:rPr>
                <w:bCs/>
              </w:rPr>
              <w:t>Ler</w:t>
            </w:r>
            <w:proofErr w:type="spellEnd"/>
          </w:p>
        </w:tc>
        <w:tc>
          <w:tcPr>
            <w:tcW w:w="2126" w:type="dxa"/>
            <w:gridSpan w:val="3"/>
            <w:tcBorders>
              <w:bottom w:val="single" w:sz="4" w:space="0" w:color="auto"/>
            </w:tcBorders>
          </w:tcPr>
          <w:p w14:paraId="6B8D8D8B" w14:textId="77777777" w:rsidR="00DF5B76" w:rsidRPr="006B11D1" w:rsidRDefault="00DF5B76" w:rsidP="00DF5B76">
            <w:pPr>
              <w:rPr>
                <w:bCs/>
              </w:rPr>
            </w:pPr>
            <w:r w:rsidRPr="006B11D1">
              <w:rPr>
                <w:bCs/>
              </w:rPr>
              <w:t>Magnetic levitation</w:t>
            </w:r>
          </w:p>
        </w:tc>
        <w:tc>
          <w:tcPr>
            <w:tcW w:w="2207" w:type="dxa"/>
            <w:gridSpan w:val="4"/>
            <w:tcBorders>
              <w:bottom w:val="single" w:sz="4" w:space="0" w:color="auto"/>
            </w:tcBorders>
          </w:tcPr>
          <w:p w14:paraId="307C0921" w14:textId="77777777" w:rsidR="00DF5B76" w:rsidRPr="006B11D1" w:rsidRDefault="00DF5B76" w:rsidP="00DF5B76">
            <w:pPr>
              <w:rPr>
                <w:bCs/>
              </w:rPr>
            </w:pPr>
            <w:r w:rsidRPr="006B11D1">
              <w:rPr>
                <w:bCs/>
              </w:rPr>
              <w:t>Microarray</w:t>
            </w:r>
          </w:p>
        </w:tc>
      </w:tr>
    </w:tbl>
    <w:p w14:paraId="12B4B9AA" w14:textId="58381953" w:rsidR="00A139DD" w:rsidRDefault="00A139DD" w:rsidP="00DF5B76"/>
    <w:p w14:paraId="7B30570C" w14:textId="77777777" w:rsidR="00A139DD" w:rsidRDefault="00A139DD">
      <w:pPr>
        <w:spacing w:after="200" w:line="276" w:lineRule="auto"/>
      </w:pPr>
      <w:r>
        <w:br w:type="page"/>
      </w:r>
    </w:p>
    <w:p w14:paraId="49ABA079" w14:textId="77777777" w:rsidR="00A139DD" w:rsidRDefault="00A139DD" w:rsidP="00DF5B76">
      <w:pPr>
        <w:sectPr w:rsidR="00A139DD" w:rsidSect="00A139DD">
          <w:headerReference w:type="even" r:id="rId8"/>
          <w:footerReference w:type="even" r:id="rId9"/>
          <w:footerReference w:type="default" r:id="rId10"/>
          <w:headerReference w:type="first" r:id="rId11"/>
          <w:pgSz w:w="15840" w:h="12240" w:orient="landscape"/>
          <w:pgMar w:top="1181" w:right="1138" w:bottom="1282" w:left="1138" w:header="720" w:footer="720" w:gutter="0"/>
          <w:cols w:space="720"/>
          <w:titlePg/>
          <w:docGrid w:linePitch="360"/>
        </w:sectPr>
      </w:pPr>
    </w:p>
    <w:p w14:paraId="2F2579F3" w14:textId="088855A8" w:rsidR="00DF5B76" w:rsidRPr="006B11D1" w:rsidRDefault="00DF5B76" w:rsidP="00DF5B76">
      <w:pPr>
        <w:rPr>
          <w:rFonts w:eastAsia="Calibri"/>
        </w:rPr>
      </w:pPr>
    </w:p>
    <w:p w14:paraId="4BC438E4" w14:textId="692AD442" w:rsidR="00DF5B76" w:rsidRPr="006B11D1" w:rsidRDefault="00DF5B76" w:rsidP="00DF5B76">
      <w:pPr>
        <w:rPr>
          <w:rFonts w:eastAsia="Calibri"/>
          <w:b/>
        </w:rPr>
      </w:pPr>
      <w:r w:rsidRPr="006B11D1">
        <w:rPr>
          <w:rFonts w:eastAsia="Calibri"/>
          <w:b/>
        </w:rPr>
        <w:t xml:space="preserve">Supplementary Table </w:t>
      </w:r>
      <w:r w:rsidR="00EA00FF" w:rsidRPr="00720A47">
        <w:rPr>
          <w:rFonts w:eastAsia="Calibri"/>
          <w:b/>
        </w:rPr>
        <w:t>2</w:t>
      </w:r>
      <w:r w:rsidRPr="006B11D1">
        <w:rPr>
          <w:rFonts w:eastAsia="Calibri"/>
          <w:b/>
        </w:rPr>
        <w:t xml:space="preserve">: </w:t>
      </w:r>
      <w:r w:rsidRPr="006B11D1">
        <w:rPr>
          <w:rFonts w:eastAsia="Calibri"/>
          <w:bCs/>
        </w:rPr>
        <w:t>T</w:t>
      </w:r>
      <w:r w:rsidRPr="006B11D1">
        <w:rPr>
          <w:rFonts w:eastAsia="Calibri"/>
        </w:rPr>
        <w:t xml:space="preserve">ools included in the TOAST database graphical user interface. </w:t>
      </w:r>
    </w:p>
    <w:p w14:paraId="41C765F5" w14:textId="77777777" w:rsidR="00DF5B76" w:rsidRPr="006B11D1" w:rsidRDefault="00DF5B76" w:rsidP="00DF5B76">
      <w:pPr>
        <w:rPr>
          <w:rFonts w:eastAsia="Calibri"/>
          <w:b/>
        </w:rPr>
      </w:pP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3405"/>
        <w:gridCol w:w="3420"/>
        <w:gridCol w:w="2895"/>
      </w:tblGrid>
      <w:tr w:rsidR="00A139DD" w:rsidRPr="006B11D1" w14:paraId="23BCBBB7" w14:textId="77777777" w:rsidTr="00A139DD">
        <w:trPr>
          <w:trHeight w:val="322"/>
        </w:trPr>
        <w:tc>
          <w:tcPr>
            <w:tcW w:w="3405" w:type="dxa"/>
            <w:tcBorders>
              <w:top w:val="single" w:sz="4" w:space="0" w:color="auto"/>
              <w:left w:val="nil"/>
              <w:bottom w:val="single" w:sz="4" w:space="0" w:color="auto"/>
              <w:right w:val="nil"/>
            </w:tcBorders>
            <w:tcMar>
              <w:top w:w="100" w:type="dxa"/>
              <w:left w:w="100" w:type="dxa"/>
              <w:bottom w:w="100" w:type="dxa"/>
              <w:right w:w="100" w:type="dxa"/>
            </w:tcMar>
          </w:tcPr>
          <w:p w14:paraId="199F4DC2" w14:textId="77777777" w:rsidR="00A139DD" w:rsidRPr="006B11D1" w:rsidRDefault="00A139DD" w:rsidP="00F700DA">
            <w:pPr>
              <w:widowControl w:val="0"/>
              <w:pBdr>
                <w:top w:val="nil"/>
                <w:left w:val="nil"/>
                <w:bottom w:val="nil"/>
                <w:right w:val="nil"/>
                <w:between w:val="nil"/>
              </w:pBdr>
              <w:rPr>
                <w:rFonts w:eastAsia="Calibri"/>
                <w:b/>
              </w:rPr>
            </w:pPr>
            <w:r w:rsidRPr="006B11D1">
              <w:rPr>
                <w:rFonts w:eastAsia="Calibri"/>
                <w:b/>
              </w:rPr>
              <w:t>Database / tool linked</w:t>
            </w:r>
          </w:p>
        </w:tc>
        <w:tc>
          <w:tcPr>
            <w:tcW w:w="3420" w:type="dxa"/>
            <w:tcBorders>
              <w:top w:val="single" w:sz="4" w:space="0" w:color="auto"/>
              <w:left w:val="nil"/>
              <w:bottom w:val="single" w:sz="4" w:space="0" w:color="auto"/>
              <w:right w:val="nil"/>
            </w:tcBorders>
            <w:tcMar>
              <w:top w:w="100" w:type="dxa"/>
              <w:left w:w="100" w:type="dxa"/>
              <w:bottom w:w="100" w:type="dxa"/>
              <w:right w:w="100" w:type="dxa"/>
            </w:tcMar>
          </w:tcPr>
          <w:p w14:paraId="0F76D895" w14:textId="77777777" w:rsidR="00A139DD" w:rsidRPr="006B11D1" w:rsidRDefault="00A139DD" w:rsidP="00F700DA">
            <w:pPr>
              <w:widowControl w:val="0"/>
              <w:pBdr>
                <w:top w:val="nil"/>
                <w:left w:val="nil"/>
                <w:bottom w:val="nil"/>
                <w:right w:val="nil"/>
                <w:between w:val="nil"/>
              </w:pBdr>
              <w:rPr>
                <w:rFonts w:eastAsia="Calibri"/>
                <w:b/>
              </w:rPr>
            </w:pPr>
            <w:r w:rsidRPr="006B11D1">
              <w:rPr>
                <w:rFonts w:eastAsia="Calibri"/>
                <w:b/>
              </w:rPr>
              <w:t>Use</w:t>
            </w:r>
          </w:p>
        </w:tc>
        <w:tc>
          <w:tcPr>
            <w:tcW w:w="2895" w:type="dxa"/>
            <w:tcBorders>
              <w:top w:val="single" w:sz="4" w:space="0" w:color="auto"/>
              <w:left w:val="nil"/>
              <w:bottom w:val="single" w:sz="4" w:space="0" w:color="auto"/>
              <w:right w:val="nil"/>
            </w:tcBorders>
          </w:tcPr>
          <w:p w14:paraId="5D5F7C15" w14:textId="77777777" w:rsidR="00A139DD" w:rsidRPr="006B11D1" w:rsidRDefault="00A139DD" w:rsidP="00F700DA">
            <w:pPr>
              <w:widowControl w:val="0"/>
              <w:pBdr>
                <w:top w:val="nil"/>
                <w:left w:val="nil"/>
                <w:bottom w:val="nil"/>
                <w:right w:val="nil"/>
                <w:between w:val="nil"/>
              </w:pBdr>
              <w:rPr>
                <w:rFonts w:eastAsia="Calibri"/>
                <w:b/>
              </w:rPr>
            </w:pPr>
            <w:r w:rsidRPr="006B11D1">
              <w:rPr>
                <w:rFonts w:eastAsia="Calibri"/>
                <w:b/>
              </w:rPr>
              <w:t>Reference</w:t>
            </w:r>
          </w:p>
        </w:tc>
      </w:tr>
      <w:tr w:rsidR="00A139DD" w:rsidRPr="006B11D1" w14:paraId="53C5BABC" w14:textId="77777777" w:rsidTr="00A139DD">
        <w:trPr>
          <w:trHeight w:val="19"/>
        </w:trPr>
        <w:tc>
          <w:tcPr>
            <w:tcW w:w="3405" w:type="dxa"/>
            <w:tcBorders>
              <w:top w:val="single" w:sz="4" w:space="0" w:color="auto"/>
            </w:tcBorders>
            <w:tcMar>
              <w:top w:w="100" w:type="dxa"/>
              <w:left w:w="100" w:type="dxa"/>
              <w:bottom w:w="100" w:type="dxa"/>
              <w:right w:w="100" w:type="dxa"/>
            </w:tcMar>
          </w:tcPr>
          <w:p w14:paraId="1A7A181A" w14:textId="77777777" w:rsidR="00A139DD" w:rsidRPr="006B11D1" w:rsidRDefault="00A139DD" w:rsidP="00DF5B76">
            <w:pPr>
              <w:widowControl w:val="0"/>
              <w:pBdr>
                <w:top w:val="nil"/>
                <w:left w:val="nil"/>
                <w:bottom w:val="nil"/>
                <w:right w:val="nil"/>
                <w:between w:val="nil"/>
              </w:pBdr>
            </w:pPr>
            <w:r w:rsidRPr="006B11D1">
              <w:t>SUBA4</w:t>
            </w:r>
          </w:p>
        </w:tc>
        <w:tc>
          <w:tcPr>
            <w:tcW w:w="3420" w:type="dxa"/>
            <w:tcBorders>
              <w:top w:val="single" w:sz="4" w:space="0" w:color="auto"/>
            </w:tcBorders>
            <w:tcMar>
              <w:top w:w="100" w:type="dxa"/>
              <w:left w:w="100" w:type="dxa"/>
              <w:bottom w:w="100" w:type="dxa"/>
              <w:right w:w="100" w:type="dxa"/>
            </w:tcMar>
          </w:tcPr>
          <w:p w14:paraId="58FB4EE6" w14:textId="77777777" w:rsidR="00A139DD" w:rsidRPr="006B11D1" w:rsidRDefault="00A139DD" w:rsidP="00DF5B76">
            <w:pPr>
              <w:widowControl w:val="0"/>
              <w:pBdr>
                <w:top w:val="nil"/>
                <w:left w:val="nil"/>
                <w:bottom w:val="nil"/>
                <w:right w:val="nil"/>
                <w:between w:val="nil"/>
              </w:pBdr>
            </w:pPr>
            <w:r w:rsidRPr="006B11D1">
              <w:t xml:space="preserve">Subcellular consensus </w:t>
            </w:r>
          </w:p>
        </w:tc>
        <w:tc>
          <w:tcPr>
            <w:tcW w:w="2895" w:type="dxa"/>
            <w:tcBorders>
              <w:top w:val="single" w:sz="4" w:space="0" w:color="auto"/>
            </w:tcBorders>
          </w:tcPr>
          <w:p w14:paraId="3C0EA2E6"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{"citationItems":[{"id":"ITEM-1","itemData":{"DOI":"10.1093/nar/gkw1041","ISSN":"13624962","abstract":"The SUBcellular location database for Arabidopsis proteins (SUBA4, http://suba.live) is a comprehensive collection of manually curated published data sets of large-scale subcellular proteomics, fluorescent protein visualization, protein-protein interaction (PPI) as well as subcellular targeting calls from 22 prediction programs. SUBA4 contains an additional 35 568 localizations totalling more than 60 000 experimental protein location claims as well as 37 new suborganellar localization categories. The experimental PPI data has been expanded to 26 327 PPI pairs including 856 PPI localizations from experimental fluorescent visualizations. The new SUBA4 user interface enables users to choose quickly from the filter categories: 'subcellular location', 'protein properties', 'protein-protein interaction' and 'affiliations' to build complex queries. This allows substantial expansion of search parameters into 80 annotation types comprising 1 150 204 new annotations to study metadata associated with subcellular localization. The 'BLAST' tab contains a sequence alignment tool to enable a sequence fragment from any species to find the closest match in Arabidopsis and retrieve data on subcellular location. Using the location consensus SUBAcon, the SUBA4 toolbox delivers three novel data services allowing interactive analysis of user data to provide relative compartmental protein abundances and proximity relationship analysis of PPI and coexpression partners from a submitted list of Arabidopsis gene identifiers.","author":[{"dropping-particle":"","family":"Hooper","given":"Cornelia M.","non-dropping-particle":"","parse-names":false,"suffix":""},{"dropping-particle":"","family":"Castleden","given":"Ian R.","non-dropping-particle":"","parse-names":false,"suffix":""},{"dropping-particle":"","family":"Tanz","given":"Sandra K.","non-dropping-particle":"","parse-names":false,"suffix":""},{"dropping-particle":"","family":"Aryamanesh","given":"Nader","non-dropping-particle":"","parse-names":false,"suffix":""},{"dropping-particle":"","family":"Millar","given":"A. Harvey","non-dropping-particle":"","parse-names":false,"suffix":""}],"container-title":"Nucleic Acids Research","id":"ITEM-1","issued":{"date-parts":[["2017"]]},"page":"D1064-1074","title":"SUBA4: The interactive data analysis centre for Arabidopsis subcellular protein locations","type":"article-journal","volume":"45"},"uris":["http://www.mendeley.com/documents/?uuid=6e4f59ae-5b28-46e8-8510-b1fafebaf1d1"]}],"mendeley":{"formattedCitation":"(Hooper et al., 2017)","plainTextFormattedCitation":"(Hooper et al., 2017)","previouslyFormattedCitation":"(Hooper et al., 2017)"},"properties":{"noteIndex":0},"schema":"https://github.com/citation-style-language/schema/raw/master/csl-citation.json"}</w:instrText>
            </w:r>
            <w:r w:rsidRPr="006B11D1">
              <w:fldChar w:fldCharType="separate"/>
            </w:r>
            <w:r w:rsidRPr="009A6580">
              <w:rPr>
                <w:noProof/>
              </w:rPr>
              <w:t>(Hooper et al., 2017)</w:t>
            </w:r>
            <w:r w:rsidRPr="006B11D1">
              <w:fldChar w:fldCharType="end"/>
            </w:r>
          </w:p>
        </w:tc>
      </w:tr>
      <w:tr w:rsidR="00A139DD" w:rsidRPr="006B11D1" w14:paraId="149F8C4F" w14:textId="77777777" w:rsidTr="00A139DD">
        <w:trPr>
          <w:trHeight w:val="35"/>
        </w:trPr>
        <w:tc>
          <w:tcPr>
            <w:tcW w:w="3405" w:type="dxa"/>
            <w:tcMar>
              <w:top w:w="100" w:type="dxa"/>
              <w:left w:w="100" w:type="dxa"/>
              <w:bottom w:w="100" w:type="dxa"/>
              <w:right w:w="100" w:type="dxa"/>
            </w:tcMar>
          </w:tcPr>
          <w:p w14:paraId="63999C68" w14:textId="77777777" w:rsidR="00A139DD" w:rsidRPr="006B11D1" w:rsidRDefault="00A139DD" w:rsidP="00DF5B76">
            <w:pPr>
              <w:widowControl w:val="0"/>
              <w:pBdr>
                <w:top w:val="nil"/>
                <w:left w:val="nil"/>
                <w:bottom w:val="nil"/>
                <w:right w:val="nil"/>
                <w:between w:val="nil"/>
              </w:pBdr>
            </w:pPr>
            <w:r w:rsidRPr="006B11D1">
              <w:t>ATTED</w:t>
            </w:r>
          </w:p>
        </w:tc>
        <w:tc>
          <w:tcPr>
            <w:tcW w:w="3420" w:type="dxa"/>
            <w:tcMar>
              <w:top w:w="100" w:type="dxa"/>
              <w:left w:w="100" w:type="dxa"/>
              <w:bottom w:w="100" w:type="dxa"/>
              <w:right w:w="100" w:type="dxa"/>
            </w:tcMar>
          </w:tcPr>
          <w:p w14:paraId="17122105" w14:textId="77777777" w:rsidR="00A139DD" w:rsidRPr="006B11D1" w:rsidRDefault="00A139DD" w:rsidP="00DF5B76">
            <w:pPr>
              <w:widowControl w:val="0"/>
              <w:pBdr>
                <w:top w:val="nil"/>
                <w:left w:val="nil"/>
                <w:bottom w:val="nil"/>
                <w:right w:val="nil"/>
                <w:between w:val="nil"/>
              </w:pBdr>
            </w:pPr>
            <w:r w:rsidRPr="006B11D1">
              <w:t>Symbol &amp; ortholog network</w:t>
            </w:r>
          </w:p>
        </w:tc>
        <w:tc>
          <w:tcPr>
            <w:tcW w:w="2895" w:type="dxa"/>
          </w:tcPr>
          <w:p w14:paraId="2D896B20"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{"citationItems":[{"id":"ITEM-1","itemData":{"DOI":"10.1093/pcp/pcx191","ISSN":"14719053","abstract":"© The Author 2017. Published by Oxford University Press on behalf of Japanese Society of Plant Physiologists. ATTED-II (http://atted.jp) is a coexpression database for plant species to aid in the discovery of relationships of unknown genes within a species. As an advanced coexpression analysis method, multispecies comparisons have the potential to detect alterations in gene relationships within an evolutionary context. However, determining the validity of comparative coexpression studies is difficult without quantitative assessments of the quality of coexpression data. ATTED-II (version 9) provides 16 coexpression platforms for nine plant species, including seven species supported by both microarray- and RNA sequencing (RNAseq)-based coexpression data. Two independent sources of coexpression data enable the assessment of the reproducibility of coexpression. The latest coexpression data for Arabidopsis (Ath-m.c7-1 and Ath-r.c3-0) showed the highest reproducibility (Jaccard coefficient = 0.13) among previous coexpression data in ATTED-II. We also investigated the statistical basis of the mutual rank (MR) index as a coexpression measure by bootstrap sampling of experimental units. We found that the error distribution of the logit-transformed MR index showed normality with equal variances for each coexpression platform. Because the MR error was strongly correlated with the number of samples for the coexpression data, typical confidence intervals for the MR index can be estimated for any coexpression platform. These new, high-quality coexpression data can be analyzed with any tool in ATTED-II and combined with external resources to obtain insight into plant biology.","author":[{"dropping-particle":"","family":"Obayashi","given":"Takeshi","non-dropping-particle":"","parse-names":false,"suffix":""},{"dropping-particle":"","family":"Aoki","given":"Yuichi","non-dropping-particle":"","parse-names":false,"suffix":""},{"dropping-particle":"","family":"Tadaka","given":"Shu","non-dropping-particle":"","parse-names":false,"suffix":""},{"dropping-particle":"","family":"Kagaya","given":"Yuki","non-dropping-particle":"","parse-names":false,"suffix":""},{"dropping-particle":"","family":"Kinoshita","given":"Kengo","non-dropping-particle":"","parse-names":false,"suffix":""}],"container-title":"Plant &amp; cell physiology","id":"ITEM-1","issued":{"date-parts":[["2018"]]},"page":"e3","title":"ATTED-II in 2018: A Plant Coexpression Database Based on Investigation of the Statistical Property of the Mutual Rank Index","type":"article-journal","volume":"59"},"uris":["http://www.mendeley.com/documents/?uuid=05ac0788-0a15-46e4-9a38-c79edd86d740"]}],"mendeley":{"formattedCitation":"(Obayashi et al., 2018)","plainTextFormattedCitation":"(Obayashi et al., 2018)","previouslyFormattedCitation":"(Obayashi et al., 2018)"},"properties":{"noteIndex":0},"schema":"https://github.com/citation-style-language/schema/raw/master/csl-citation.json"}</w:instrText>
            </w:r>
            <w:r w:rsidRPr="006B11D1">
              <w:fldChar w:fldCharType="separate"/>
            </w:r>
            <w:r w:rsidRPr="009A6580">
              <w:rPr>
                <w:noProof/>
              </w:rPr>
              <w:t>(Obayashi et al., 2018)</w:t>
            </w:r>
            <w:r w:rsidRPr="006B11D1">
              <w:fldChar w:fldCharType="end"/>
            </w:r>
          </w:p>
        </w:tc>
      </w:tr>
      <w:tr w:rsidR="00A139DD" w:rsidRPr="006B11D1" w14:paraId="6D23ECDD" w14:textId="77777777" w:rsidTr="00A139DD">
        <w:trPr>
          <w:trHeight w:val="20"/>
        </w:trPr>
        <w:tc>
          <w:tcPr>
            <w:tcW w:w="3405" w:type="dxa"/>
            <w:tcMar>
              <w:top w:w="100" w:type="dxa"/>
              <w:left w:w="100" w:type="dxa"/>
              <w:bottom w:w="100" w:type="dxa"/>
              <w:right w:w="100" w:type="dxa"/>
            </w:tcMar>
          </w:tcPr>
          <w:p w14:paraId="47D66713" w14:textId="77777777" w:rsidR="00A139DD" w:rsidRPr="006B11D1" w:rsidRDefault="00A139DD" w:rsidP="00DF5B76">
            <w:pPr>
              <w:widowControl w:val="0"/>
              <w:pBdr>
                <w:top w:val="nil"/>
                <w:left w:val="nil"/>
                <w:bottom w:val="nil"/>
                <w:right w:val="nil"/>
                <w:between w:val="nil"/>
              </w:pBdr>
            </w:pPr>
            <w:proofErr w:type="spellStart"/>
            <w:r w:rsidRPr="006B11D1">
              <w:t>ePlant</w:t>
            </w:r>
            <w:proofErr w:type="spellEnd"/>
          </w:p>
        </w:tc>
        <w:tc>
          <w:tcPr>
            <w:tcW w:w="3420" w:type="dxa"/>
            <w:tcMar>
              <w:top w:w="100" w:type="dxa"/>
              <w:left w:w="100" w:type="dxa"/>
              <w:bottom w:w="100" w:type="dxa"/>
              <w:right w:w="100" w:type="dxa"/>
            </w:tcMar>
          </w:tcPr>
          <w:p w14:paraId="073D1C79" w14:textId="77777777" w:rsidR="00A139DD" w:rsidRPr="006B11D1" w:rsidRDefault="00A139DD" w:rsidP="00DF5B76">
            <w:pPr>
              <w:widowControl w:val="0"/>
              <w:pBdr>
                <w:top w:val="nil"/>
                <w:left w:val="nil"/>
                <w:bottom w:val="nil"/>
                <w:right w:val="nil"/>
                <w:between w:val="nil"/>
              </w:pBdr>
            </w:pPr>
            <w:r w:rsidRPr="006B11D1">
              <w:t>Gene viewer</w:t>
            </w:r>
          </w:p>
        </w:tc>
        <w:tc>
          <w:tcPr>
            <w:tcW w:w="2895" w:type="dxa"/>
          </w:tcPr>
          <w:p w14:paraId="4E79F5E5"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{"citationItems":[{"id":"ITEM-1","itemData":{"DOI":"10.1105/tpc.17.00073","ISSN":"1532298X","abstract":"A big challenge in current systems biology research arises when different types of data must be accessed from separate sources and visualized using separate tools. The high cognitive load required to navigate such a workflow is detrimental to hypothesis generation. Accordingly, there is a need for a robust research platform that incorporates all data, and provides integrated search, analysis, and visualization features through a single portal. Here, we present ePlant (http://bar.utoronto.ca/eplant), a visual analytic tool for exploring multiple levels of Arabidopsis data through a zoomable user interface. ePlant connects to several publicly available web services to download genome, proteome, interactome, transcriptome, and 3D molecular structure data for one or more genes or gene products of interest. Data are displayed with a set of visualization tools that are presented using a conceptual hierarchy from big to small, and many of the tools combine information from more than one data type. We describe the development of ePlant in this paper and present several examples illustrating its integrative features for hypothesis generation. We also describe the process of deploying ePlant as an &amp;quot;app&amp;quot; on Araport. Building on readily available web services, the code for ePlant is freely available for any other biological species research.","author":[{"dropping-particle":"","family":"Waese","given":"Jamie","non-dropping-particle":"","parse-names":false,"suffix":""},{"dropping-particle":"","family":"Fan","given":"Jim","non-dropping-particle":"","parse-names":false,"suffix":""},{"dropping-particle":"","family":"Pasha","given":"Asher","non-dropping-particle":"","parse-names":false,"suffix":""},{"dropping-particle":"","family":"Yu","given":"Hans","non-dropping-particle":"","parse-names":false,"suffix":""},{"dropping-particle":"","family":"Fucile","given":"Geoffrey","non-dropping-particle":"","parse-names":false,"suffix":""},{"dropping-particle":"","family":"Shi","given":"Ruian","non-dropping-particle":"","parse-names":false,"suffix":""},{"dropping-particle":"","family":"Cumming","given":"Matthew","non-dropping-particle":"","parse-names":false,"suffix":""},{"dropping-particle":"","family":"Kelley","given":"Lawrence A.","non-dropping-particle":"","parse-names":false,"suffix":""},{"dropping-particle":"","family":"Sternberg","given":"Michael J.","non-dropping-particle":"","parse-names":false,"suffix":""},{"dropping-particle":"","family":"Krishnakumar","given":"Vivek","non-dropping-particle":"","parse-names":false,"suffix":""},{"dropping-particle":"","family":"Ferlanti","given":"Erik","non-dropping-particle":"","parse-names":false,"suffix":""},{"dropping-particle":"","family":"Miller","given":"Jason","non-dropping-particle":"","parse-names":false,"suffix":""},{"dropping-particle":"","family":"Town","given":"Chris","non-dropping-particle":"","parse-names":false,"suffix":""},{"dropping-particle":"","family":"Stuerzlinger","given":"Wolfgang","non-dropping-particle":"","parse-names":false,"suffix":""},{"dropping-particle":"","family":"Provart","given":"Nicholas J.","non-dropping-particle":"","parse-names":false,"suffix":""}],"container-title":"Plant Cell","id":"ITEM-1","issue":"8","issued":{"date-parts":[["2017"]]},"page":"1806-1821","title":"ePlant: Visualizing and exploring multiple levels of data for hypothesis generation in plant biology","type":"article-journal","volume":"29"},"uris":["http://www.mendeley.com/documents/?uuid=de8bf41e-4942-4e92-ada1-08e463c163e4"]}],"mendeley":{"formattedCitation":"(Waese et al., 2017)","plainTextFormattedCitation":"(Waese et al., 2017)","previouslyFormattedCitation":"(Waese et al., 2017)"},"properties":{"noteIndex":0},"schema":"https://github.com/citation-style-language/schema/raw/master/csl-citation.json"}</w:instrText>
            </w:r>
            <w:r w:rsidRPr="006B11D1">
              <w:fldChar w:fldCharType="separate"/>
            </w:r>
            <w:r w:rsidRPr="009A6580">
              <w:rPr>
                <w:noProof/>
              </w:rPr>
              <w:t>(Waese et al., 2017)</w:t>
            </w:r>
            <w:r w:rsidRPr="006B11D1">
              <w:fldChar w:fldCharType="end"/>
            </w:r>
          </w:p>
        </w:tc>
      </w:tr>
      <w:tr w:rsidR="00A139DD" w:rsidRPr="006B11D1" w14:paraId="4E0E26C2" w14:textId="77777777" w:rsidTr="00A139DD">
        <w:trPr>
          <w:trHeight w:val="20"/>
        </w:trPr>
        <w:tc>
          <w:tcPr>
            <w:tcW w:w="3405" w:type="dxa"/>
            <w:tcMar>
              <w:top w:w="100" w:type="dxa"/>
              <w:left w:w="100" w:type="dxa"/>
              <w:bottom w:w="100" w:type="dxa"/>
              <w:right w:w="100" w:type="dxa"/>
            </w:tcMar>
          </w:tcPr>
          <w:p w14:paraId="1642BB8C" w14:textId="77777777" w:rsidR="00A139DD" w:rsidRPr="006B11D1" w:rsidRDefault="00A139DD" w:rsidP="00DF5B76">
            <w:pPr>
              <w:widowControl w:val="0"/>
              <w:pBdr>
                <w:top w:val="nil"/>
                <w:left w:val="nil"/>
                <w:bottom w:val="nil"/>
                <w:right w:val="nil"/>
                <w:between w:val="nil"/>
              </w:pBdr>
            </w:pPr>
            <w:proofErr w:type="spellStart"/>
            <w:r w:rsidRPr="006B11D1">
              <w:t>GeneSlider</w:t>
            </w:r>
            <w:proofErr w:type="spellEnd"/>
          </w:p>
        </w:tc>
        <w:tc>
          <w:tcPr>
            <w:tcW w:w="3420" w:type="dxa"/>
            <w:tcMar>
              <w:top w:w="100" w:type="dxa"/>
              <w:left w:w="100" w:type="dxa"/>
              <w:bottom w:w="100" w:type="dxa"/>
              <w:right w:w="100" w:type="dxa"/>
            </w:tcMar>
          </w:tcPr>
          <w:p w14:paraId="192194A5" w14:textId="77777777" w:rsidR="00A139DD" w:rsidRPr="006B11D1" w:rsidRDefault="00A139DD" w:rsidP="00DF5B76">
            <w:pPr>
              <w:widowControl w:val="0"/>
              <w:pBdr>
                <w:top w:val="nil"/>
                <w:left w:val="nil"/>
                <w:bottom w:val="nil"/>
                <w:right w:val="nil"/>
                <w:between w:val="nil"/>
              </w:pBdr>
            </w:pPr>
            <w:r w:rsidRPr="006B11D1">
              <w:t>Gene promoter viewer</w:t>
            </w:r>
          </w:p>
        </w:tc>
        <w:tc>
          <w:tcPr>
            <w:tcW w:w="2895" w:type="dxa"/>
          </w:tcPr>
          <w:p w14:paraId="38504CEB"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{"citationItems":[{"id":"ITEM-1","itemData":{"DOI":"10.1105/tpc.17.00073","ISSN":"1532298X","abstract":"A big challenge in current systems biology research arises when different types of data must be accessed from separate sources and visualized using separate tools. The high cognitive load required to navigate such a workflow is detrimental to hypothesis generation. Accordingly, there is a need for a robust research platform that incorporates all data, and provides integrated search, analysis, and visualization features through a single portal. Here, we present ePlant (http://bar.utoronto.ca/eplant), a visual analytic tool for exploring multiple levels of Arabidopsis data through a zoomable user interface. ePlant connects to several publicly available web services to download genome, proteome, interactome, transcriptome, and 3D molecular structure data for one or more genes or gene products of interest. Data are displayed with a set of visualization tools that are presented using a conceptual hierarchy from big to small, and many of the tools combine information from more than one data type. We describe the development of ePlant in this paper and present several examples illustrating its integrative features for hypothesis generation. We also describe the process of deploying ePlant as an &amp;quot;app&amp;quot; on Araport. Building on readily available web services, the code for ePlant is freely available for any other biological species research.","author":[{"dropping-particle":"","family":"Waese","given":"Jamie","non-dropping-particle":"","parse-names":false,"suffix":""},{"dropping-particle":"","family":"Fan","given":"Jim","non-dropping-particle":"","parse-names":false,"suffix":""},{"dropping-particle":"","family":"Pasha","given":"Asher","non-dropping-particle":"","parse-names":false,"suffix":""},{"dropping-particle":"","family":"Yu","given":"Hans","non-dropping-particle":"","parse-names":false,"suffix":""},{"dropping-particle":"","family":"Fucile","given":"Geoffrey","non-dropping-particle":"","parse-names":false,"suffix":""},{"dropping-particle":"","family":"Shi","given":"Ruian","non-dropping-particle":"","parse-names":false,"suffix":""},{"dropping-particle":"","family":"Cumming","given":"Matthew","non-dropping-particle":"","parse-names":false,"suffix":""},{"dropping-particle":"","family":"Kelley","given":"Lawrence A.","non-dropping-particle":"","parse-names":false,"suffix":""},{"dropping-particle":"","family":"Sternberg","given":"Michael J.","non-dropping-particle":"","parse-names":false,"suffix":""},{"dropping-particle":"","family":"Krishnakumar","given":"Vivek","non-dropping-particle":"","parse-names":false,"suffix":""},{"dropping-particle":"","family":"Ferlanti","given":"Erik","non-dropping-particle":"","parse-names":false,"suffix":""},{"dropping-particle":"","family":"Miller","given":"Jason","non-dropping-particle":"","parse-names":false,"suffix":""},{"dropping-particle":"","family":"Town","given":"Chris","non-dropping-particle":"","parse-names":false,"suffix":""},{"dropping-particle":"","family":"Stuerzlinger","given":"Wolfgang","non-dropping-particle":"","parse-names":false,"suffix":""},{"dropping-particle":"","family":"Provart","given":"Nicholas J.","non-dropping-particle":"","parse-names":false,"suffix":""}],"container-title":"Plant Cell","id":"ITEM-1","issue":"8","issued":{"date-parts":[["2017"]]},"page":"1806-1821","title":"ePlant: Visualizing and exploring multiple levels of data for hypothesis generation in plant biology","type":"article-journal","volume":"29"},"uris":["http://www.mendeley.com/documents/?uuid=de8bf41e-4942-4e92-ada1-08e463c163e4"]}],"mendeley":{"formattedCitation":"(Waese et al., 2017)","plainTextFormattedCitation":"(Waese et al., 2017)","previouslyFormattedCitation":"(Waese et al., 2017)"},"properties":{"noteIndex":0},"schema":"https://github.com/citation-style-language/schema/raw/master/csl-citation.json"}</w:instrText>
            </w:r>
            <w:r w:rsidRPr="006B11D1">
              <w:fldChar w:fldCharType="separate"/>
            </w:r>
            <w:r w:rsidRPr="009A6580">
              <w:rPr>
                <w:noProof/>
              </w:rPr>
              <w:t>(Waese et al., 2017)</w:t>
            </w:r>
            <w:r w:rsidRPr="006B11D1">
              <w:fldChar w:fldCharType="end"/>
            </w:r>
          </w:p>
        </w:tc>
      </w:tr>
      <w:tr w:rsidR="00A139DD" w:rsidRPr="006B11D1" w14:paraId="2BBD26F7" w14:textId="77777777" w:rsidTr="00A139DD">
        <w:trPr>
          <w:trHeight w:val="20"/>
        </w:trPr>
        <w:tc>
          <w:tcPr>
            <w:tcW w:w="3405" w:type="dxa"/>
            <w:tcMar>
              <w:top w:w="100" w:type="dxa"/>
              <w:left w:w="100" w:type="dxa"/>
              <w:bottom w:w="100" w:type="dxa"/>
              <w:right w:w="100" w:type="dxa"/>
            </w:tcMar>
          </w:tcPr>
          <w:p w14:paraId="0FF1C51C" w14:textId="77777777" w:rsidR="00A139DD" w:rsidRPr="006B11D1" w:rsidRDefault="00A139DD" w:rsidP="00DF5B76">
            <w:pPr>
              <w:widowControl w:val="0"/>
              <w:pBdr>
                <w:top w:val="nil"/>
                <w:left w:val="nil"/>
                <w:bottom w:val="nil"/>
                <w:right w:val="nil"/>
                <w:between w:val="nil"/>
              </w:pBdr>
            </w:pPr>
            <w:proofErr w:type="spellStart"/>
            <w:r w:rsidRPr="006B11D1">
              <w:t>Thalemine</w:t>
            </w:r>
            <w:proofErr w:type="spellEnd"/>
          </w:p>
        </w:tc>
        <w:tc>
          <w:tcPr>
            <w:tcW w:w="3420" w:type="dxa"/>
            <w:tcMar>
              <w:top w:w="100" w:type="dxa"/>
              <w:left w:w="100" w:type="dxa"/>
              <w:bottom w:w="100" w:type="dxa"/>
              <w:right w:w="100" w:type="dxa"/>
            </w:tcMar>
          </w:tcPr>
          <w:p w14:paraId="49237479" w14:textId="77777777" w:rsidR="00A139DD" w:rsidRPr="006B11D1" w:rsidRDefault="00A139DD" w:rsidP="00DF5B76">
            <w:pPr>
              <w:widowControl w:val="0"/>
              <w:pBdr>
                <w:top w:val="nil"/>
                <w:left w:val="nil"/>
                <w:bottom w:val="nil"/>
                <w:right w:val="nil"/>
                <w:between w:val="nil"/>
              </w:pBdr>
            </w:pPr>
            <w:r w:rsidRPr="006B11D1">
              <w:t>Gene &amp; network viewer</w:t>
            </w:r>
          </w:p>
        </w:tc>
        <w:tc>
          <w:tcPr>
            <w:tcW w:w="2895" w:type="dxa"/>
          </w:tcPr>
          <w:p w14:paraId="703833B9"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pcp/pcw200","ISSN":"0032-0781","author":[{"dropping-particle":"","family":"Krishnakumar","given":"Vivek","non-dropping-particle":"","parse-names":false,"suffix":""},{"dropping-particle":"","family":"Contrino","given":"Sergio","non-dropping-particle":"","parse-names":false,"suffix":""},{"dropping-particle":"","family":"Cheng","given":"Chia-Yi","non-dropping-particle":"","parse-names":false,"suffix":""},{"dropping-particle":"","family":"Belyaeva","given":"Irina","non-dropping-particle":"","parse-names":false,"suffix":""},{"dropping-particle":"","family":"Ferlanti","given":"Erik S.","non-dropping-particle":"","parse-names":false,"suffix":""},{"dropping-particle":"","family":"Miller","given":"Jason R.","non-dropping-particle":"","parse-names":false,"suffix":""},{"dropping-particle":"","family":"Vaughn","given":"Matthew W.","non-dropping-particle":"","parse-names":false,"suffix":""},{"dropping-particle":"","family":"Micklem","given":"Gos","non-dropping-particle":"","parse-names":false,"suffix":""},{"dropping-particle":"","family":"Town","given":"Christopher D.","non-dropping-particle":"","parse-names":false,"suffix":""},{"dropping-particle":"","family":"Chan","given":"Agnes P.","non-dropping-particle":"","parse-names":false,"suffix":""}],"container-title":"Plant and Cell Physiology","id":"ITEM-1","issue":"1","issued":{"date-parts":[["2016","12"]]},"page":"200","publisher":"Oxford University Press","title":"ThaleMine: A warehouse for Arabidopsis data integration and discovery","type":"article-journal","volume":"58"},"uris":["http://www.mendeley.com/documents/?uuid=e68d0776-312b-4bae-a80b-fc4ceaf12cc9"]}],"mendeley":{"formattedCitation":"(Krishnakumar et al., 2016)","plainTextFormattedCitation":"(Krishnakumar et al., 2016)","previouslyFormattedCitation":"(Krishnakumar et al., 2016)"},"properties":{"noteIndex":0},"schema":"https://github.com/citation-style-language/schema/raw/master/csl-citation.json"}</w:instrText>
            </w:r>
            <w:r w:rsidRPr="006B11D1">
              <w:fldChar w:fldCharType="separate"/>
            </w:r>
            <w:r w:rsidRPr="009A6580">
              <w:rPr>
                <w:noProof/>
              </w:rPr>
              <w:t>(Krishnakumar et al., 2016)</w:t>
            </w:r>
            <w:r w:rsidRPr="006B11D1">
              <w:fldChar w:fldCharType="end"/>
            </w:r>
          </w:p>
        </w:tc>
      </w:tr>
      <w:tr w:rsidR="00A139DD" w:rsidRPr="006B11D1" w14:paraId="70A46AAF" w14:textId="77777777" w:rsidTr="00A139DD">
        <w:trPr>
          <w:trHeight w:val="20"/>
        </w:trPr>
        <w:tc>
          <w:tcPr>
            <w:tcW w:w="3405" w:type="dxa"/>
            <w:tcMar>
              <w:top w:w="100" w:type="dxa"/>
              <w:left w:w="100" w:type="dxa"/>
              <w:bottom w:w="100" w:type="dxa"/>
              <w:right w:w="100" w:type="dxa"/>
            </w:tcMar>
          </w:tcPr>
          <w:p w14:paraId="128C9086" w14:textId="77777777" w:rsidR="00A139DD" w:rsidRPr="006B11D1" w:rsidRDefault="00A139DD" w:rsidP="00DF5B76">
            <w:pPr>
              <w:widowControl w:val="0"/>
              <w:pBdr>
                <w:top w:val="nil"/>
                <w:left w:val="nil"/>
                <w:bottom w:val="nil"/>
                <w:right w:val="nil"/>
                <w:between w:val="nil"/>
              </w:pBdr>
            </w:pPr>
            <w:r w:rsidRPr="006B11D1">
              <w:t>Expression Angler</w:t>
            </w:r>
          </w:p>
        </w:tc>
        <w:tc>
          <w:tcPr>
            <w:tcW w:w="3420" w:type="dxa"/>
            <w:tcMar>
              <w:top w:w="100" w:type="dxa"/>
              <w:left w:w="100" w:type="dxa"/>
              <w:bottom w:w="100" w:type="dxa"/>
              <w:right w:w="100" w:type="dxa"/>
            </w:tcMar>
          </w:tcPr>
          <w:p w14:paraId="35912066" w14:textId="77777777" w:rsidR="00A139DD" w:rsidRPr="006B11D1" w:rsidRDefault="00A139DD" w:rsidP="00DF5B76">
            <w:pPr>
              <w:widowControl w:val="0"/>
              <w:pBdr>
                <w:top w:val="nil"/>
                <w:left w:val="nil"/>
                <w:bottom w:val="nil"/>
                <w:right w:val="nil"/>
                <w:between w:val="nil"/>
              </w:pBdr>
            </w:pPr>
            <w:r w:rsidRPr="006B11D1">
              <w:t>Co-expressed genes</w:t>
            </w:r>
          </w:p>
        </w:tc>
        <w:tc>
          <w:tcPr>
            <w:tcW w:w="2895" w:type="dxa"/>
          </w:tcPr>
          <w:p w14:paraId="1B94B9FB"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{"citationItems":[{"id":"ITEM-1","itemData":{"DOI":"10.1111/tpj.13261","ISSN":"1365313X","abstract":"© 2016 The Authors The Plant Journal © 2016 John Wiley &amp; Sons LtdIdentifying sets of genes that are specifically expressed in certain tissues or in response to an environmental stimulus is useful for designing reporter constructs, generating gene expression markers, or for understanding gene regulatory networks. We have developed an easy-to-use online tool for defining a desired expression profile (a modification of our Expression Angler program), which can then be used to identify genes exhibiting patterns of expression that match this profile as closely as possible. Further, we have developed another online tool, Cistome, for predicting or exploring cis-elements in the promoters of sets of co-expressed genes identified by such a method, or by other methods. We present two use cases for these tools, which are freely available on the Bio-Analytic Resource at http://BAR.utoronto.ca.","author":[{"dropping-particle":"","family":"Austin","given":"Ryan S.","non-dropping-particle":"","parse-names":false,"suffix":""},{"dropping-particle":"","family":"Hiu","given":"Shu","non-dropping-particle":"","parse-names":false,"suffix":""},{"dropping-particle":"","family":"Waese","given":"Jamie","non-dropping-particle":"","parse-names":false,"suffix":""},{"dropping-particle":"","family":"Ierullo","given":"Matthew","non-dropping-particle":"","parse-names":false,"suffix":""},{"dropping-particle":"","family":"Pasha","given":"Asher","non-dropping-particle":"","parse-names":false,"suffix":""},{"dropping-particle":"","family":"Wang","given":"Ting Ting","non-dropping-particle":"","parse-names":false,"suffix":""},{"dropping-particle":"","family":"Fan","given":"Jim","non-dropping-particle":"","parse-names":false,"suffix":""},{"dropping-particle":"","family":"Foong","given":"Curtis","non-dropping-particle":"","parse-names":false,"suffix":""},{"dropping-particle":"","family":"Breit","given":"Robert","non-dropping-particle":"","parse-names":false,"suffix":""},{"dropping-particle":"","family":"Desveaux","given":"Darrell","non-dropping-particle":"","parse-names":false,"suffix":""},{"dropping-particle":"","family":"Moses","given":"Alan","non-dropping-particle":"","parse-names":false,"suffix":""},{"dropping-particle":"","family":"Provart","given":"Nicholas J.","non-dropping-particle":"","parse-names":false,"suffix":""}],"container-title":"Plant Journal","id":"ITEM-1","issue":"3","issued":{"date-parts":[["2016"]]},"page":"490-504","title":"New BAR tools for mining expression data and exploring Cis-elements in Arabidopsis thaliana","type":"article-journal","volume":"88"},"uris":["http://www.mendeley.com/documents/?uuid=252efedc-3ee5-4f3a-9673-a7c7a0a84c1f"]}],"mendeley":{"formattedCitation":"(Austin et al., 2016)","plainTextFormattedCitation":"(Austin et al., 2016)","previouslyFormattedCitation":"(Austin et al., 2016)"},"properties":{"noteIndex":0},"schema":"https://github.com/citation-style-language/schema/raw/master/csl-citation.json"}</w:instrText>
            </w:r>
            <w:r w:rsidRPr="006B11D1">
              <w:fldChar w:fldCharType="separate"/>
            </w:r>
            <w:r w:rsidRPr="009A6580">
              <w:rPr>
                <w:noProof/>
              </w:rPr>
              <w:t>(Austin et al., 2016)</w:t>
            </w:r>
            <w:r w:rsidRPr="006B11D1">
              <w:fldChar w:fldCharType="end"/>
            </w:r>
          </w:p>
        </w:tc>
      </w:tr>
      <w:tr w:rsidR="00A139DD" w:rsidRPr="006B11D1" w14:paraId="32122D70" w14:textId="77777777" w:rsidTr="00A139DD">
        <w:trPr>
          <w:trHeight w:val="179"/>
        </w:trPr>
        <w:tc>
          <w:tcPr>
            <w:tcW w:w="3405" w:type="dxa"/>
            <w:tcMar>
              <w:top w:w="100" w:type="dxa"/>
              <w:left w:w="100" w:type="dxa"/>
              <w:bottom w:w="100" w:type="dxa"/>
              <w:right w:w="100" w:type="dxa"/>
            </w:tcMar>
          </w:tcPr>
          <w:p w14:paraId="6E9DA9F1" w14:textId="77777777" w:rsidR="00A139DD" w:rsidRPr="006B11D1" w:rsidRDefault="00A139DD" w:rsidP="00DF5B76">
            <w:pPr>
              <w:widowControl w:val="0"/>
              <w:pBdr>
                <w:top w:val="nil"/>
                <w:left w:val="nil"/>
                <w:bottom w:val="nil"/>
                <w:right w:val="nil"/>
                <w:between w:val="nil"/>
              </w:pBdr>
            </w:pPr>
            <w:proofErr w:type="spellStart"/>
            <w:r w:rsidRPr="006B11D1">
              <w:t>eFP</w:t>
            </w:r>
            <w:proofErr w:type="spellEnd"/>
            <w:r w:rsidRPr="006B11D1">
              <w:t>-Seq Browser</w:t>
            </w:r>
          </w:p>
        </w:tc>
        <w:tc>
          <w:tcPr>
            <w:tcW w:w="3420" w:type="dxa"/>
            <w:tcMar>
              <w:top w:w="100" w:type="dxa"/>
              <w:left w:w="100" w:type="dxa"/>
              <w:bottom w:w="100" w:type="dxa"/>
              <w:right w:w="100" w:type="dxa"/>
            </w:tcMar>
          </w:tcPr>
          <w:p w14:paraId="318D71D2" w14:textId="77777777" w:rsidR="00A139DD" w:rsidRPr="006B11D1" w:rsidRDefault="00A139DD" w:rsidP="00DF5B76">
            <w:pPr>
              <w:widowControl w:val="0"/>
              <w:pBdr>
                <w:top w:val="nil"/>
                <w:left w:val="nil"/>
                <w:bottom w:val="nil"/>
                <w:right w:val="nil"/>
                <w:between w:val="nil"/>
              </w:pBdr>
            </w:pPr>
            <w:r w:rsidRPr="006B11D1">
              <w:t xml:space="preserve">Aggregated </w:t>
            </w:r>
            <w:proofErr w:type="spellStart"/>
            <w:r w:rsidRPr="006B11D1">
              <w:t>RNAseq</w:t>
            </w:r>
            <w:proofErr w:type="spellEnd"/>
            <w:r w:rsidRPr="006B11D1">
              <w:t xml:space="preserve"> search</w:t>
            </w:r>
          </w:p>
        </w:tc>
        <w:tc>
          <w:tcPr>
            <w:tcW w:w="2895" w:type="dxa"/>
          </w:tcPr>
          <w:p w14:paraId="1A545517"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{"citationItems":[{"id":"ITEM-1","itemData":{"DOI":"10.1111/tpj.14468","ISSN":"0960-7412","abstract":"Improvements in next‐generation sequencing technologies have resulted in dramatically reduced sequencing costs. This has led to an explosion of \"‐seq\"‐based methods, of which RNA‐seq for generating transcriptomic data is the most popular. By analyzing global patterns of gene expression in organs/tissues/cells of interest or in response to chemical or environmental perturbations, researchers can better understand an organism's biology. Tools designed to work with large RNA‐seq data sets enable analyses and visualizations to help generate hypotheses about a gene's function. We present here a user‐friendly RNA‐seq data exploration tool, called the eFP‐Seq Browser, that shows the read map coverage of a gene of interest in each of the samples along with \"electronic fluorescent pictographic\" (eFP) images that serve as visual representations of expression levels. The tool also summarizes the details of each RNA‐seq experiment, providing links to archival databases and publications. It automatically computes the Reads per Kilobase per Million reads mapped (RPKM) expression level summaries and point biserial correlation scores to sort the samples based on a gene's expression level or by how dissimilar the read map profile is to a gene splice variant, to quickly identify samples with the strongest expression level or where alternative splicing might be occurring. Links to the Integrated Genome Browser desktop visualization tool let researchers visualize and explore the details of RNA‐seq alignments summarized in eFP‐Seq Browser as coverage graphs. We present 4 use cases of the eFP‐Seq Browser for ABI3, SR34, SR45a, and U2AF65B, where we examine expression levels and identify alternative splicing. URL: http://bar.utoronto.ca/eFP-Seq_Browser/","author":[{"dropping-particle":"","family":"Sullivan","given":"Alexander","non-dropping-particle":"","parse-names":false,"suffix":""},{"dropping-particle":"","family":"Purohit","given":"Priyank K.","non-dropping-particle":"","parse-names":false,"suffix":""},{"dropping-particle":"","family":"Freese","given":"Nowlan H.","non-dropping-particle":"","parse-names":false,"suffix":""},{"dropping-particle":"","family":"Pasha","given":"Asher","non-dropping-particle":"","parse-names":false,"suffix":""},{"dropping-particle":"","family":"Esteban","given":"Eddi","non-dropping-particle":"","parse-names":false,"suffix":""},{"dropping-particle":"","family":"Waese","given":"Jamie","non-dropping-particle":"","parse-names":false,"suffix":""},{"dropping-particle":"","family":"Wu","given":"Alison","non-dropping-particle":"","parse-names":false,"suffix":""},{"dropping-particle":"","family":"Chen","given":"Michelle","non-dropping-particle":"","parse-names":false,"suffix":""},{"dropping-particle":"","family":"Chin","given":"Chih Y.","non-dropping-particle":"","parse-names":false,"suffix":""},{"dropping-particle":"","family":"Song","given":"Richard","non-dropping-particle":"","parse-names":false,"suffix":""},{"dropping-particle":"","family":"Watharkar","given":"Sneha R.","non-dropping-particle":"","parse-names":false,"suffix":""},{"dropping-particle":"","family":"Chan","given":"Agnes P.","non-dropping-particle":"","parse-names":false,"suffix":""},{"dropping-particle":"","family":"Krishnakumar","given":"Vivek","non-dropping-particle":"","parse-names":false,"suffix":""},{"dropping-particle":"","family":"Vaughn","given":"Matthew W.","non-dropping-particle":"","parse-names":false,"suffix":""},{"dropping-particle":"","family":"Town","given":"Chris","non-dropping-particle":"","parse-names":false,"suffix":""},{"dropping-particle":"","family":"Loraine","given":"Ann E.","non-dropping-particle":"","parse-names":false,"suffix":""},{"dropping-particle":"","family":"Provart","given":"Nicholas J.","non-dropping-particle":"","parse-names":false,"suffix":""}],"container-title":"The Plant Journal","id":"ITEM-1","issued":{"date-parts":[["2019"]]},"title":"An ‘ eFP ‐Seq Browser’ for visualizing and exploring RNA sequencing data","type":"article-journal","volume":"Epub ahead"},"uris":["http://www.mendeley.com/documents/?uuid=e1c790d3-cd2f-404c-8006-c87e01ce1d9e"]}],"mendeley":{"formattedCitation":"(Sullivan et al., 2019)","plainTextFormattedCitation":"(Sullivan et al., 2019)","previouslyFormattedCitation":"(Sullivan et al., 2019)"},"properties":{"noteIndex":0},"schema":"https://github.com/citation-style-language/schema/raw/master/csl-citation.json"}</w:instrText>
            </w:r>
            <w:r w:rsidRPr="006B11D1">
              <w:fldChar w:fldCharType="separate"/>
            </w:r>
            <w:r w:rsidRPr="009A6580">
              <w:rPr>
                <w:noProof/>
              </w:rPr>
              <w:t>(Sullivan et al., 2019)</w:t>
            </w:r>
            <w:r w:rsidRPr="006B11D1">
              <w:fldChar w:fldCharType="end"/>
            </w:r>
          </w:p>
        </w:tc>
      </w:tr>
      <w:tr w:rsidR="00A139DD" w:rsidRPr="006B11D1" w14:paraId="09C91050" w14:textId="77777777" w:rsidTr="00A139DD">
        <w:trPr>
          <w:trHeight w:val="53"/>
        </w:trPr>
        <w:tc>
          <w:tcPr>
            <w:tcW w:w="3405" w:type="dxa"/>
            <w:tcMar>
              <w:top w:w="100" w:type="dxa"/>
              <w:left w:w="100" w:type="dxa"/>
              <w:bottom w:w="100" w:type="dxa"/>
              <w:right w:w="100" w:type="dxa"/>
            </w:tcMar>
          </w:tcPr>
          <w:p w14:paraId="7E65E412" w14:textId="77777777" w:rsidR="00A139DD" w:rsidRPr="006B11D1" w:rsidRDefault="00A139DD" w:rsidP="00DF5B76">
            <w:pPr>
              <w:widowControl w:val="0"/>
              <w:pBdr>
                <w:top w:val="nil"/>
                <w:left w:val="nil"/>
                <w:bottom w:val="nil"/>
                <w:right w:val="nil"/>
                <w:between w:val="nil"/>
              </w:pBdr>
            </w:pPr>
            <w:proofErr w:type="spellStart"/>
            <w:r w:rsidRPr="006B11D1">
              <w:t>Promomer</w:t>
            </w:r>
            <w:proofErr w:type="spellEnd"/>
          </w:p>
        </w:tc>
        <w:tc>
          <w:tcPr>
            <w:tcW w:w="3420" w:type="dxa"/>
            <w:tcMar>
              <w:top w:w="100" w:type="dxa"/>
              <w:left w:w="100" w:type="dxa"/>
              <w:bottom w:w="100" w:type="dxa"/>
              <w:right w:w="100" w:type="dxa"/>
            </w:tcMar>
          </w:tcPr>
          <w:p w14:paraId="25EB8432" w14:textId="77777777" w:rsidR="00A139DD" w:rsidRPr="006B11D1" w:rsidRDefault="00A139DD" w:rsidP="00DF5B76">
            <w:pPr>
              <w:widowControl w:val="0"/>
              <w:pBdr>
                <w:top w:val="nil"/>
                <w:left w:val="nil"/>
                <w:bottom w:val="nil"/>
                <w:right w:val="nil"/>
                <w:between w:val="nil"/>
              </w:pBdr>
            </w:pPr>
            <w:r w:rsidRPr="006B11D1">
              <w:t>Network Promoter Viewer</w:t>
            </w:r>
          </w:p>
        </w:tc>
        <w:tc>
          <w:tcPr>
            <w:tcW w:w="2895" w:type="dxa"/>
          </w:tcPr>
          <w:p w14:paraId="573B3D2B"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{"citationItems":[{"id":"ITEM-1","itemData":{"DOI":"10.1111/j.1365-313X.2005.02437.x","ISSN":"09607412","abstract":"The Botany Array Resource provides the means for obtaining and archiving microarray data for Arabidopsis thaliana as well as biologist-friendly tools for viewing and mining both our own and other's data, for example, from the AtGenExpress Consortium. All the data produced are publicly available through the web interface of the database at http://bbc.botany.utoronto.ca. The database has been designed in accordance with the Minimum Information About a Microarray Experiment convention -- all expression data are associated with the corresponding experimental details. The database is searchable and it also provides a set of useful and easy-to-use web-based data-mining tools for researchers with sophisticated yet understandable output graphics. These include Expression Browser for performing 'electronic Northerns', Expression Angler for identifying genes that are co-regulated with a gene of interest, and Promomer for identifying potential cis-elements in the promoters of individual or co-regulated genes.","author":[{"dropping-particle":"","family":"Toufighi","given":"Kiana","non-dropping-particle":"","parse-names":false,"suffix":""},{"dropping-particle":"","family":"Brady","given":"Siobhan M.","non-dropping-particle":"","parse-names":false,"suffix":""},{"dropping-particle":"","family":"Austin","given":"Ryan","non-dropping-particle":"","parse-names":false,"suffix":""},{"dropping-particle":"","family":"Ly","given":"Eugene","non-dropping-particle":"","parse-names":false,"suffix":""},{"dropping-particle":"","family":"Provart","given":"Nicholas J.","non-dropping-particle":"","parse-names":false,"suffix":""}],"container-title":"Plant Journal","id":"ITEM-1","issue":"1","issued":{"date-parts":[["2005"]]},"page":"153-163","title":"The botany array resource: e-Northerns, expression angling, and promoter analyses","type":"article-journal","volume":"43"},"uris":["http://www.mendeley.com/documents/?uuid=b8aaf4ce-c763-441c-b3cf-c8ab6040d230"]}],"mendeley":{"formattedCitation":"(Toufighi et al., 2005)","plainTextFormattedCitation":"(Toufighi et al., 2005)","previouslyFormattedCitation":"(Toufighi et al., 2005)"},"properties":{"noteIndex":0},"schema":"https://github.com/citation-style-language/schema/raw/master/csl-citation.json"}</w:instrText>
            </w:r>
            <w:r w:rsidRPr="006B11D1">
              <w:fldChar w:fldCharType="separate"/>
            </w:r>
            <w:r w:rsidRPr="009A6580">
              <w:rPr>
                <w:noProof/>
              </w:rPr>
              <w:t>(Toufighi et al., 2005)</w:t>
            </w:r>
            <w:r w:rsidRPr="006B11D1">
              <w:fldChar w:fldCharType="end"/>
            </w:r>
          </w:p>
        </w:tc>
      </w:tr>
      <w:tr w:rsidR="00A139DD" w:rsidRPr="006B11D1" w14:paraId="6B5B35DC" w14:textId="77777777" w:rsidTr="00A139DD">
        <w:trPr>
          <w:trHeight w:val="206"/>
        </w:trPr>
        <w:tc>
          <w:tcPr>
            <w:tcW w:w="3405" w:type="dxa"/>
            <w:tcMar>
              <w:top w:w="100" w:type="dxa"/>
              <w:left w:w="100" w:type="dxa"/>
              <w:bottom w:w="100" w:type="dxa"/>
              <w:right w:w="100" w:type="dxa"/>
            </w:tcMar>
          </w:tcPr>
          <w:p w14:paraId="0183777A" w14:textId="77777777" w:rsidR="00A139DD" w:rsidRPr="006B11D1" w:rsidRDefault="00A139DD" w:rsidP="00DF5B76">
            <w:pPr>
              <w:widowControl w:val="0"/>
              <w:pBdr>
                <w:top w:val="nil"/>
                <w:left w:val="nil"/>
                <w:bottom w:val="nil"/>
                <w:right w:val="nil"/>
                <w:between w:val="nil"/>
              </w:pBdr>
            </w:pPr>
            <w:r w:rsidRPr="006B11D1">
              <w:t>STRING</w:t>
            </w:r>
          </w:p>
        </w:tc>
        <w:tc>
          <w:tcPr>
            <w:tcW w:w="3420" w:type="dxa"/>
            <w:tcMar>
              <w:top w:w="100" w:type="dxa"/>
              <w:left w:w="100" w:type="dxa"/>
              <w:bottom w:w="100" w:type="dxa"/>
              <w:right w:w="100" w:type="dxa"/>
            </w:tcMar>
          </w:tcPr>
          <w:p w14:paraId="2B8B2F74" w14:textId="77777777" w:rsidR="00A139DD" w:rsidRPr="006B11D1" w:rsidRDefault="00A139DD" w:rsidP="00DF5B76">
            <w:pPr>
              <w:widowControl w:val="0"/>
              <w:pBdr>
                <w:top w:val="nil"/>
                <w:left w:val="nil"/>
                <w:bottom w:val="nil"/>
                <w:right w:val="nil"/>
                <w:between w:val="nil"/>
              </w:pBdr>
            </w:pPr>
            <w:r w:rsidRPr="006B11D1">
              <w:t>Network viewer</w:t>
            </w:r>
          </w:p>
        </w:tc>
        <w:tc>
          <w:tcPr>
            <w:tcW w:w="2895" w:type="dxa"/>
          </w:tcPr>
          <w:p w14:paraId="15A84E76"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nar/gky1131","ISSN":"0305-1048","author":[{"dropping-particle":"","family":"Szklarczyk","given":"Damian","non-dropping-particle":"","parse-names":false,"suffix":""},{"dropping-particle":"","family":"Gable","given":"Annika L","non-dropping-particle":"","parse-names":false,"suffix":""},{"dropping-particle":"","family":"Lyon","given":"David","non-dropping-particle":"","parse-names":false,"suffix":""},{"dropping-particle":"","family":"Junge","given":"Alexander","non-dropping-particle":"","parse-names":false,"suffix":""},{"dropping-particle":"","family":"Wyder","given":"Stefan","non-dropping-particle":"","parse-names":false,"suffix":""},{"dropping-particle":"","family":"Huerta-Cepas","given":"Jaime","non-dropping-particle":"","parse-names":false,"suffix":""},{"dropping-particle":"","family":"Simonovic","given":"Milan","non-dropping-particle":"","parse-names":false,"suffix":""},{"dropping-particle":"","family":"Doncheva","given":"Nadezhda T","non-dropping-particle":"","parse-names":false,"suffix":""},{"dropping-particle":"","family":"Morris","given":"John H","non-dropping-particle":"","parse-names":false,"suffix":""},{"dropping-particle":"","family":"Bork","given":"Peer","non-dropping-particle":"","parse-names":false,"suffix":""},{"dropping-particle":"","family":"Jensen","given":"Lars J","non-dropping-particle":"","parse-names":false,"suffix":""},{"dropping-particle":"","family":"Mering","given":"Christian von","non-dropping-particle":"","parse-names":false,"suffix":""}],"container-title":"Nucleic Acids Research","id":"ITEM-1","issue":"D1","issued":{"date-parts":[["2019","1"]]},"page":"D607-D613","publisher":"Oxford University Press","title":"STRING v11: protein–protein association networks with increased coverage, supporting functional discovery in genome-wide experimental datasets","type":"article-journal","volume":"47"},"uris":["http://www.mendeley.com/documents/?uuid=f54cf67f-2f8f-4393-a7ab-8b2cf53e2dfb"]}],"mendeley":{"formattedCitation":"(Szklarczyk et al., 2019)","plainTextFormattedCitation":"(Szklarczyk et al., 2019)","previouslyFormattedCitation":"(Szklarczyk et al., 2019)"},"properties":{"noteIndex":0},"schema":"https://github.com/citation-style-language/schema/raw/master/csl-citation.json"}</w:instrText>
            </w:r>
            <w:r w:rsidRPr="006B11D1">
              <w:fldChar w:fldCharType="separate"/>
            </w:r>
            <w:r w:rsidRPr="009A6580">
              <w:rPr>
                <w:noProof/>
              </w:rPr>
              <w:t>(Szklarczyk et al., 2019)</w:t>
            </w:r>
            <w:r w:rsidRPr="006B11D1">
              <w:fldChar w:fldCharType="end"/>
            </w:r>
          </w:p>
        </w:tc>
      </w:tr>
      <w:tr w:rsidR="00A139DD" w:rsidRPr="006B11D1" w14:paraId="07C415E0" w14:textId="77777777" w:rsidTr="00A139DD">
        <w:trPr>
          <w:trHeight w:val="20"/>
        </w:trPr>
        <w:tc>
          <w:tcPr>
            <w:tcW w:w="3405" w:type="dxa"/>
            <w:tcMar>
              <w:top w:w="100" w:type="dxa"/>
              <w:left w:w="100" w:type="dxa"/>
              <w:bottom w:w="100" w:type="dxa"/>
              <w:right w:w="100" w:type="dxa"/>
            </w:tcMar>
          </w:tcPr>
          <w:p w14:paraId="252E2B57" w14:textId="77777777" w:rsidR="00A139DD" w:rsidRPr="006B11D1" w:rsidRDefault="00A139DD" w:rsidP="00DF5B76">
            <w:pPr>
              <w:widowControl w:val="0"/>
              <w:pBdr>
                <w:top w:val="nil"/>
                <w:left w:val="nil"/>
                <w:bottom w:val="nil"/>
                <w:right w:val="nil"/>
                <w:between w:val="nil"/>
              </w:pBdr>
            </w:pPr>
            <w:proofErr w:type="spellStart"/>
            <w:r w:rsidRPr="006B11D1">
              <w:t>Genemania</w:t>
            </w:r>
            <w:proofErr w:type="spellEnd"/>
          </w:p>
        </w:tc>
        <w:tc>
          <w:tcPr>
            <w:tcW w:w="3420" w:type="dxa"/>
            <w:tcMar>
              <w:top w:w="100" w:type="dxa"/>
              <w:left w:w="100" w:type="dxa"/>
              <w:bottom w:w="100" w:type="dxa"/>
              <w:right w:w="100" w:type="dxa"/>
            </w:tcMar>
          </w:tcPr>
          <w:p w14:paraId="77416A2A" w14:textId="77777777" w:rsidR="00A139DD" w:rsidRPr="006B11D1" w:rsidRDefault="00A139DD" w:rsidP="00DF5B76">
            <w:pPr>
              <w:widowControl w:val="0"/>
              <w:pBdr>
                <w:top w:val="nil"/>
                <w:left w:val="nil"/>
                <w:bottom w:val="nil"/>
                <w:right w:val="nil"/>
                <w:between w:val="nil"/>
              </w:pBdr>
            </w:pPr>
            <w:r w:rsidRPr="006B11D1">
              <w:t>Network viewer</w:t>
            </w:r>
          </w:p>
        </w:tc>
        <w:tc>
          <w:tcPr>
            <w:tcW w:w="2895" w:type="dxa"/>
          </w:tcPr>
          <w:p w14:paraId="2392CAFD"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{"citationItems":[{"id":"ITEM-1","itemData":{"DOI":"10.1093/nar/gky311","ISSN":"13624962","abstract":"GeneMANIA (http://genemania.org) is a flexible user-friendly web site for generating hypotheses about gene function, analyzing gene lists and prioritizing genes for functional assays. Given a query gene list, GeneMANIA finds functionally similar genes using a wealth of genomics and proteomics data. In this mode, it weights each functional genomic dataset according to its predictive value for the query. Another use of GeneMANIA is gene function prediction. Given a single query gene, GeneMANIA finds genes likely to share function with it based on their interactions with it. Enriched Gene Ontology categories among this set can point to the function of the gene. Nine organisms are currently supported (Arabidopsis thaliana, Caenorhabditis elegans, Danio rerio, Drosophila melanogaster, Escherichia coli, Homo sapiens, Mus musculus, Rattus norvegicus and Saccharomyces cerevisiae). Hundreds of data sets and hundreds of millions of interactions have been collected from GEO, BioGRID, IRefIndex and I2D, as well as organism-specific functional genomics data sets. Users can customize their search by selecting specific data sets to query and by uploading their own data sets to analyze. We have recently updated the user interface to GeneMANIA to make it more intuitive and make more efficient use of visual space. GeneMANIA can now be used effectively on a variety of devices.","author":[{"dropping-particle":"","family":"Franz","given":"Max","non-dropping-particle":"","parse-names":false,"suffix":""},{"dropping-particle":"","family":"Rodriguez","given":"Harold","non-dropping-particle":"","parse-names":false,"suffix":""},{"dropping-particle":"","family":"Lopes","given":"Christian","non-dropping-particle":"","parse-names":false,"suffix":""},{"dropping-particle":"","family":"Zuberi","given":"Khalid","non-dropping-particle":"","parse-names":false,"suffix":""},{"dropping-particle":"","family":"Montojo","given":"Jason","non-dropping-particle":"","parse-names":false,"suffix":""},{"dropping-particle":"","family":"Bader","given":"Gary D.","non-dropping-particle":"","parse-names":false,"suffix":""},{"dropping-particle":"","family":"Morris","given":"Quaid","non-dropping-particle":"","parse-names":false,"suffix":""}],"container-title":"Nucleic Acids Research","id":"ITEM-1","issue":"W1","issued":{"date-parts":[["2018"]]},"page":"W60-W64","title":"GeneMANIA update 2018","type":"article-journal","volume":"46"},"uris":["http://www.mendeley.com/documents/?uuid=9156367d-b728-4af4-8ffd-26dd1fbeafb1"]}],"mendeley":{"formattedCitation":"(Franz et al., 2018)","plainTextFormattedCitation":"(Franz et al., 2018)","previouslyFormattedCitation":"(Franz et al., 2018)"},"properties":{"noteIndex":0},"schema":"https://github.com/citation-style-language/schema/raw/master/csl-citation.json"}</w:instrText>
            </w:r>
            <w:r w:rsidRPr="006B11D1">
              <w:fldChar w:fldCharType="separate"/>
            </w:r>
            <w:r w:rsidRPr="009A6580">
              <w:rPr>
                <w:noProof/>
              </w:rPr>
              <w:t>(Franz et al., 2018)</w:t>
            </w:r>
            <w:r w:rsidRPr="006B11D1">
              <w:fldChar w:fldCharType="end"/>
            </w:r>
          </w:p>
        </w:tc>
      </w:tr>
      <w:tr w:rsidR="00A139DD" w:rsidRPr="006B11D1" w14:paraId="7C86A814" w14:textId="77777777" w:rsidTr="00A139DD">
        <w:trPr>
          <w:trHeight w:val="20"/>
        </w:trPr>
        <w:tc>
          <w:tcPr>
            <w:tcW w:w="3405" w:type="dxa"/>
            <w:tcMar>
              <w:top w:w="100" w:type="dxa"/>
              <w:left w:w="100" w:type="dxa"/>
              <w:bottom w:w="100" w:type="dxa"/>
              <w:right w:w="100" w:type="dxa"/>
            </w:tcMar>
          </w:tcPr>
          <w:p w14:paraId="0887EC00" w14:textId="77777777" w:rsidR="00A139DD" w:rsidRPr="006B11D1" w:rsidRDefault="00A139DD" w:rsidP="00DF5B76">
            <w:pPr>
              <w:widowControl w:val="0"/>
              <w:pBdr>
                <w:top w:val="nil"/>
                <w:left w:val="nil"/>
                <w:bottom w:val="nil"/>
                <w:right w:val="nil"/>
                <w:between w:val="nil"/>
              </w:pBdr>
            </w:pPr>
            <w:r w:rsidRPr="006B11D1">
              <w:t>Arabidopsis interaction viewer</w:t>
            </w:r>
          </w:p>
        </w:tc>
        <w:tc>
          <w:tcPr>
            <w:tcW w:w="3420" w:type="dxa"/>
            <w:tcMar>
              <w:top w:w="100" w:type="dxa"/>
              <w:left w:w="100" w:type="dxa"/>
              <w:bottom w:w="100" w:type="dxa"/>
              <w:right w:w="100" w:type="dxa"/>
            </w:tcMar>
          </w:tcPr>
          <w:p w14:paraId="61756343" w14:textId="77777777" w:rsidR="00A139DD" w:rsidRPr="006B11D1" w:rsidRDefault="00A139DD" w:rsidP="00DF5B76">
            <w:pPr>
              <w:widowControl w:val="0"/>
              <w:pBdr>
                <w:top w:val="nil"/>
                <w:left w:val="nil"/>
                <w:bottom w:val="nil"/>
                <w:right w:val="nil"/>
                <w:between w:val="nil"/>
              </w:pBdr>
            </w:pPr>
            <w:r w:rsidRPr="006B11D1">
              <w:t>Arabidopsis Network Viewer</w:t>
            </w:r>
          </w:p>
        </w:tc>
        <w:tc>
          <w:tcPr>
            <w:tcW w:w="2895" w:type="dxa"/>
          </w:tcPr>
          <w:p w14:paraId="6F6DE212"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{"citationItems":[{"id":"ITEM-1","itemData":{"DOI":"10.1104/pp.107.103465","ISSN":"00320889","abstract":"The complex cellular functions of an organism frequently rely on physical interactions between proteins. A map of all protein-protein interactions, an interactome, is thus an invaluable tool. We present an interactome for Arabidopsis (Arabidopsis thaliana) predicted from interacting orthologs in yeast (Saccharomyces cerevisiae), nematode worm (Caenorhabditis elegans), fruitfly (Drosophila melanogaster), and human (Homo sapiens). As an internal quality control, a confidence value was generated based on the amount of supporting evidence for each interaction. A total of 1,159 high confidence, 5,913 medium confidence, and 12,907 low confidence interactions were identified for 3,617 conserved Arabidopsis proteins. There was significant coexpression of genes whose proteins were predicted to interact, even among low confidence interactions. Interacting proteins were also significantly more likely to be found within the same subcellular location, and significantly less likely to be found in conflicting localizations than randomly paired proteins. A notable exception was that proteins located in the Golgi were more likely to interact with Golgi, vacuolar, or endoplasmic reticulum sorted proteins, indicating possible docking or trafficking interactions. These predictions can aid researchers by extending known complexes and pathways with candidate proteins. In addition we have predicted interactions for many previously unknown proteins in known pathways and complexes. We present this interactome, and an online Web interface the Arabidopsis Interactions Viewer, as a first step toward understanding global signaling in Arabidopsis, and to whet the appetite for those who are awaiting results from high-throughput experimental approaches.","author":[{"dropping-particle":"","family":"Geisler-Lee","given":"Jane","non-dropping-particle":"","parse-names":false,"suffix":""},{"dropping-particle":"","family":"O'Toole","given":"Nicholas","non-dropping-particle":"","parse-names":false,"suffix":""},{"dropping-particle":"","family":"Ammar","given":"Ron","non-dropping-particle":"","parse-names":false,"suffix":""},{"dropping-particle":"","family":"Provart","given":"Nicholas J.","non-dropping-particle":"","parse-names":false,"suffix":""},{"dropping-particle":"","family":"Millar","given":"A. Harvey","non-dropping-particle":"","parse-names":false,"suffix":""},{"dropping-particle":"","family":"Geisler","given":"Matt","non-dropping-particle":"","parse-names":false,"suffix":""}],"container-title":"Plant Physiology","id":"ITEM-1","issued":{"date-parts":[["2007"]]},"page":"317-329","title":"A predicted interactome for arabidopsis","type":"article-journal","volume":"145"},"uris":["http://www.mendeley.com/documents/?uuid=2c6b262b-c99c-4d96-ae4e-cf3aa18a8d0b"]}],"mendeley":{"formattedCitation":"(Geisler-Lee et al., 2007)","plainTextFormattedCitation":"(Geisler-Lee et al., 2007)","previouslyFormattedCitation":"(Geisler-Lee et al., 2007)"},"properties":{"noteIndex":0},"schema":"https://github.com/citation-style-language/schema/raw/master/csl-citation.json"}</w:instrText>
            </w:r>
            <w:r w:rsidRPr="006B11D1">
              <w:fldChar w:fldCharType="separate"/>
            </w:r>
            <w:r w:rsidRPr="009A6580">
              <w:rPr>
                <w:noProof/>
              </w:rPr>
              <w:t>(Geisler-Lee et al., 2007)</w:t>
            </w:r>
            <w:r w:rsidRPr="006B11D1">
              <w:fldChar w:fldCharType="end"/>
            </w:r>
          </w:p>
        </w:tc>
      </w:tr>
      <w:tr w:rsidR="00A139DD" w:rsidRPr="006B11D1" w14:paraId="6A9DA552" w14:textId="77777777" w:rsidTr="00A139DD">
        <w:trPr>
          <w:trHeight w:val="20"/>
        </w:trPr>
        <w:tc>
          <w:tcPr>
            <w:tcW w:w="3405" w:type="dxa"/>
            <w:tcMar>
              <w:top w:w="100" w:type="dxa"/>
              <w:left w:w="100" w:type="dxa"/>
              <w:bottom w:w="100" w:type="dxa"/>
              <w:right w:w="100" w:type="dxa"/>
            </w:tcMar>
          </w:tcPr>
          <w:p w14:paraId="54EB05E5" w14:textId="77777777" w:rsidR="00A139DD" w:rsidRPr="006B11D1" w:rsidRDefault="00A139DD" w:rsidP="00DF5B76">
            <w:pPr>
              <w:widowControl w:val="0"/>
              <w:pBdr>
                <w:top w:val="nil"/>
                <w:left w:val="nil"/>
                <w:bottom w:val="nil"/>
                <w:right w:val="nil"/>
                <w:between w:val="nil"/>
              </w:pBdr>
            </w:pPr>
            <w:r w:rsidRPr="006B11D1">
              <w:t>Rice interaction viewer</w:t>
            </w:r>
          </w:p>
        </w:tc>
        <w:tc>
          <w:tcPr>
            <w:tcW w:w="3420" w:type="dxa"/>
            <w:tcMar>
              <w:top w:w="100" w:type="dxa"/>
              <w:left w:w="100" w:type="dxa"/>
              <w:bottom w:w="100" w:type="dxa"/>
              <w:right w:w="100" w:type="dxa"/>
            </w:tcMar>
          </w:tcPr>
          <w:p w14:paraId="574DFB21" w14:textId="77777777" w:rsidR="00A139DD" w:rsidRPr="006B11D1" w:rsidRDefault="00A139DD" w:rsidP="00DF5B76">
            <w:pPr>
              <w:widowControl w:val="0"/>
              <w:pBdr>
                <w:top w:val="nil"/>
                <w:left w:val="nil"/>
                <w:bottom w:val="nil"/>
                <w:right w:val="nil"/>
                <w:between w:val="nil"/>
              </w:pBdr>
            </w:pPr>
            <w:r w:rsidRPr="006B11D1">
              <w:t>Rice Network Viewer</w:t>
            </w:r>
          </w:p>
        </w:tc>
        <w:tc>
          <w:tcPr>
            <w:tcW w:w="2895" w:type="dxa"/>
          </w:tcPr>
          <w:p w14:paraId="65A81221"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{"citationItems":[{"id":"ITEM-1","itemData":{"DOI":"10.1186/1939-8433-5-15","ISSN":"19398425","abstract":"Background Protein-protein interactions (PPIs) create the steps in signaling and regulatory networks central to most fundamental biological processes. It is possible to predict these interactions by making use of experimentally determined orthologous interactions in other species. Results In this study, prediction of PPIs in rice was carried out by the interolog method of mapping deduced orthologous genes to protein interactions supported by experimental evidence from reference organisms. We predicted 37112 interactions for 4567 rice proteins, including 1671 predicted self interactions (homo-interactions) and 35441 predicted interactions between different proteins (hetero-interactions). These matched 168 of 675 experimentally-determined interactions in rice. Interacting proteins were significantly more co-expressed than expected by chance, which is typical of experimentally-determined interactomes. Th e rice interacting proteins were divided topologically into 981 free ends (proteins with single interactions), 499 pipes (proteins with two interactions) and 3087 hubs of different sizes ranging from three to more than 100 interactions. Conclusions This predicted rice interactome extends known pathways and improves functional annotation of unknown rice proteins and networks in rice, and is easily explored with software tools presented here. © 2012 Ho et al.","author":[{"dropping-particle":"","family":"Ho","given":"Chai Ling","non-dropping-particle":"","parse-names":false,"suffix":""},{"dropping-particle":"","family":"Wu","given":"Yingzhou","non-dropping-particle":"","parse-names":false,"suffix":""},{"dropping-particle":"bin","family":"Shen","given":"Hong","non-dropping-particle":"","parse-names":false,"suffix":""},{"dropping-particle":"","family":"Provart","given":"Nicholas J.","non-dropping-particle":"","parse-names":false,"suffix":""},{"dropping-particle":"","family":"Geisler","given":"Matt","non-dropping-particle":"","parse-names":false,"suffix":""}],"container-title":"Rice","id":"ITEM-1","issued":{"date-parts":[["2012"]]},"page":"15","title":"A predicted protein interactome for rice","type":"article-journal","volume":"5"},"uris":["http://www.mendeley.com/documents/?uuid=43723b95-f862-4e18-8167-b4edab8ba39a"]}],"mendeley":{"formattedCitation":"(Ho et al., 2012)","plainTextFormattedCitation":"(Ho et al., 2012)","previouslyFormattedCitation":"(Ho et al., 2012)"},"properties":{"noteIndex":0},"schema":"https://github.com/citation-style-language/schema/raw/master/csl-citation.json"}</w:instrText>
            </w:r>
            <w:r w:rsidRPr="006B11D1">
              <w:fldChar w:fldCharType="separate"/>
            </w:r>
            <w:r w:rsidRPr="009A6580">
              <w:rPr>
                <w:noProof/>
              </w:rPr>
              <w:t>(Ho et al., 2012)</w:t>
            </w:r>
            <w:r w:rsidRPr="006B11D1">
              <w:fldChar w:fldCharType="end"/>
            </w:r>
          </w:p>
        </w:tc>
      </w:tr>
      <w:tr w:rsidR="00A139DD" w:rsidRPr="006B11D1" w14:paraId="152A3FE2" w14:textId="77777777" w:rsidTr="00A139DD">
        <w:trPr>
          <w:trHeight w:val="197"/>
        </w:trPr>
        <w:tc>
          <w:tcPr>
            <w:tcW w:w="3405" w:type="dxa"/>
            <w:tcMar>
              <w:top w:w="100" w:type="dxa"/>
              <w:left w:w="100" w:type="dxa"/>
              <w:bottom w:w="100" w:type="dxa"/>
              <w:right w:w="100" w:type="dxa"/>
            </w:tcMar>
          </w:tcPr>
          <w:p w14:paraId="3CDC30CD" w14:textId="77777777" w:rsidR="00A139DD" w:rsidRPr="006B11D1" w:rsidRDefault="00A139DD" w:rsidP="00DF5B76">
            <w:pPr>
              <w:widowControl w:val="0"/>
              <w:pBdr>
                <w:top w:val="nil"/>
                <w:left w:val="nil"/>
                <w:bottom w:val="nil"/>
                <w:right w:val="nil"/>
                <w:between w:val="nil"/>
              </w:pBdr>
            </w:pPr>
            <w:proofErr w:type="spellStart"/>
            <w:r w:rsidRPr="006B11D1">
              <w:t>Genevisble</w:t>
            </w:r>
            <w:proofErr w:type="spellEnd"/>
          </w:p>
        </w:tc>
        <w:tc>
          <w:tcPr>
            <w:tcW w:w="3420" w:type="dxa"/>
            <w:tcMar>
              <w:top w:w="100" w:type="dxa"/>
              <w:left w:w="100" w:type="dxa"/>
              <w:bottom w:w="100" w:type="dxa"/>
              <w:right w:w="100" w:type="dxa"/>
            </w:tcMar>
          </w:tcPr>
          <w:p w14:paraId="66490588" w14:textId="77777777" w:rsidR="00A139DD" w:rsidRPr="006B11D1" w:rsidRDefault="00A139DD" w:rsidP="00DF5B76">
            <w:pPr>
              <w:widowControl w:val="0"/>
              <w:pBdr>
                <w:top w:val="nil"/>
                <w:left w:val="nil"/>
                <w:bottom w:val="nil"/>
                <w:right w:val="nil"/>
                <w:between w:val="nil"/>
              </w:pBdr>
            </w:pPr>
            <w:proofErr w:type="spellStart"/>
            <w:r w:rsidRPr="006B11D1">
              <w:t>RNAseq</w:t>
            </w:r>
            <w:proofErr w:type="spellEnd"/>
            <w:r w:rsidRPr="006B11D1">
              <w:t xml:space="preserve"> visualization</w:t>
            </w:r>
          </w:p>
        </w:tc>
        <w:tc>
          <w:tcPr>
            <w:tcW w:w="2895" w:type="dxa"/>
          </w:tcPr>
          <w:p w14:paraId="1A66232D"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{"citationItems":[{"id":"ITEM-1","itemData":{"DOI":"10.1155/2008/420747","ISSN":"1687-8027","abstract":"The Web-based software tool Genevestigator provides powerful tools for biologists to explore gene expression across a wide variety of biological contexts. Its first releases, however, were limited by the scaling ability of the system architecture, multiorganism data storage and analysis capability, and availability of computationally intensive analysis methods. Genevestigator V3 is a novel meta-analysis system resulting from new algorithmic and software development using a client/server architecture, large-scale manual curation and quality control of microarray data for several organisms, and curation of pathway data for mouse and Arabidopsis. In addition to improved querying features, Genevestigator V3 provides new tools to analyze the expression of genes in many different contexts, to identify biomarker genes, to cluster genes into expression modules, and to model expression responses in the context of metabolic and regulatory networks. Being a reference expression database with user-friendly tools, Genevestigator V3 facilitates discovery research and hypothesis validation.","author":[{"dropping-particle":"","family":"Hruz","given":"Tomas","non-dropping-particle":"","parse-names":false,"suffix":""},{"dropping-particle":"","family":"Laule","given":"Oliver","non-dropping-particle":"","parse-names":false,"suffix":""},{"dropping-particle":"","family":"Szabo","given":"Gabor","non-dropping-particle":"","parse-names":false,"suffix":""},{"dropping-particle":"","family":"Wessendorp","given":"Frans","non-dropping-particle":"","parse-names":false,"suffix":""},{"dropping-particle":"","family":"Bleuler","given":"Stefan","non-dropping-particle":"","parse-names":false,"suffix":""},{"dropping-particle":"","family":"Oertle","given":"Lukas","non-dropping-particle":"","parse-names":false,"suffix":""},{"dropping-particle":"","family":"Widmayer","given":"Peter","non-dropping-particle":"","parse-names":false,"suffix":""},{"dropping-particle":"","family":"Gruissem","given":"Wilhelm","non-dropping-particle":"","parse-names":false,"suffix":""},{"dropping-particle":"","family":"Zimmermann","given":"Philip","non-dropping-particle":"","parse-names":false,"suffix":""}],"container-title":"Advances in Bioinformatics","id":"ITEM-1","issued":{"date-parts":[["2008"]]},"page":"420747","title":"Genevestigator V3: A Reference Expression Database for the Meta-Analysis of Transcriptomes","type":"article-journal","volume":"2008"},"uris":["http://www.mendeley.com/documents/?uuid=c23c6a69-ca51-481e-a84f-3fad4346c143"]}],"mendeley":{"formattedCitation":"(Hruz et al., 2008)","plainTextFormattedCitation":"(Hruz et al., 2008)","previouslyFormattedCitation":"(Hruz et al., 2008)"},"properties":{"noteIndex":0},"schema":"https://github.com/citation-style-language/schema/raw/master/csl-citation.json"}</w:instrText>
            </w:r>
            <w:r w:rsidRPr="006B11D1">
              <w:fldChar w:fldCharType="separate"/>
            </w:r>
            <w:r w:rsidRPr="009A6580">
              <w:rPr>
                <w:noProof/>
              </w:rPr>
              <w:t>(Hruz et al., 2008)</w:t>
            </w:r>
            <w:r w:rsidRPr="006B11D1">
              <w:fldChar w:fldCharType="end"/>
            </w:r>
          </w:p>
        </w:tc>
      </w:tr>
      <w:tr w:rsidR="00A139DD" w:rsidRPr="006B11D1" w14:paraId="7153520A" w14:textId="77777777" w:rsidTr="00A139DD">
        <w:trPr>
          <w:trHeight w:val="20"/>
        </w:trPr>
        <w:tc>
          <w:tcPr>
            <w:tcW w:w="3405" w:type="dxa"/>
            <w:tcMar>
              <w:top w:w="100" w:type="dxa"/>
              <w:left w:w="100" w:type="dxa"/>
              <w:bottom w:w="100" w:type="dxa"/>
              <w:right w:w="100" w:type="dxa"/>
            </w:tcMar>
          </w:tcPr>
          <w:p w14:paraId="10E18EE1" w14:textId="77777777" w:rsidR="00A139DD" w:rsidRPr="006B11D1" w:rsidRDefault="00A139DD" w:rsidP="00DF5B76">
            <w:pPr>
              <w:widowControl w:val="0"/>
              <w:pBdr>
                <w:top w:val="nil"/>
                <w:left w:val="nil"/>
                <w:bottom w:val="nil"/>
                <w:right w:val="nil"/>
                <w:between w:val="nil"/>
              </w:pBdr>
            </w:pPr>
            <w:proofErr w:type="spellStart"/>
            <w:r w:rsidRPr="006B11D1">
              <w:t>CATdb</w:t>
            </w:r>
            <w:proofErr w:type="spellEnd"/>
          </w:p>
        </w:tc>
        <w:tc>
          <w:tcPr>
            <w:tcW w:w="3420" w:type="dxa"/>
            <w:tcMar>
              <w:top w:w="100" w:type="dxa"/>
              <w:left w:w="100" w:type="dxa"/>
              <w:bottom w:w="100" w:type="dxa"/>
              <w:right w:w="100" w:type="dxa"/>
            </w:tcMar>
          </w:tcPr>
          <w:p w14:paraId="3833160B" w14:textId="77777777" w:rsidR="00A139DD" w:rsidRPr="006B11D1" w:rsidRDefault="00A139DD" w:rsidP="00DF5B76">
            <w:pPr>
              <w:widowControl w:val="0"/>
              <w:pBdr>
                <w:top w:val="nil"/>
                <w:left w:val="nil"/>
                <w:bottom w:val="nil"/>
                <w:right w:val="nil"/>
                <w:between w:val="nil"/>
              </w:pBdr>
            </w:pPr>
            <w:r w:rsidRPr="006B11D1">
              <w:t>Access processed microarrays</w:t>
            </w:r>
          </w:p>
        </w:tc>
        <w:tc>
          <w:tcPr>
            <w:tcW w:w="2895" w:type="dxa"/>
          </w:tcPr>
          <w:p w14:paraId="1AE188B4" w14:textId="77777777" w:rsidR="00A139DD" w:rsidRPr="006B11D1" w:rsidRDefault="00A139DD" w:rsidP="00DF5B76">
            <w:pPr>
              <w:widowControl w:val="0"/>
              <w:pBdr>
                <w:top w:val="nil"/>
                <w:left w:val="nil"/>
                <w:bottom w:val="nil"/>
                <w:right w:val="nil"/>
                <w:between w:val="nil"/>
              </w:pBdr>
            </w:pPr>
            <w:r w:rsidRPr="006B11D1">
              <w:rPr>
                <w:highlight w:val="white"/>
              </w:rPr>
              <w:fldChar w:fldCharType="begin" w:fldLock="1"/>
            </w:r>
            <w:r>
              <w:rPr>
                <w:highlight w:val="white"/>
              </w:rPr>
              <w:instrText>ADDIN CSL_CITATION {"citationItems":[{"id":"ITEM-1","itemData":{"DOI":"10.1093/nar/gkm757","ISSN":"03051048","abstract":"CATdb is a free resource available at http://urgv.evry.inra.fr/CATdb that provides public access to a large collection of transcriptome data for Arabidopsis thaliana produced by a single Complete Arabidopsis Transcriptome Micro Array (CATMA) platform. CATMA probes consist of gene-specific sequence tags (GSTs) of 150-500 bp. The v2 version of CATMA contains 24 576 GST probes representing most of the predicted A. thaliana genes, and 615 probes tiling the chloroplastic and mitochondrial genomes. Data in CATdb are entirely processed with the same standardized protocol, from microarray printing to data analyses. CATdb contains the results of 53 projects including 1724 hybridized samples distributed between 13 different organs, 49 different developmental conditions, 45 mutants and 63 environmental conditions. All the data contained in CATdb can be downloaded from the web site and subsets of data can be sorted out and displayed either by keywords, by experiments, genes or lists of genes up to 100. CATdb gives an easy access to the complete description of experiments with a picture of the experiment design.","author":[{"dropping-particle":"","family":"Gagnot","given":"Séverine","non-dropping-particle":"","parse-names":false,"suffix":""},{"dropping-particle":"","family":"Tamby","given":"Jean Philippe","non-dropping-particle":"","parse-names":false,"suffix":""},{"dropping-particle":"","family":"Martin-Magniette","given":"Marie Laure","non-dropping-particle":"","parse-names":false,"suffix":""},{"dropping-particle":"","family":"Bitton","given":"Frédérique","non-dropping-particle":"","parse-names":false,"suffix":""},{"dropping-particle":"","family":"Taconnat","given":"Ludivine","non-dropping-particle":"","parse-names":false,"suffix":""},{"dropping-particle":"","family":"Balzergue","given":"Sandrine","non-dropping-particle":"","parse-names":false,"suffix":""},{"dropping-particle":"","family":"Aubourg","given":"Sébastien","non-dropping-particle":"","parse-names":false,"suffix":""},{"dropping-particle":"","family":"Renou","given":"Jean Pierre","non-dropping-particle":"","parse-names":false,"suffix":""},{"dropping-particle":"","family":"Lecharny","given":"Alain","non-dropping-particle":"","parse-names":false,"suffix":""},{"dropping-particle":"","family":"Brunaud","given":"Véronique","non-dropping-particle":"","parse-names":false,"suffix":""}],"container-title":"Nucleic Acids Research","id":"ITEM-1","issued":{"date-parts":[["2008"]]},"page":"D986-D900","title":"CATdb: A public access to arabidopsis transcriptome data from the URGV-CATMA platform","type":"article-journal","volume":"36"},"uris":["http://www.mendeley.com/documents/?uuid=a7029aa5-aed2-4ccb-9399-bad6cc6071be"]}],"mendeley":{"formattedCitation":"(Gagnot et al., 2008)","plainTextFormattedCitation":"(Gagnot et al., 2008)","previouslyFormattedCitation":"(Gagnot et al., 2008)"},"properties":{"noteIndex":0},"schema":"https://github.com/citation-style-language/schema/raw/master/csl-citation.json"}</w:instrText>
            </w:r>
            <w:r w:rsidRPr="006B11D1">
              <w:rPr>
                <w:highlight w:val="white"/>
              </w:rPr>
              <w:fldChar w:fldCharType="separate"/>
            </w:r>
            <w:r w:rsidRPr="009A6580">
              <w:rPr>
                <w:noProof/>
                <w:highlight w:val="white"/>
              </w:rPr>
              <w:t>(Gagnot et al., 2008)</w:t>
            </w:r>
            <w:r w:rsidRPr="006B11D1">
              <w:rPr>
                <w:highlight w:val="white"/>
              </w:rPr>
              <w:fldChar w:fldCharType="end"/>
            </w:r>
          </w:p>
        </w:tc>
      </w:tr>
      <w:tr w:rsidR="00A139DD" w:rsidRPr="006B11D1" w14:paraId="5C71CC03" w14:textId="77777777" w:rsidTr="00A139DD">
        <w:trPr>
          <w:trHeight w:val="20"/>
        </w:trPr>
        <w:tc>
          <w:tcPr>
            <w:tcW w:w="3405" w:type="dxa"/>
            <w:tcMar>
              <w:top w:w="100" w:type="dxa"/>
              <w:left w:w="100" w:type="dxa"/>
              <w:bottom w:w="100" w:type="dxa"/>
              <w:right w:w="100" w:type="dxa"/>
            </w:tcMar>
          </w:tcPr>
          <w:p w14:paraId="247F4E2F" w14:textId="77777777" w:rsidR="00A139DD" w:rsidRPr="006B11D1" w:rsidRDefault="00A139DD" w:rsidP="00DF5B76">
            <w:pPr>
              <w:widowControl w:val="0"/>
              <w:pBdr>
                <w:top w:val="nil"/>
                <w:left w:val="nil"/>
                <w:bottom w:val="nil"/>
                <w:right w:val="nil"/>
                <w:between w:val="nil"/>
              </w:pBdr>
            </w:pPr>
            <w:r w:rsidRPr="006B11D1">
              <w:t>AGRIS TF database</w:t>
            </w:r>
          </w:p>
        </w:tc>
        <w:tc>
          <w:tcPr>
            <w:tcW w:w="3420" w:type="dxa"/>
            <w:tcMar>
              <w:top w:w="100" w:type="dxa"/>
              <w:left w:w="100" w:type="dxa"/>
              <w:bottom w:w="100" w:type="dxa"/>
              <w:right w:w="100" w:type="dxa"/>
            </w:tcMar>
          </w:tcPr>
          <w:p w14:paraId="42E720FD" w14:textId="77777777" w:rsidR="00A139DD" w:rsidRPr="006B11D1" w:rsidRDefault="00A139DD" w:rsidP="00DF5B76">
            <w:pPr>
              <w:widowControl w:val="0"/>
              <w:pBdr>
                <w:top w:val="nil"/>
                <w:left w:val="nil"/>
                <w:bottom w:val="nil"/>
                <w:right w:val="nil"/>
                <w:between w:val="nil"/>
              </w:pBdr>
            </w:pPr>
            <w:r w:rsidRPr="006B11D1">
              <w:t>Transcription factor filter</w:t>
            </w:r>
          </w:p>
        </w:tc>
        <w:tc>
          <w:tcPr>
            <w:tcW w:w="2895" w:type="dxa"/>
          </w:tcPr>
          <w:p w14:paraId="37E9616D"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{"citationItems":[{"id":"ITEM-1","itemData":{"DOI":"10.1104/pp.105.072280","ISSN":"00320889","abstract":"Gene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http://Arabidopsis.med.ohio-state.edu.","author":[{"dropping-particle":"","family":"Palaniswamy","given":"Saranyan K.","non-dropping-particle":"","parse-names":false,"suffix":""},{"dropping-particle":"","family":"James","given":"Stephen","non-dropping-particle":"","parse-names":false,"suffix":""},{"dropping-particle":"","family":"Sun","given":"Hao","non-dropping-particle":"","parse-names":false,"suffix":""},{"dropping-particle":"","family":"Lamb","given":"Rebecca S.","non-dropping-particle":"","parse-names":false,"suffix":""},{"dropping-particle":"V.","family":"Davuluri","given":"Ramana","non-dropping-particle":"","parse-names":false,"suffix":""},{"dropping-particle":"","family":"Grotewold","given":"Erich","non-dropping-particle":"","parse-names":false,"suffix":""}],"container-title":"Plant Physiology","id":"ITEM-1","issued":{"date-parts":[["2006"]]},"page":"818-829","title":"AGRIS and AtRegNet. A platform to link cis-regulatory elements and transcription factors into regulatory networks","type":"article-journal","volume":"140"},"uris":["http://www.mendeley.com/documents/?uuid=5ae1d223-0e9a-4d87-b185-105cfc241637"]}],"mendeley":{"formattedCitation":"(Palaniswamy et al., 2006)","plainTextFormattedCitation":"(Palaniswamy et al., 2006)","previouslyFormattedCitation":"(Palaniswamy et al., 2006)"},"properties":{"noteIndex":0},"schema":"https://github.com/citation-style-language/schema/raw/master/csl-citation.json"}</w:instrText>
            </w:r>
            <w:r w:rsidRPr="006B11D1">
              <w:fldChar w:fldCharType="separate"/>
            </w:r>
            <w:r w:rsidRPr="009A6580">
              <w:rPr>
                <w:noProof/>
              </w:rPr>
              <w:t>(Palaniswamy et al., 2006)</w:t>
            </w:r>
            <w:r w:rsidRPr="006B11D1">
              <w:fldChar w:fldCharType="end"/>
            </w:r>
          </w:p>
        </w:tc>
      </w:tr>
      <w:tr w:rsidR="00A139DD" w:rsidRPr="006B11D1" w14:paraId="7EF7AB89" w14:textId="77777777" w:rsidTr="00A139DD">
        <w:trPr>
          <w:trHeight w:val="20"/>
        </w:trPr>
        <w:tc>
          <w:tcPr>
            <w:tcW w:w="3405" w:type="dxa"/>
            <w:tcMar>
              <w:top w:w="100" w:type="dxa"/>
              <w:left w:w="100" w:type="dxa"/>
              <w:bottom w:w="100" w:type="dxa"/>
              <w:right w:w="100" w:type="dxa"/>
            </w:tcMar>
          </w:tcPr>
          <w:p w14:paraId="14AC7811" w14:textId="77777777" w:rsidR="00A139DD" w:rsidRPr="006B11D1" w:rsidRDefault="00A139DD" w:rsidP="00DF5B76">
            <w:pPr>
              <w:widowControl w:val="0"/>
              <w:pBdr>
                <w:top w:val="nil"/>
                <w:left w:val="nil"/>
                <w:bottom w:val="nil"/>
                <w:right w:val="nil"/>
                <w:between w:val="nil"/>
              </w:pBdr>
            </w:pPr>
            <w:r w:rsidRPr="006B11D1">
              <w:t>microRNA annotation TAIR10</w:t>
            </w:r>
          </w:p>
        </w:tc>
        <w:tc>
          <w:tcPr>
            <w:tcW w:w="3420" w:type="dxa"/>
            <w:tcMar>
              <w:top w:w="100" w:type="dxa"/>
              <w:left w:w="100" w:type="dxa"/>
              <w:bottom w:w="100" w:type="dxa"/>
              <w:right w:w="100" w:type="dxa"/>
            </w:tcMar>
          </w:tcPr>
          <w:p w14:paraId="3786EA03" w14:textId="77777777" w:rsidR="00A139DD" w:rsidRPr="006B11D1" w:rsidRDefault="00A139DD" w:rsidP="00DF5B76">
            <w:pPr>
              <w:widowControl w:val="0"/>
            </w:pPr>
            <w:r w:rsidRPr="006B11D1">
              <w:t>Gene set filter</w:t>
            </w:r>
          </w:p>
        </w:tc>
        <w:tc>
          <w:tcPr>
            <w:tcW w:w="2895" w:type="dxa"/>
          </w:tcPr>
          <w:p w14:paraId="4DCC33A8" w14:textId="77777777" w:rsidR="00A139DD" w:rsidRPr="006B11D1" w:rsidRDefault="00A139DD" w:rsidP="00DF5B76">
            <w:pPr>
              <w:widowControl w:val="0"/>
            </w:pPr>
            <w:r w:rsidRPr="006B11D1">
              <w:fldChar w:fldCharType="begin" w:fldLock="1"/>
            </w:r>
            <w:r>
              <w:instrText>ADDIN CSL_CITATION {"citationItems":[{"id":"ITEM-1","itemData":{"DOI":"10.1093/nar/gkr1090","ISSN":"03051048","abstract":"The Arabidopsis Information Resource (TAIR, http://arabidopsis.org) is a genome database for Arabidopsis thaliana, an important reference organism for many fundamental aspects of biology as well as basic and applied plant biology research. TAIR serves as a central access point for Arabidopsis data, annotates gene function and expression patterns using controlled vocabulary terms, and maintains and updates the A. thaliana genome assembly and annotation. TAIR also provides researchers with an extensive set of visualization and analysis tools. Recent developments include several new genome releases (TAIR8, TAIR9 and TAIR10) in which the A. thaliana assembly was updated, pseudogenes and transposon genes were re-annotated, and new data from proteomics and next generation transcriptome sequencing were incorporated into gene models and splice variants. Other highlights include progress on functional annotation of the genome and the release of several new tools including Textpresso for Arabidopsis which provides the capability to carry out full text searches on a large body of research literature.","author":[{"dropping-particle":"","family":"Lamesch","given":"Philippe","non-dropping-particle":"","parse-names":false,"suffix":""},{"dropping-particle":"","family":"Berardini","given":"Tanya Z.","non-dropping-particle":"","parse-names":false,"suffix":""},{"dropping-particle":"","family":"Li","given":"Donghui","non-dropping-particle":"","parse-names":false,"suffix":""},{"dropping-particle":"","family":"Swarbreck","given":"David","non-dropping-particle":"","parse-names":false,"suffix":""},{"dropping-particle":"","family":"Wilks","given":"Christopher","non-dropping-particle":"","parse-names":false,"suffix":""},{"dropping-particle":"","family":"Sasidharan","given":"Rajkumar","non-dropping-particle":"","parse-names":false,"suffix":""},{"dropping-particle":"","family":"Muller","given":"Robert","non-dropping-particle":"","parse-names":false,"suffix":""},{"dropping-particle":"","family":"Dreher","given":"Kate","non-dropping-particle":"","parse-names":false,"suffix":""},{"dropping-particle":"","family":"Alexander","given":"Debbie L.","non-dropping-particle":"","parse-names":false,"suffix":""},{"dropping-particle":"","family":"Garcia-Hernandez","given":"Margarita","non-dropping-particle":"","parse-names":false,"suffix":""},{"dropping-particle":"","family":"Karthikeyan","given":"Athikkattuvalasu S.","non-dropping-particle":"","parse-names":false,"suffix":""},{"dropping-particle":"","family":"Lee","given":"Cynthia H.","non-dropping-particle":"","parse-names":false,"suffix":""},{"dropping-particle":"","family":"Nelson","given":"William D.","non-dropping-particle":"","parse-names":false,"suffix":""},{"dropping-particle":"","family":"Ploetz","given":"Larry","non-dropping-particle":"","parse-names":false,"suffix":""},{"dropping-particle":"","family":"Singh","given":"Shanker","non-dropping-particle":"","parse-names":false,"suffix":""},{"dropping-particle":"","family":"Wensel","given":"April","non-dropping-particle":"","parse-names":false,"suffix":""},{"dropping-particle":"","family":"Huala","given":"Eva","non-dropping-particle":"","parse-names":false,"suffix":""}],"container-title":"Nucleic Acids Research","id":"ITEM-1","issued":{"date-parts":[["2012"]]},"page":"D1202-D1210","title":"The Arabidopsis Information Resource (TAIR): Improved gene annotation and new tools","type":"article-journal","volume":"40"},"uris":["http://www.mendeley.com/documents/?uuid=b100ac5e-4d4a-408f-976f-e863952e4501"]}],"mendeley":{"formattedCitation":"(Lamesch et al., 2012)","plainTextFormattedCitation":"(Lamesch et al., 2012)","previouslyFormattedCitation":"(Lamesch et al., 2012)"},"properties":{"noteIndex":0},"schema":"https://github.com/citation-style-language/schema/raw/master/csl-citation.json"}</w:instrText>
            </w:r>
            <w:r w:rsidRPr="006B11D1">
              <w:fldChar w:fldCharType="separate"/>
            </w:r>
            <w:r w:rsidRPr="009A6580">
              <w:rPr>
                <w:noProof/>
              </w:rPr>
              <w:t>(Lamesch et al., 2012)</w:t>
            </w:r>
            <w:r w:rsidRPr="006B11D1">
              <w:fldChar w:fldCharType="end"/>
            </w:r>
          </w:p>
        </w:tc>
      </w:tr>
      <w:tr w:rsidR="00A139DD" w:rsidRPr="006B11D1" w14:paraId="110AA2D0" w14:textId="77777777" w:rsidTr="00A139DD">
        <w:trPr>
          <w:trHeight w:val="20"/>
        </w:trPr>
        <w:tc>
          <w:tcPr>
            <w:tcW w:w="3405" w:type="dxa"/>
            <w:tcMar>
              <w:top w:w="100" w:type="dxa"/>
              <w:left w:w="100" w:type="dxa"/>
              <w:bottom w:w="100" w:type="dxa"/>
              <w:right w:w="100" w:type="dxa"/>
            </w:tcMar>
          </w:tcPr>
          <w:p w14:paraId="7E7CAC70" w14:textId="77777777" w:rsidR="00A139DD" w:rsidRPr="006B11D1" w:rsidRDefault="00A139DD" w:rsidP="00DF5B76">
            <w:pPr>
              <w:widowControl w:val="0"/>
              <w:pBdr>
                <w:top w:val="nil"/>
                <w:left w:val="nil"/>
                <w:bottom w:val="nil"/>
                <w:right w:val="nil"/>
                <w:between w:val="nil"/>
              </w:pBdr>
            </w:pPr>
            <w:r w:rsidRPr="006B11D1">
              <w:t>Gene Families TAIR10 selection</w:t>
            </w:r>
          </w:p>
        </w:tc>
        <w:tc>
          <w:tcPr>
            <w:tcW w:w="3420" w:type="dxa"/>
            <w:tcMar>
              <w:top w:w="100" w:type="dxa"/>
              <w:left w:w="100" w:type="dxa"/>
              <w:bottom w:w="100" w:type="dxa"/>
              <w:right w:w="100" w:type="dxa"/>
            </w:tcMar>
          </w:tcPr>
          <w:p w14:paraId="0FF046B1" w14:textId="77777777" w:rsidR="00A139DD" w:rsidRPr="006B11D1" w:rsidRDefault="00A139DD" w:rsidP="00DF5B76">
            <w:pPr>
              <w:widowControl w:val="0"/>
              <w:pBdr>
                <w:top w:val="nil"/>
                <w:left w:val="nil"/>
                <w:bottom w:val="nil"/>
                <w:right w:val="nil"/>
                <w:between w:val="nil"/>
              </w:pBdr>
            </w:pPr>
            <w:r w:rsidRPr="006B11D1">
              <w:t>Gene set filter</w:t>
            </w:r>
          </w:p>
        </w:tc>
        <w:tc>
          <w:tcPr>
            <w:tcW w:w="2895" w:type="dxa"/>
          </w:tcPr>
          <w:p w14:paraId="0FD4AD79"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{"citationItems":[{"id":"ITEM-1","itemData":{"DOI":"10.1093/nar/gkr1090","ISSN":"03051048","abstract":"The Arabidopsis Information Resource (TAIR, http://arabidopsis.org) is a genome database for Arabidopsis thaliana, an important reference organism for many fundamental aspects of biology as well as basic and applied plant biology research. TAIR serves as a central access point for Arabidopsis data, annotates gene function and expression patterns using controlled vocabulary terms, and maintains and updates the A. thaliana genome assembly and annotation. TAIR also provides researchers with an extensive set of visualization and analysis tools. Recent developments include several new genome releases (TAIR8, TAIR9 and TAIR10) in which the A. thaliana assembly was updated, pseudogenes and transposon genes were re-annotated, and new data from proteomics and next generation transcriptome sequencing were incorporated into gene models and splice variants. Other highlights include progress on functional annotation of the genome and the release of several new tools including Textpresso for Arabidopsis which provides the capability to carry out full text searches on a large body of research literature.","author":[{"dropping-particle":"","family":"Lamesch","given":"Philippe","non-dropping-particle":"","parse-names":false,"suffix":""},{"dropping-particle":"","family":"Berardini","given":"Tanya Z.","non-dropping-particle":"","parse-names":false,"suffix":""},{"dropping-particle":"","family":"Li","given":"Donghui","non-dropping-particle":"","parse-names":false,"suffix":""},{"dropping-particle":"","family":"Swarbreck","given":"David","non-dropping-particle":"","parse-names":false,"suffix":""},{"dropping-particle":"","family":"Wilks","given":"Christopher","non-dropping-particle":"","parse-names":false,"suffix":""},{"dropping-particle":"","family":"Sasidharan","given":"Rajkumar","non-dropping-particle":"","parse-names":false,"suffix":""},{"dropping-particle":"","family":"Muller","given":"Robert","non-dropping-particle":"","parse-names":false,"suffix":""},{"dropping-particle":"","family":"Dreher","given":"Kate","non-dropping-particle":"","parse-names":false,"suffix":""},{"dropping-particle":"","family":"Alexander","given":"Debbie L.","non-dropping-particle":"","parse-names":false,"suffix":""},{"dropping-particle":"","family":"Garcia-Hernandez","given":"Margarita","non-dropping-particle":"","parse-names":false,"suffix":""},{"dropping-particle":"","family":"Karthikeyan","given":"Athikkattuvalasu S.","non-dropping-particle":"","parse-names":false,"suffix":""},{"dropping-particle":"","family":"Lee","given":"Cynthia H.","non-dropping-particle":"","parse-names":false,"suffix":""},{"dropping-particle":"","family":"Nelson","given":"William D.","non-dropping-particle":"","parse-names":false,"suffix":""},{"dropping-particle":"","family":"Ploetz","given":"Larry","non-dropping-particle":"","parse-names":false,"suffix":""},{"dropping-particle":"","family":"Singh","given":"Shanker","non-dropping-particle":"","parse-names":false,"suffix":""},{"dropping-particle":"","family":"Wensel","given":"April","non-dropping-particle":"","parse-names":false,"suffix":""},{"dropping-particle":"","family":"Huala","given":"Eva","non-dropping-particle":"","parse-names":false,"suffix":""}],"container-title":"Nucleic Acids Research","id":"ITEM-1","issued":{"date-parts":[["2012"]]},"page":"D1202-D1210","title":"The Arabidopsis Information Resource (TAIR): Improved gene annotation and new tools","type":"article-journal","volume":"40"},"uris":["http://www.mendeley.com/documents/?uuid=b100ac5e-4d4a-408f-976f-e863952e4501"]}],"mendeley":{"formattedCitation":"(Lamesch et al., 2012)","plainTextFormattedCitation":"(Lamesch et al., 2012)","previouslyFormattedCitation":"(Lamesch et al., 2012)"},"properties":{"noteIndex":0},"schema":"https://github.com/citation-style-language/schema/raw/master/csl-citation.json"}</w:instrText>
            </w:r>
            <w:r w:rsidRPr="006B11D1">
              <w:fldChar w:fldCharType="separate"/>
            </w:r>
            <w:r w:rsidRPr="009A6580">
              <w:rPr>
                <w:noProof/>
              </w:rPr>
              <w:t>(Lamesch et al., 2012)</w:t>
            </w:r>
            <w:r w:rsidRPr="006B11D1">
              <w:fldChar w:fldCharType="end"/>
            </w:r>
          </w:p>
        </w:tc>
      </w:tr>
      <w:tr w:rsidR="00A139DD" w:rsidRPr="006B11D1" w14:paraId="57F08741" w14:textId="77777777" w:rsidTr="00A139DD">
        <w:trPr>
          <w:trHeight w:val="20"/>
        </w:trPr>
        <w:tc>
          <w:tcPr>
            <w:tcW w:w="3405" w:type="dxa"/>
            <w:tcMar>
              <w:top w:w="100" w:type="dxa"/>
              <w:left w:w="100" w:type="dxa"/>
              <w:bottom w:w="100" w:type="dxa"/>
              <w:right w:w="100" w:type="dxa"/>
            </w:tcMar>
          </w:tcPr>
          <w:p w14:paraId="6014C9F8" w14:textId="77777777" w:rsidR="00A139DD" w:rsidRPr="006B11D1" w:rsidRDefault="00A139DD" w:rsidP="00DF5B76">
            <w:pPr>
              <w:widowControl w:val="0"/>
              <w:pBdr>
                <w:top w:val="nil"/>
                <w:left w:val="nil"/>
                <w:bottom w:val="nil"/>
                <w:right w:val="nil"/>
                <w:between w:val="nil"/>
              </w:pBdr>
            </w:pPr>
            <w:r w:rsidRPr="006B11D1">
              <w:t>EBI Expression atlas</w:t>
            </w:r>
          </w:p>
        </w:tc>
        <w:tc>
          <w:tcPr>
            <w:tcW w:w="3420" w:type="dxa"/>
            <w:tcMar>
              <w:top w:w="100" w:type="dxa"/>
              <w:left w:w="100" w:type="dxa"/>
              <w:bottom w:w="100" w:type="dxa"/>
              <w:right w:w="100" w:type="dxa"/>
            </w:tcMar>
          </w:tcPr>
          <w:p w14:paraId="18952914" w14:textId="77777777" w:rsidR="00A139DD" w:rsidRPr="006B11D1" w:rsidRDefault="00A139DD" w:rsidP="00DF5B76">
            <w:pPr>
              <w:widowControl w:val="0"/>
              <w:pBdr>
                <w:top w:val="nil"/>
                <w:left w:val="nil"/>
                <w:bottom w:val="nil"/>
                <w:right w:val="nil"/>
                <w:between w:val="nil"/>
              </w:pBdr>
            </w:pPr>
            <w:r w:rsidRPr="006B11D1">
              <w:t>Access processed microarrays</w:t>
            </w:r>
          </w:p>
        </w:tc>
        <w:tc>
          <w:tcPr>
            <w:tcW w:w="2895" w:type="dxa"/>
          </w:tcPr>
          <w:p w14:paraId="2D55B304"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{"citationItems":[{"id":"ITEM-1","itemData":{"DOI":"10.1093/nar/gkx1158","ISSN":"13624962","abstract":"© The Author(s) 2017. Published by Oxford University Press on behalf of Nucleic Acids Research. Expression Atlas (http://www.ebi.ac.uk/gxa) is an added value database that provides information about gene and protein expression in different species and contexts, such as tissue, developmental stage, disease or cell type. The available public and controlled access data sets from different sources are curated and re-analysed using standardized, open source pipelines and made available for queries, download and visualization. As of August 2017, Expression Atlas holds data from 3,126 studies across 33 different species, including 731 from plants. Data from large-scale RNA sequencing studies including Blueprint, PCAWG, ENCODE, GTEx and HipSci can be visualized next to each other. In Expression Atlas, users can query genes or gene-sets of interest and explore their expression across or within species, tissues, developmental stages in a constitutive or differential context, representing the effects of diseases, conditions or experimental interventions. All processed data matrices are available for direct download in tab-delimited format or as R-data. In addition to the web interface, data sets can now be searched and downloaded through the Expression Atlas R package. Novel features and visualizations include the on-the-fly analysis of gene set overlaps and the option to view gene co-expression in experiments investigating constitutive gene expression across tissues or other conditions.","author":[{"dropping-particle":"","family":"Papatheodorou","given":"Irene","non-dropping-particle":"","parse-names":false,"suffix":""},{"dropping-particle":"","family":"Fonseca","given":"Nuno A.","non-dropping-particle":"","parse-names":false,"suffix":""},{"dropping-particle":"","family":"Keays","given":"Maria","non-dropping-particle":"","parse-names":false,"suffix":""},{"dropping-particle":"","family":"Tang","given":"Y. Amy","non-dropping-particle":"","parse-names":false,"suffix":""},{"dropping-particle":"","family":"Barrera","given":"Elisabet","non-dropping-particle":"","parse-names":false,"suffix":""},{"dropping-particle":"","family":"Bazant","given":"Wojciech","non-dropping-particle":"","parse-names":false,"suffix":""},{"dropping-particle":"","family":"Burke","given":"Melissa","non-dropping-particle":"","parse-names":false,"suffix":""},{"dropping-particle":"","family":"Füllgrabe","given":"Anja","non-dropping-particle":"","parse-names":false,"suffix":""},{"dropping-particle":"","family":"Fuentes","given":"Alfonso Muñoz Pomer","non-dropping-particle":"","parse-names":false,"suffix":""},{"dropping-particle":"","family":"George","given":"Nancy","non-dropping-particle":"","parse-names":false,"suffix":""},{"dropping-particle":"","family":"Huerta","given":"Laura","non-dropping-particle":"","parse-names":false,"suffix":""},{"dropping-particle":"","family":"Koskinen","given":"Satu","non-dropping-particle":"","parse-names":false,"suffix":""},{"dropping-particle":"","family":"Mohammed","given":"Suhaib","non-dropping-particle":"","parse-names":false,"suffix":""},{"dropping-particle":"","family":"Geniza","given":"Matthew","non-dropping-particle":"","parse-names":false,"suffix":""},{"dropping-particle":"","family":"Preece","given":"Justin","non-dropping-particle":"","parse-names":false,"suffix":""},{"dropping-particle":"","family":"Jaiswal","given":"Pankaj","non-dropping-particle":"","parse-names":false,"suffix":""},{"dropping-particle":"","family":"Jarnuczak","given":"Andrew F.","non-dropping-particle":"","parse-names":false,"suffix":""},{"dropping-particle":"","family":"Huber","given":"Wolfgang","non-dropping-particle":"","parse-names":false,"suffix":""},{"dropping-particle":"","family":"Stegle","given":"Oliver","non-dropping-particle":"","parse-names":false,"suffix":""},{"dropping-particle":"","family":"Vizcaino","given":"Juan Antonio","non-dropping-particle":"","parse-names":false,"suffix":""},{"dropping-particle":"","family":"Brazma","given":"Alvis","non-dropping-particle":"","parse-names":false,"suffix":""},{"dropping-particle":"","family":"Petryszak","given":"Robert","non-dropping-particle":"","parse-names":false,"suffix":""}],"container-title":"Nucleic Acids Research","id":"ITEM-1","issue":"D1","issued":{"date-parts":[["2018"]]},"page":"D246-D251","title":"Expression Atlas: Gene and protein expression across multiple studies and organisms","type":"article-journal","volume":"46"},"uris":["http://www.mendeley.com/documents/?uuid=b2db369a-c726-4f87-86a3-2f243b46ccd8"]}],"mendeley":{"formattedCitation":"(Papatheodorou et al., 2018)","plainTextFormattedCitation":"(Papatheodorou et al., 2018)","previouslyFormattedCitation":"(Papatheodorou et al., 2018)"},"properties":{"noteIndex":0},"schema":"https://github.com/citation-style-language/schema/raw/master/csl-citation.json"}</w:instrText>
            </w:r>
            <w:r w:rsidRPr="006B11D1">
              <w:fldChar w:fldCharType="separate"/>
            </w:r>
            <w:r w:rsidRPr="009A6580">
              <w:rPr>
                <w:noProof/>
              </w:rPr>
              <w:t>(Papatheodorou et al., 2018)</w:t>
            </w:r>
            <w:r w:rsidRPr="006B11D1">
              <w:fldChar w:fldCharType="end"/>
            </w:r>
          </w:p>
        </w:tc>
      </w:tr>
      <w:tr w:rsidR="00A139DD" w:rsidRPr="006B11D1" w14:paraId="03132201" w14:textId="77777777" w:rsidTr="00A139DD">
        <w:trPr>
          <w:trHeight w:val="26"/>
        </w:trPr>
        <w:tc>
          <w:tcPr>
            <w:tcW w:w="3405" w:type="dxa"/>
            <w:tcBorders>
              <w:bottom w:val="nil"/>
            </w:tcBorders>
            <w:tcMar>
              <w:top w:w="100" w:type="dxa"/>
              <w:left w:w="100" w:type="dxa"/>
              <w:bottom w:w="100" w:type="dxa"/>
              <w:right w:w="100" w:type="dxa"/>
            </w:tcMar>
          </w:tcPr>
          <w:p w14:paraId="4181AC1E" w14:textId="77777777" w:rsidR="00A139DD" w:rsidRPr="006B11D1" w:rsidRDefault="00A139DD" w:rsidP="00DF5B76">
            <w:pPr>
              <w:widowControl w:val="0"/>
              <w:pBdr>
                <w:top w:val="nil"/>
                <w:left w:val="nil"/>
                <w:bottom w:val="nil"/>
                <w:right w:val="nil"/>
                <w:between w:val="nil"/>
              </w:pBdr>
            </w:pPr>
            <w:r w:rsidRPr="006B11D1">
              <w:t>Ensemble Plants</w:t>
            </w:r>
          </w:p>
        </w:tc>
        <w:tc>
          <w:tcPr>
            <w:tcW w:w="3420" w:type="dxa"/>
            <w:tcBorders>
              <w:bottom w:val="nil"/>
            </w:tcBorders>
            <w:tcMar>
              <w:top w:w="100" w:type="dxa"/>
              <w:left w:w="100" w:type="dxa"/>
              <w:bottom w:w="100" w:type="dxa"/>
              <w:right w:w="100" w:type="dxa"/>
            </w:tcMar>
          </w:tcPr>
          <w:p w14:paraId="26B4DD22" w14:textId="49249A97" w:rsidR="00A139DD" w:rsidRPr="006B11D1" w:rsidRDefault="00A139DD" w:rsidP="00DF5B76">
            <w:pPr>
              <w:widowControl w:val="0"/>
              <w:pBdr>
                <w:top w:val="nil"/>
                <w:left w:val="nil"/>
                <w:bottom w:val="nil"/>
                <w:right w:val="nil"/>
                <w:between w:val="nil"/>
              </w:pBdr>
            </w:pPr>
            <w:r w:rsidRPr="006B11D1">
              <w:t xml:space="preserve">Access </w:t>
            </w:r>
            <w:r w:rsidR="00A94922">
              <w:t xml:space="preserve">to </w:t>
            </w:r>
            <w:r w:rsidRPr="006B11D1">
              <w:t xml:space="preserve">plant genome annotation </w:t>
            </w:r>
          </w:p>
        </w:tc>
        <w:tc>
          <w:tcPr>
            <w:tcW w:w="2895" w:type="dxa"/>
            <w:tcBorders>
              <w:bottom w:val="nil"/>
            </w:tcBorders>
          </w:tcPr>
          <w:p w14:paraId="039419DA"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{"citationItems":[{"id":"ITEM-1","itemData":{"DOI":"10.1093/nar/gkx1011","ISSN":"13624962","abstract":"© 2017 The Author(s). Ensembl Genomes (http://www.ensemblgenomes.org) is an integrating resource for genome-scale data from non-vertebrate species, complementing the resources for vertebrate genomics developed in the Ensembl project (http://www.ensembl.org). Together, the two resources provide a consistent set of programmatic and interactive interfaces to a rich range of data including genome sequence, gene models, transcript sequence, genetic variation, and comparative analysis. This paper provides an update to the previous publications about the resource, with a focus on recent developments and expansions. These include the incorporation of almost 20 000 additional genome sequences and over 35 000 tracks of RNA-Seq data, which have been aligned to genomic sequence and made available for visualization. Other advances since 2015 include the release of the database in Resource Description Framework (RDF) format, a large increase in community-derived curation, a new high-performance protein sequence search, additional cross-references, improved annotation of non-protein-coding genes, and the launch of pre-release and archival sites. Collectively, these changes are part of a continuing response to the increasing quantity of publicly-available genome-scale data, and the consequent need to archive, integrate, annotate and disseminate these using automated, scalable methods.","author":[{"dropping-particle":"","family":"Kersey","given":"Paul Julian","non-dropping-particle":"","parse-names":false,"suffix":""},{"dropping-particle":"","family":"Allen","given":"James E.","non-dropping-particle":"","parse-names":false,"suffix":""},{"dropping-particle":"","family":"Allot","given":"Alexis","non-dropping-particle":"","parse-names":false,"suffix":""},{"dropping-particle":"","family":"Barba","given":"Matthieu","non-dropping-particle":"","parse-names":false,"suffix":""},{"dropping-particle":"","family":"Boddu","given":"Sanjay","non-dropping-particle":"","parse-names":false,"suffix":""},{"dropping-particle":"","family":"Bolt","given":"Bruce J.","non-dropping-particle":"","parse-names":false,"suffix":""},{"dropping-particle":"","family":"Carvalho-Silva","given":"Denise","non-dropping-particle":"","parse-names":false,"suffix":""},{"dropping-particle":"","family":"Christensen","given":"Mikkel","non-dropping-particle":"","parse-names":false,"suffix":""},{"dropping-particle":"","family":"Davis","given":"Paul","non-dropping-particle":"","parse-names":false,"suffix":""},{"dropping-particle":"","family":"Grabmueller","given":"Christoph","non-dropping-particle":"","parse-names":false,"suffix":""},{"dropping-particle":"","family":"Kumar","given":"Navin","non-dropping-particle":"","parse-names":false,"suffix":""},{"dropping-particle":"","family":"Liu","given":"Zicheng","non-dropping-particle":"","parse-names":false,"suffix":""},{"dropping-particle":"","family":"Maurel","given":"Thomas","non-dropping-particle":"","parse-names":false,"suffix":""},{"dropping-particle":"","family":"Moore","given":"Ben","non-dropping-particle":"","parse-names":false,"suffix":""},{"dropping-particle":"","family":"McDowall","given":"Mark D.","non-dropping-particle":"","parse-names":false,"suffix":""},{"dropping-particle":"","family":"Maheswari","given":"Uma","non-dropping-particle":"","parse-names":false,"suffix":""},{"dropping-particle":"","family":"Naamati","given":"Guy","non-dropping-particle":"","parse-names":false,"suffix":""},{"dropping-particle":"","family":"Newman","given":"Victoria","non-dropping-particle":"","parse-names":false,"suffix":""},{"dropping-particle":"","family":"Ong","given":"Chuang Kee","non-dropping-particle":"","parse-names":false,"suffix":""},{"dropping-particle":"","family":"Paulini","given":"Michael","non-dropping-particle":"","parse-names":false,"suffix":""},{"dropping-particle":"","family":"Pedro","given":"Helder","non-dropping-particle":"","parse-names":false,"suffix":""},{"dropping-particle":"","family":"Perry","given":"Emily","non-dropping-particle":"","parse-names":false,"suffix":""},{"dropping-particle":"","family":"Russell","given":"Matthew","non-dropping-particle":"","parse-names":false,"suffix":""},{"dropping-particle":"","family":"Sparrow","given":"Helen","non-dropping-particle":"","parse-names":false,"suffix":""},{"dropping-particle":"","family":"Tapanari","given":"Electra","non-dropping-particle":"","parse-names":false,"suffix":""},{"dropping-particle":"","family":"Taylor","given":"Kieron","non-dropping-particle":"","parse-names":false,"suffix":""},{"dropping-particle":"","family":"Vullo","given":"Alessandro","non-dropping-particle":"","parse-names":false,"suffix":""},{"dropping-particle":"","family":"Williams","given":"Gareth","non-dropping-particle":"","parse-names":false,"suffix":""},{"dropping-particle":"","family":"Zadissia","given":"Amonida","non-dropping-particle":"","parse-names":false,"suffix":""},{"dropping-particle":"","family":"Olson","given":"Andrew","non-dropping-particle":"","parse-names":false,"suffix":""},{"dropping-particle":"","family":"Stein","given":"Joshua","non-dropping-particle":"","parse-names":false,"suffix":""},{"dropping-particle":"","family":"Wei","given":"Sharon","non-dropping-particle":"","parse-names":false,"suffix":""},{"dropping-particle":"","family":"Tello-Ruiz","given":"Marcela","non-dropping-particle":"","parse-names":false,"suffix":""},{"dropping-particle":"","family":"Ware","given":"Doreen","non-dropping-particle":"","parse-names":false,"suffix":""},{"dropping-particle":"","family":"Luciani","given":"Aurelien","non-dropping-particle":"","parse-names":false,"suffix":""},{"dropping-particle":"","family":"Potter","given":"Simon","non-dropping-particle":"","parse-names":false,"suffix":""},{"dropping-particle":"","family":"Finn","given":"Robert D.","non-dropping-particle":"","parse-names":false,"suffix":""},{"dropping-particle":"","family":"Urban","given":"Martin","non-dropping-particle":"","parse-names":false,"suffix":""},{"dropping-particle":"","family":"Hammond-Kosack","given":"Kim E.","non-dropping-particle":"","parse-names":false,"suffix":""},{"dropping-particle":"","family":"Bolser","given":"Dan M.","non-dropping-particle":"","parse-names":false,"suffix":""},{"dropping-particle":"","family":"Silva","given":"Nishadi","non-dropping-particle":"De","parse-names":false,"suffix":""},{"dropping-particle":"","family":"Howe","given":"Kevin L.","non-dropping-particle":"","parse-names":false,"suffix":""},{"dropping-particle":"","family":"Langridge","given":"Nicholas","non-dropping-particle":"","parse-names":false,"suffix":""},{"dropping-particle":"","family":"Maslen","given":"Gareth","non-dropping-particle":"","parse-names":false,"suffix":""},{"dropping-particle":"","family":"Staines","given":"Daniel Michael","non-dropping-particle":"","parse-names":false,"suffix":""},{"dropping-particle":"","family":"Yates","given":"Andrew","non-dropping-particle":"","parse-names":false,"suffix":""}],"container-title":"Nucleic Acids Research","id":"ITEM-1","issue":"D1","issued":{"date-parts":[["2018"]]},"page":"D802-D808","title":"Ensembl Genomes 2018: An integrated omics infrastructure for non-vertebrate species","type":"article-journal","volume":"46"},"uris":["http://www.mendeley.com/documents/?uuid=3d8a0a0a-1070-4cd6-b982-abc5373343e9"]}],"mendeley":{"formattedCitation":"(Kersey et al., 2018)","plainTextFormattedCitation":"(Kersey et al., 2018)","previouslyFormattedCitation":"(Kersey et al., 2018)"},"properties":{"noteIndex":0},"schema":"https://github.com/citation-style-language/schema/raw/master/csl-citation.json"}</w:instrText>
            </w:r>
            <w:r w:rsidRPr="006B11D1">
              <w:fldChar w:fldCharType="separate"/>
            </w:r>
            <w:r w:rsidRPr="009A6580">
              <w:rPr>
                <w:noProof/>
              </w:rPr>
              <w:t>(Kersey et al., 2018)</w:t>
            </w:r>
            <w:r w:rsidRPr="006B11D1">
              <w:fldChar w:fldCharType="end"/>
            </w:r>
          </w:p>
        </w:tc>
      </w:tr>
      <w:tr w:rsidR="00A139DD" w:rsidRPr="006B11D1" w14:paraId="190E8D15" w14:textId="77777777" w:rsidTr="00A139DD">
        <w:trPr>
          <w:trHeight w:val="500"/>
        </w:trPr>
        <w:tc>
          <w:tcPr>
            <w:tcW w:w="3405" w:type="dxa"/>
            <w:tcBorders>
              <w:top w:val="nil"/>
              <w:left w:val="nil"/>
              <w:bottom w:val="single" w:sz="4" w:space="0" w:color="auto"/>
              <w:right w:val="nil"/>
            </w:tcBorders>
            <w:tcMar>
              <w:top w:w="100" w:type="dxa"/>
              <w:left w:w="100" w:type="dxa"/>
              <w:bottom w:w="100" w:type="dxa"/>
              <w:right w:w="100" w:type="dxa"/>
            </w:tcMar>
          </w:tcPr>
          <w:p w14:paraId="100C4154" w14:textId="77777777" w:rsidR="00A139DD" w:rsidRPr="006B11D1" w:rsidRDefault="00A139DD" w:rsidP="00DF5B76">
            <w:pPr>
              <w:widowControl w:val="0"/>
              <w:pBdr>
                <w:top w:val="nil"/>
                <w:left w:val="nil"/>
                <w:bottom w:val="nil"/>
                <w:right w:val="nil"/>
                <w:between w:val="nil"/>
              </w:pBdr>
            </w:pPr>
            <w:proofErr w:type="spellStart"/>
            <w:r w:rsidRPr="006B11D1">
              <w:t>Reactome</w:t>
            </w:r>
            <w:proofErr w:type="spellEnd"/>
          </w:p>
        </w:tc>
        <w:tc>
          <w:tcPr>
            <w:tcW w:w="3420" w:type="dxa"/>
            <w:tcBorders>
              <w:top w:val="nil"/>
              <w:left w:val="nil"/>
              <w:bottom w:val="single" w:sz="4" w:space="0" w:color="auto"/>
              <w:right w:val="nil"/>
            </w:tcBorders>
            <w:tcMar>
              <w:top w:w="100" w:type="dxa"/>
              <w:left w:w="100" w:type="dxa"/>
              <w:bottom w:w="100" w:type="dxa"/>
              <w:right w:w="100" w:type="dxa"/>
            </w:tcMar>
          </w:tcPr>
          <w:p w14:paraId="4132F980" w14:textId="470249F3" w:rsidR="00A139DD" w:rsidRPr="006B11D1" w:rsidRDefault="00A139DD" w:rsidP="00DF5B76">
            <w:pPr>
              <w:widowControl w:val="0"/>
              <w:pBdr>
                <w:top w:val="nil"/>
                <w:left w:val="nil"/>
                <w:bottom w:val="nil"/>
                <w:right w:val="nil"/>
                <w:between w:val="nil"/>
              </w:pBdr>
            </w:pPr>
            <w:r w:rsidRPr="006B11D1">
              <w:t xml:space="preserve">Access </w:t>
            </w:r>
            <w:r w:rsidR="00A94922">
              <w:t xml:space="preserve">to </w:t>
            </w:r>
            <w:r w:rsidRPr="006B11D1">
              <w:t>plant reaction data</w:t>
            </w:r>
          </w:p>
        </w:tc>
        <w:tc>
          <w:tcPr>
            <w:tcW w:w="2895" w:type="dxa"/>
            <w:tcBorders>
              <w:top w:val="nil"/>
              <w:left w:val="nil"/>
              <w:bottom w:val="single" w:sz="4" w:space="0" w:color="auto"/>
              <w:right w:val="nil"/>
            </w:tcBorders>
          </w:tcPr>
          <w:p w14:paraId="5B9A8701" w14:textId="77777777" w:rsidR="00A139DD" w:rsidRPr="006B11D1" w:rsidRDefault="00A139DD" w:rsidP="00DF5B76">
            <w:pPr>
              <w:widowControl w:val="0"/>
              <w:pBdr>
                <w:top w:val="nil"/>
                <w:left w:val="nil"/>
                <w:bottom w:val="nil"/>
                <w:right w:val="nil"/>
                <w:between w:val="nil"/>
              </w:pBdr>
            </w:pPr>
            <w:r w:rsidRPr="006B11D1">
              <w:fldChar w:fldCharType="begin" w:fldLock="1"/>
            </w:r>
            <w:r>
              <w:instrText>ADDIN CSL_CITATION {"citationItems":[{"id":"ITEM-1","itemData":{"DOI":"10.1093/nar/gkx1132","ISSN":"13624962","abstract":"The Reactome Knowledgebase (https://reactome.org) provides molecular details of signal transduction, transport, DNA replication, metabolism, and other cellular processes as an ordered network of molecular transformations-an extended version of a classic metabolic map, in a single consistent data model. Reactome functions both as an archive of biological processes and as a tool for discovering unexpected functional relationships in data such as gene expression profiles or somatic mutation catalogues from tumor cells. To support the continued brisk growth in the size and complexity of Reactome, we have implemented a graph database, improved performance of data analysis tools, and designed new data structures and strategies to boost diagram viewer performance. To make our website more accessible to human users, we have improved pathway display and navigation by implementing interactive Enhanced High Level Diagrams (EHLDs) with an associated icon library, and subpathway highlighting and zooming, in a simplified and reorganized web site with adaptive design. To encourage re-use of our content, we have enabled export of pathway diagrams as 'PowerPoint' files.","author":[{"dropping-particle":"","family":"Fabregat","given":"Antonio","non-dropping-particle":"","parse-names":false,"suffix":""},{"dropping-particle":"","family":"Jupe","given":"Steven","non-dropping-particle":"","parse-names":false,"suffix":""},{"dropping-particle":"","family":"Matthews","given":"Lisa","non-dropping-particle":"","parse-names":false,"suffix":""},{"dropping-particle":"","family":"Sidiropoulos","given":"Konstantinos","non-dropping-particle":"","parse-names":false,"suffix":""},{"dropping-particle":"","family":"Gillespie","given":"Marc","non-dropping-particle":"","parse-names":false,"suffix":""},{"dropping-particle":"","family":"Garapati","given":"Phani","non-dropping-particle":"","parse-names":false,"suffix":""},{"dropping-particle":"","family":"Haw","given":"Robin","non-dropping-particle":"","parse-names":false,"suffix":""},{"dropping-particle":"","family":"Jassal","given":"Bijay","non-dropping-particle":"","parse-names":false,"suffix":""},{"dropping-particle":"","family":"Korninger","given":"Florian","non-dropping-particle":"","parse-names":false,"suffix":""},{"dropping-particle":"","family":"May","given":"Bruce","non-dropping-particle":"","parse-names":false,"suffix":""},{"dropping-particle":"","family":"Milacic","given":"Marija","non-dropping-particle":"","parse-names":false,"suffix":""},{"dropping-particle":"","family":"Roca","given":"Corina Duenas","non-dropping-particle":"","parse-names":false,"suffix":""},{"dropping-particle":"","family":"Rothfels","given":"Karen","non-dropping-particle":"","parse-names":false,"suffix":""},{"dropping-particle":"","family":"Sevilla","given":"Cristoffer","non-dropping-particle":"","parse-names":false,"suffix":""},{"dropping-particle":"","family":"Shamovsky","given":"Veronica","non-dropping-particle":"","parse-names":false,"suffix":""},{"dropping-particle":"","family":"Shorser","given":"Solomon","non-dropping-particle":"","parse-names":false,"suffix":""},{"dropping-particle":"","family":"Varusai","given":"Thawfeek","non-dropping-particle":"","parse-names":false,"suffix":""},{"dropping-particle":"","family":"Viteri","given":"Guilherme","non-dropping-particle":"","parse-names":false,"suffix":""},{"dropping-particle":"","family":"Weiser","given":"Joel","non-dropping-particle":"","parse-names":false,"suffix":""},{"dropping-particle":"","family":"Wu","given":"Guanming","non-dropping-particle":"","parse-names":false,"suffix":""},{"dropping-particle":"","family":"Stein","given":"Lincoln","non-dropping-particle":"","parse-names":false,"suffix":""},{"dropping-particle":"","family":"Hermjakob","given":"Henning","non-dropping-particle":"","parse-names":false,"suffix":""},{"dropping-particle":"","family":"D'Eustachio","given":"Peter","non-dropping-particle":"","parse-names":false,"suffix":""}],"container-title":"Nucleic Acids Research","id":"ITEM-1","issue":"D1","issued":{"date-parts":[["2018"]]},"page":"D649-655","title":"The Reactome Pathway Knowledgebase","type":"article-journal","volume":"46"},"uris":["http://www.mendeley.com/documents/?uuid=183e2555-f4cf-4739-ba4b-2deb90e30168"]}],"mendeley":{"formattedCitation":"(Fabregat et al., 2018)","plainTextFormattedCitation":"(Fabregat et al., 2018)","previouslyFormattedCitation":"(Fabregat et al., 2018)"},"properties":{"noteIndex":0},"schema":"https://github.com/citation-style-language/schema/raw/master/csl-citation.json"}</w:instrText>
            </w:r>
            <w:r w:rsidRPr="006B11D1">
              <w:fldChar w:fldCharType="separate"/>
            </w:r>
            <w:r w:rsidRPr="009A6580">
              <w:rPr>
                <w:noProof/>
              </w:rPr>
              <w:t>(Fabregat et al., 2018)</w:t>
            </w:r>
            <w:r w:rsidRPr="006B11D1">
              <w:fldChar w:fldCharType="end"/>
            </w:r>
          </w:p>
        </w:tc>
      </w:tr>
    </w:tbl>
    <w:p w14:paraId="6DD6216A" w14:textId="17271A93" w:rsidR="004F60A3" w:rsidRPr="006B11D1" w:rsidRDefault="00DF5B76" w:rsidP="004F60A3">
      <w:pPr>
        <w:rPr>
          <w:rFonts w:eastAsia="Calibri"/>
        </w:rPr>
      </w:pPr>
      <w:r w:rsidRPr="006B11D1">
        <w:br w:type="page"/>
      </w:r>
      <w:r w:rsidR="004F60A3" w:rsidRPr="006B11D1">
        <w:rPr>
          <w:rFonts w:eastAsia="Calibri"/>
          <w:b/>
        </w:rPr>
        <w:lastRenderedPageBreak/>
        <w:t xml:space="preserve">Supplementary Table </w:t>
      </w:r>
      <w:r w:rsidR="004F60A3" w:rsidRPr="001E2F7A">
        <w:rPr>
          <w:rFonts w:eastAsia="Calibri"/>
          <w:b/>
        </w:rPr>
        <w:t>3</w:t>
      </w:r>
      <w:r w:rsidR="004F60A3" w:rsidRPr="006B11D1">
        <w:rPr>
          <w:rFonts w:eastAsia="Calibri"/>
          <w:b/>
        </w:rPr>
        <w:t xml:space="preserve">. Experimental factors related to plant biology studies within the TOAST Metadata app. </w:t>
      </w:r>
      <w:r w:rsidR="00400E97">
        <w:rPr>
          <w:rFonts w:eastAsia="Calibri"/>
        </w:rPr>
        <w:t>Man</w:t>
      </w:r>
      <w:r w:rsidR="00367B63">
        <w:rPr>
          <w:rFonts w:eastAsia="Calibri"/>
        </w:rPr>
        <w:t>u</w:t>
      </w:r>
      <w:r w:rsidR="00400E97">
        <w:rPr>
          <w:rFonts w:eastAsia="Calibri"/>
        </w:rPr>
        <w:t>al curation of t</w:t>
      </w:r>
      <w:r w:rsidR="004F60A3" w:rsidRPr="006B11D1">
        <w:rPr>
          <w:rFonts w:eastAsia="Calibri"/>
        </w:rPr>
        <w:t xml:space="preserve">he metadata </w:t>
      </w:r>
      <w:r w:rsidR="004F60A3">
        <w:rPr>
          <w:rFonts w:eastAsia="Calibri"/>
        </w:rPr>
        <w:t>associated with the spaceflight-related experiments in</w:t>
      </w:r>
      <w:r w:rsidR="004F60A3" w:rsidRPr="006B11D1">
        <w:rPr>
          <w:rFonts w:eastAsia="Calibri"/>
          <w:b/>
        </w:rPr>
        <w:t xml:space="preserve"> </w:t>
      </w:r>
      <w:r w:rsidR="004F60A3" w:rsidRPr="00EA00FF">
        <w:rPr>
          <w:rFonts w:eastAsia="Calibri"/>
          <w:bCs/>
        </w:rPr>
        <w:t>TOAST 4.5</w:t>
      </w:r>
      <w:r w:rsidR="004F60A3" w:rsidRPr="006B11D1">
        <w:rPr>
          <w:rFonts w:eastAsia="Calibri"/>
        </w:rPr>
        <w:t>.</w:t>
      </w:r>
    </w:p>
    <w:p w14:paraId="4ACCE062" w14:textId="77777777" w:rsidR="004F60A3" w:rsidRPr="006B11D1" w:rsidRDefault="004F60A3" w:rsidP="004F60A3">
      <w:pPr>
        <w:rPr>
          <w:rFonts w:eastAsia="Calibri"/>
        </w:rPr>
      </w:pPr>
    </w:p>
    <w:p w14:paraId="30C8F9A0" w14:textId="016510C4" w:rsidR="004F60A3" w:rsidRDefault="004F60A3" w:rsidP="004F60A3">
      <w:pPr>
        <w:rPr>
          <w:rFonts w:eastAsia="Calibri"/>
        </w:rPr>
      </w:pPr>
      <w:r w:rsidRPr="006B11D1">
        <w:rPr>
          <w:rFonts w:eastAsia="Calibri"/>
        </w:rPr>
        <w:t>See attached Excel file</w:t>
      </w:r>
    </w:p>
    <w:p w14:paraId="1D40F051" w14:textId="77777777" w:rsidR="004F60A3" w:rsidRDefault="004F60A3">
      <w:pPr>
        <w:spacing w:after="200" w:line="276" w:lineRule="auto"/>
        <w:rPr>
          <w:rFonts w:eastAsia="Calibri"/>
        </w:rPr>
      </w:pPr>
      <w:r>
        <w:rPr>
          <w:rFonts w:eastAsia="Calibri"/>
        </w:rPr>
        <w:br w:type="page"/>
      </w:r>
    </w:p>
    <w:p w14:paraId="5BEF2B82" w14:textId="77777777" w:rsidR="004F60A3" w:rsidRPr="006B11D1" w:rsidRDefault="004F60A3" w:rsidP="004F60A3">
      <w:pPr>
        <w:rPr>
          <w:rFonts w:eastAsia="Calibri"/>
        </w:rPr>
      </w:pPr>
    </w:p>
    <w:p w14:paraId="5E471074" w14:textId="291D49CA" w:rsidR="00DF5B76" w:rsidRPr="006B11D1" w:rsidRDefault="00DF5B76" w:rsidP="00DF5B76">
      <w:pPr>
        <w:spacing w:line="276" w:lineRule="auto"/>
        <w:rPr>
          <w:rFonts w:eastAsia="Calibri"/>
          <w:b/>
        </w:rPr>
      </w:pPr>
    </w:p>
    <w:p w14:paraId="674F2A53" w14:textId="6D849D65" w:rsidR="00DF5B76" w:rsidRPr="006B11D1" w:rsidRDefault="00DF5B76" w:rsidP="00DF5B76">
      <w:pPr>
        <w:rPr>
          <w:rFonts w:eastAsia="Calibri"/>
        </w:rPr>
      </w:pPr>
      <w:r w:rsidRPr="006B11D1">
        <w:rPr>
          <w:rFonts w:eastAsia="Calibri"/>
          <w:b/>
        </w:rPr>
        <w:t xml:space="preserve">Supplementary Table 4. </w:t>
      </w:r>
      <w:r w:rsidRPr="006B11D1">
        <w:rPr>
          <w:rFonts w:eastAsia="Calibri"/>
          <w:b/>
          <w:bCs/>
        </w:rPr>
        <w:t xml:space="preserve">Significantly differentially expressed transcripts in spaceflight vs those also seen in the </w:t>
      </w:r>
      <w:r w:rsidR="00BD21CC">
        <w:rPr>
          <w:rFonts w:eastAsia="Calibri"/>
          <w:b/>
          <w:bCs/>
        </w:rPr>
        <w:t>“</w:t>
      </w:r>
      <w:r w:rsidRPr="006B11D1">
        <w:rPr>
          <w:rFonts w:eastAsia="Calibri"/>
          <w:b/>
          <w:bCs/>
        </w:rPr>
        <w:t>high light early</w:t>
      </w:r>
      <w:r w:rsidR="00BD21CC">
        <w:rPr>
          <w:rFonts w:eastAsia="Calibri"/>
          <w:b/>
          <w:bCs/>
        </w:rPr>
        <w:t>”</w:t>
      </w:r>
      <w:r w:rsidRPr="006B11D1">
        <w:rPr>
          <w:rFonts w:eastAsia="Calibri"/>
          <w:b/>
          <w:bCs/>
        </w:rPr>
        <w:t xml:space="preserve"> clade of the ROS wheel analysis.</w:t>
      </w:r>
      <w:r w:rsidRPr="006B11D1">
        <w:rPr>
          <w:rFonts w:eastAsia="Calibri"/>
        </w:rPr>
        <w:t xml:space="preserve"> DET, differentially expressed transcripts. The </w:t>
      </w:r>
      <w:r w:rsidR="00BD21CC">
        <w:rPr>
          <w:rFonts w:eastAsia="Calibri"/>
        </w:rPr>
        <w:t>“h</w:t>
      </w:r>
      <w:r w:rsidR="00BD21CC" w:rsidRPr="006B11D1">
        <w:rPr>
          <w:rFonts w:eastAsia="Calibri"/>
        </w:rPr>
        <w:t xml:space="preserve">igh </w:t>
      </w:r>
      <w:r w:rsidRPr="006B11D1">
        <w:rPr>
          <w:rFonts w:eastAsia="Calibri"/>
        </w:rPr>
        <w:t>light early</w:t>
      </w:r>
      <w:r w:rsidR="00BD21CC">
        <w:rPr>
          <w:rFonts w:eastAsia="Calibri"/>
        </w:rPr>
        <w:t>”</w:t>
      </w:r>
      <w:r w:rsidRPr="006B11D1">
        <w:rPr>
          <w:rFonts w:eastAsia="Calibri"/>
        </w:rPr>
        <w:t xml:space="preserve"> clade in the ROS wheel analysis consists of 8.89K genes identified by </w:t>
      </w:r>
      <w:proofErr w:type="spellStart"/>
      <w:r w:rsidRPr="006B11D1">
        <w:rPr>
          <w:rFonts w:eastAsia="Calibri"/>
        </w:rPr>
        <w:t>meta</w:t>
      </w:r>
      <w:r w:rsidR="00400E97">
        <w:rPr>
          <w:rFonts w:eastAsia="Calibri"/>
        </w:rPr>
        <w:t xml:space="preserve"> </w:t>
      </w:r>
      <w:r w:rsidRPr="006B11D1">
        <w:rPr>
          <w:rFonts w:eastAsia="Calibri"/>
        </w:rPr>
        <w:t>analysis</w:t>
      </w:r>
      <w:proofErr w:type="spellEnd"/>
      <w:r w:rsidRPr="006B11D1">
        <w:rPr>
          <w:rFonts w:eastAsia="Calibri"/>
        </w:rPr>
        <w:t xml:space="preserve"> of publicly available microarray data </w:t>
      </w:r>
      <w:r w:rsidRPr="006B11D1">
        <w:rPr>
          <w:rFonts w:eastAsia="Calibri"/>
        </w:rPr>
        <w:fldChar w:fldCharType="begin" w:fldLock="1"/>
      </w:r>
      <w:r>
        <w:rPr>
          <w:rFonts w:eastAsia="Calibri"/>
        </w:rPr>
        <w:instrText>ADDIN CSL_CITATION {"citationItems":[{"id":"ITEM-1","itemData":{"DOI":"10.1104/pp.16.00420","ISSN":"15322548","abstract":"© 2016 American Society of Plant Biologists. All rights reserved. In the last decade, microarray studies have delivered extensive inventories of transcriptome-wide changes in messenger RNA levels provoked by various types of oxidative stress in Arabidopsis (Arabidopsis thaliana). Previous cross-study comparisons indicated how different types of reactive oxygen species (ROS) and their subcellular accumulation sites are able to reshape the transcriptome in specific manners. However, these analyses often employed simplistic statistical frameworks that are not compatible with large-scale analyses. Here, we reanalyzed a total of 79 Affymetrix ATH1 microarray studies of redox homeostasis perturbation experiments. To create hierarchy in such a high number of transcriptomic data sets, all transcriptional profiles were clustered on the overlap extent of their differentially expressed transcripts. Subsequently, meta-analysis determined a single magnitude of differential expression across studies and identified common transcriptional footprints per cluster. The resulting transcriptional footprints revealed the regulation of various metabolic pathways and gene families. The RESPIRATORY BURST OXIDASE HOMOLOG F-mediated respiratory burst had a major impact and was a converging point among several studies. Conversely, the timing of the oxidative stress response was a determining factor in shaping different transcriptome footprints. Our study emphasizes the need to interpret transcriptomic data sets in a systematic context, where initial, specific stress triggers can converge to common, aspecific transcriptional changes. We believe that these refined transcriptional footprints provide a valuable resource for assessing the involvement of ROS in biological processes in plants.","author":[{"dropping-particle":"","family":"Willems","given":"Patrick","non-dropping-particle":"","parse-names":false,"suffix":""},{"dropping-particle":"","family":"Mhamdi","given":"Amna","non-dropping-particle":"","parse-names":false,"suffix":""},{"dropping-particle":"","family":"Stael","given":"Simon","non-dropping-particle":"","parse-names":false,"suffix":""},{"dropping-particle":"","family":"Storme","given":"Veronique","non-dropping-particle":"","parse-names":false,"suffix":""},{"dropping-particle":"","family":"Kerchev","given":"Pavel","non-dropping-particle":"","parse-names":false,"suffix":""},{"dropping-particle":"","family":"Noctor","given":"Graham","non-dropping-particle":"","parse-names":false,"suffix":""},{"dropping-particle":"","family":"Gevaert","given":"Kris","non-dropping-particle":"","parse-names":false,"suffix":""},{"dropping-particle":"","family":"Breusegem","given":"Frank","non-dropping-particle":"Van","parse-names":false,"suffix":""}],"container-title":"Plant Physiology","id":"ITEM-1","issue":"3","issued":{"date-parts":[["2016"]]},"page":"1720-1733","title":"The ROS wheel: Refining ROS transcriptional footprints","type":"article-journal","volume":"17"},"uris":["http://www.mendeley.com/documents/?uuid=4694d03b-4ea2-4f08-9ed9-e1b3d26b5048"]}],"mendeley":{"formattedCitation":"(Willems et al., 2016)","plainTextFormattedCitation":"(Willems et al., 2016)","previouslyFormattedCitation":"(Willems et al., 2016)"},"properties":{"noteIndex":0},"schema":"https://github.com/citation-style-language/schema/raw/master/csl-citation.json"}</w:instrText>
      </w:r>
      <w:r w:rsidRPr="006B11D1">
        <w:rPr>
          <w:rFonts w:eastAsia="Calibri"/>
        </w:rPr>
        <w:fldChar w:fldCharType="separate"/>
      </w:r>
      <w:r w:rsidRPr="009A6580">
        <w:rPr>
          <w:rFonts w:eastAsia="Calibri"/>
          <w:noProof/>
        </w:rPr>
        <w:t>(Willems et al., 2016)</w:t>
      </w:r>
      <w:r w:rsidRPr="006B11D1">
        <w:rPr>
          <w:rFonts w:eastAsia="Calibri"/>
        </w:rPr>
        <w:fldChar w:fldCharType="end"/>
      </w:r>
      <w:r w:rsidRPr="006B11D1">
        <w:rPr>
          <w:rFonts w:eastAsia="Calibri"/>
        </w:rPr>
        <w:t>.</w:t>
      </w:r>
    </w:p>
    <w:p w14:paraId="6317997A" w14:textId="77777777" w:rsidR="00DF5B76" w:rsidRPr="006B11D1" w:rsidRDefault="00DF5B76" w:rsidP="00DF5B76">
      <w:pPr>
        <w:rPr>
          <w:rFonts w:eastAsia="Calibri"/>
          <w:b/>
        </w:rPr>
      </w:pPr>
    </w:p>
    <w:tbl>
      <w:tblPr>
        <w:tblW w:w="7755" w:type="dxa"/>
        <w:tblLayout w:type="fixed"/>
        <w:tblLook w:val="0400" w:firstRow="0" w:lastRow="0" w:firstColumn="0" w:lastColumn="0" w:noHBand="0" w:noVBand="1"/>
      </w:tblPr>
      <w:tblGrid>
        <w:gridCol w:w="1665"/>
        <w:gridCol w:w="1935"/>
        <w:gridCol w:w="1350"/>
        <w:gridCol w:w="1080"/>
        <w:gridCol w:w="1725"/>
      </w:tblGrid>
      <w:tr w:rsidR="00DF5B76" w:rsidRPr="00DF5B76" w14:paraId="27AB1E6F" w14:textId="77777777" w:rsidTr="00F700DA">
        <w:trPr>
          <w:trHeight w:val="853"/>
        </w:trPr>
        <w:tc>
          <w:tcPr>
            <w:tcW w:w="1665" w:type="dxa"/>
            <w:tcBorders>
              <w:top w:val="single" w:sz="8" w:space="0" w:color="auto"/>
              <w:bottom w:val="single" w:sz="8" w:space="0" w:color="auto"/>
            </w:tcBorders>
            <w:shd w:val="clear" w:color="auto" w:fill="auto"/>
            <w:tcMar>
              <w:top w:w="72" w:type="dxa"/>
              <w:left w:w="144" w:type="dxa"/>
              <w:bottom w:w="72" w:type="dxa"/>
              <w:right w:w="144" w:type="dxa"/>
            </w:tcMar>
          </w:tcPr>
          <w:p w14:paraId="1B67C9AB" w14:textId="77777777" w:rsidR="00DF5B76" w:rsidRPr="00DF5B76" w:rsidRDefault="00DF5B76" w:rsidP="00DF5B76"/>
          <w:p w14:paraId="77B0719F" w14:textId="77777777" w:rsidR="00DF5B76" w:rsidRPr="00DF5B76" w:rsidRDefault="00DF5B76" w:rsidP="00DF5B76">
            <w:r w:rsidRPr="00DF5B76">
              <w:t>Dataset</w:t>
            </w:r>
          </w:p>
        </w:tc>
        <w:tc>
          <w:tcPr>
            <w:tcW w:w="1935" w:type="dxa"/>
            <w:tcBorders>
              <w:top w:val="single" w:sz="8" w:space="0" w:color="auto"/>
              <w:bottom w:val="single" w:sz="8" w:space="0" w:color="auto"/>
            </w:tcBorders>
            <w:shd w:val="clear" w:color="auto" w:fill="auto"/>
            <w:tcMar>
              <w:top w:w="72" w:type="dxa"/>
              <w:left w:w="144" w:type="dxa"/>
              <w:bottom w:w="72" w:type="dxa"/>
              <w:right w:w="144" w:type="dxa"/>
            </w:tcMar>
          </w:tcPr>
          <w:p w14:paraId="4703CC0F" w14:textId="77777777" w:rsidR="00DF5B76" w:rsidRPr="00DF5B76" w:rsidRDefault="00DF5B76" w:rsidP="00DF5B76"/>
          <w:p w14:paraId="77B8397B" w14:textId="77777777" w:rsidR="00DF5B76" w:rsidRPr="00DF5B76" w:rsidRDefault="00DF5B76" w:rsidP="00DF5B76">
            <w:r w:rsidRPr="00DF5B76">
              <w:t>Sample</w:t>
            </w:r>
          </w:p>
          <w:p w14:paraId="7182224F" w14:textId="77777777" w:rsidR="00DF5B76" w:rsidRPr="00DF5B76" w:rsidRDefault="00DF5B76" w:rsidP="00DF5B76"/>
        </w:tc>
        <w:tc>
          <w:tcPr>
            <w:tcW w:w="1350" w:type="dxa"/>
            <w:tcBorders>
              <w:top w:val="single" w:sz="8" w:space="0" w:color="auto"/>
              <w:bottom w:val="single" w:sz="8" w:space="0" w:color="auto"/>
            </w:tcBorders>
          </w:tcPr>
          <w:p w14:paraId="286B3001" w14:textId="77777777" w:rsidR="00DF5B76" w:rsidRPr="00DF5B76" w:rsidRDefault="00DF5B76" w:rsidP="00DF5B76">
            <w:pPr>
              <w:jc w:val="center"/>
            </w:pPr>
          </w:p>
          <w:p w14:paraId="331D6138" w14:textId="77777777" w:rsidR="00DF5B76" w:rsidRPr="00DF5B76" w:rsidRDefault="00DF5B76" w:rsidP="00DF5B76">
            <w:pPr>
              <w:jc w:val="center"/>
            </w:pPr>
            <w:r w:rsidRPr="00DF5B76">
              <w:t>Light/dark</w:t>
            </w:r>
          </w:p>
          <w:p w14:paraId="0927666E" w14:textId="77777777" w:rsidR="00DF5B76" w:rsidRPr="00DF5B76" w:rsidRDefault="00DF5B76" w:rsidP="00DF5B76">
            <w:pPr>
              <w:jc w:val="center"/>
            </w:pPr>
            <w:r w:rsidRPr="00DF5B76">
              <w:t>grown</w:t>
            </w:r>
          </w:p>
        </w:tc>
        <w:tc>
          <w:tcPr>
            <w:tcW w:w="1080" w:type="dxa"/>
            <w:tcBorders>
              <w:top w:val="single" w:sz="8" w:space="0" w:color="auto"/>
              <w:bottom w:val="single" w:sz="8" w:space="0" w:color="auto"/>
            </w:tcBorders>
            <w:shd w:val="clear" w:color="auto" w:fill="auto"/>
            <w:tcMar>
              <w:top w:w="72" w:type="dxa"/>
              <w:left w:w="144" w:type="dxa"/>
              <w:bottom w:w="72" w:type="dxa"/>
              <w:right w:w="144" w:type="dxa"/>
            </w:tcMar>
          </w:tcPr>
          <w:p w14:paraId="47914F92" w14:textId="77777777" w:rsidR="00DF5B76" w:rsidRPr="00DF5B76" w:rsidRDefault="00DF5B76" w:rsidP="00DF5B76">
            <w:pPr>
              <w:jc w:val="center"/>
            </w:pPr>
          </w:p>
          <w:p w14:paraId="2CA66410" w14:textId="77777777" w:rsidR="00DF5B76" w:rsidRPr="00DF5B76" w:rsidRDefault="00DF5B76" w:rsidP="00DF5B76">
            <w:pPr>
              <w:jc w:val="center"/>
            </w:pPr>
            <w:r w:rsidRPr="00DF5B76">
              <w:t>DET</w:t>
            </w:r>
          </w:p>
          <w:p w14:paraId="0659935B" w14:textId="77777777" w:rsidR="00DF5B76" w:rsidRPr="00DF5B76" w:rsidRDefault="00DF5B76" w:rsidP="00DF5B76">
            <w:pPr>
              <w:jc w:val="center"/>
            </w:pPr>
            <w:r w:rsidRPr="00DF5B76">
              <w:t>P&lt;0.05</w:t>
            </w:r>
          </w:p>
        </w:tc>
        <w:tc>
          <w:tcPr>
            <w:tcW w:w="1725" w:type="dxa"/>
            <w:tcBorders>
              <w:top w:val="single" w:sz="8" w:space="0" w:color="auto"/>
              <w:bottom w:val="single" w:sz="8" w:space="0" w:color="auto"/>
            </w:tcBorders>
            <w:shd w:val="clear" w:color="auto" w:fill="auto"/>
            <w:tcMar>
              <w:top w:w="72" w:type="dxa"/>
              <w:left w:w="144" w:type="dxa"/>
              <w:bottom w:w="72" w:type="dxa"/>
              <w:right w:w="144" w:type="dxa"/>
            </w:tcMar>
          </w:tcPr>
          <w:p w14:paraId="3576BFDC" w14:textId="05424D54" w:rsidR="00DF5B76" w:rsidRPr="00DF5B76" w:rsidRDefault="00BD21CC" w:rsidP="00DF5B76">
            <w:pPr>
              <w:jc w:val="center"/>
            </w:pPr>
            <w:r>
              <w:t>“</w:t>
            </w:r>
            <w:r w:rsidR="00DF5B76" w:rsidRPr="00DF5B76">
              <w:t>High Light Early</w:t>
            </w:r>
            <w:r>
              <w:t>”</w:t>
            </w:r>
            <w:r w:rsidR="00DF5B76" w:rsidRPr="00DF5B76">
              <w:t xml:space="preserve"> clade members</w:t>
            </w:r>
          </w:p>
        </w:tc>
      </w:tr>
      <w:tr w:rsidR="00DF5B76" w:rsidRPr="00DF5B76" w14:paraId="2D90F143" w14:textId="77777777" w:rsidTr="00F700DA">
        <w:trPr>
          <w:trHeight w:val="52"/>
        </w:trPr>
        <w:tc>
          <w:tcPr>
            <w:tcW w:w="1665" w:type="dxa"/>
            <w:tcBorders>
              <w:top w:val="single" w:sz="8" w:space="0" w:color="auto"/>
            </w:tcBorders>
            <w:shd w:val="clear" w:color="auto" w:fill="auto"/>
            <w:tcMar>
              <w:top w:w="72" w:type="dxa"/>
              <w:left w:w="144" w:type="dxa"/>
              <w:bottom w:w="72" w:type="dxa"/>
              <w:right w:w="144" w:type="dxa"/>
            </w:tcMar>
          </w:tcPr>
          <w:p w14:paraId="6ABB550C" w14:textId="77777777" w:rsidR="00DF5B76" w:rsidRPr="00DF5B76" w:rsidRDefault="00DF5B76" w:rsidP="00DF5B76">
            <w:r w:rsidRPr="00DF5B76">
              <w:t>GLDS-7</w:t>
            </w:r>
          </w:p>
        </w:tc>
        <w:tc>
          <w:tcPr>
            <w:tcW w:w="1935" w:type="dxa"/>
            <w:tcBorders>
              <w:top w:val="single" w:sz="8" w:space="0" w:color="auto"/>
            </w:tcBorders>
            <w:shd w:val="clear" w:color="auto" w:fill="auto"/>
            <w:tcMar>
              <w:top w:w="72" w:type="dxa"/>
              <w:left w:w="144" w:type="dxa"/>
              <w:bottom w:w="72" w:type="dxa"/>
              <w:right w:w="144" w:type="dxa"/>
            </w:tcMar>
          </w:tcPr>
          <w:p w14:paraId="2FBAAD90" w14:textId="77777777" w:rsidR="00DF5B76" w:rsidRPr="00DF5B76" w:rsidRDefault="00DF5B76" w:rsidP="00DF5B76">
            <w:r w:rsidRPr="00DF5B76">
              <w:t xml:space="preserve">Seedling, </w:t>
            </w:r>
            <w:proofErr w:type="spellStart"/>
            <w:r w:rsidRPr="00DF5B76">
              <w:t>Ws</w:t>
            </w:r>
            <w:proofErr w:type="spellEnd"/>
          </w:p>
        </w:tc>
        <w:tc>
          <w:tcPr>
            <w:tcW w:w="1350" w:type="dxa"/>
            <w:tcBorders>
              <w:top w:val="single" w:sz="8" w:space="0" w:color="auto"/>
            </w:tcBorders>
          </w:tcPr>
          <w:p w14:paraId="27A13EFC" w14:textId="77777777" w:rsidR="00DF5B76" w:rsidRPr="00DF5B76" w:rsidRDefault="00DF5B76" w:rsidP="00DF5B76">
            <w:pPr>
              <w:jc w:val="center"/>
            </w:pPr>
            <w:r w:rsidRPr="00DF5B76">
              <w:t>Light</w:t>
            </w:r>
          </w:p>
        </w:tc>
        <w:tc>
          <w:tcPr>
            <w:tcW w:w="1080" w:type="dxa"/>
            <w:tcBorders>
              <w:top w:val="single" w:sz="8" w:space="0" w:color="auto"/>
            </w:tcBorders>
            <w:shd w:val="clear" w:color="auto" w:fill="auto"/>
            <w:tcMar>
              <w:top w:w="72" w:type="dxa"/>
              <w:left w:w="144" w:type="dxa"/>
              <w:bottom w:w="72" w:type="dxa"/>
              <w:right w:w="144" w:type="dxa"/>
            </w:tcMar>
          </w:tcPr>
          <w:p w14:paraId="6FFA22EF" w14:textId="77777777" w:rsidR="00DF5B76" w:rsidRPr="00DF5B76" w:rsidRDefault="00DF5B76" w:rsidP="00DF5B76">
            <w:pPr>
              <w:jc w:val="center"/>
            </w:pPr>
            <w:r w:rsidRPr="00DF5B76">
              <w:t xml:space="preserve">2.96K </w:t>
            </w:r>
          </w:p>
        </w:tc>
        <w:tc>
          <w:tcPr>
            <w:tcW w:w="1725" w:type="dxa"/>
            <w:tcBorders>
              <w:top w:val="single" w:sz="8" w:space="0" w:color="auto"/>
            </w:tcBorders>
            <w:shd w:val="clear" w:color="auto" w:fill="auto"/>
            <w:tcMar>
              <w:top w:w="72" w:type="dxa"/>
              <w:left w:w="144" w:type="dxa"/>
              <w:bottom w:w="72" w:type="dxa"/>
              <w:right w:w="144" w:type="dxa"/>
            </w:tcMar>
          </w:tcPr>
          <w:p w14:paraId="6A1B1F69" w14:textId="77777777" w:rsidR="00DF5B76" w:rsidRPr="00DF5B76" w:rsidRDefault="00DF5B76" w:rsidP="00DF5B76">
            <w:pPr>
              <w:jc w:val="center"/>
            </w:pPr>
            <w:r w:rsidRPr="00DF5B76">
              <w:t>1.25K</w:t>
            </w:r>
          </w:p>
        </w:tc>
      </w:tr>
      <w:tr w:rsidR="00DF5B76" w:rsidRPr="00DF5B76" w14:paraId="20742AE7" w14:textId="77777777" w:rsidTr="00F700DA">
        <w:trPr>
          <w:trHeight w:val="52"/>
        </w:trPr>
        <w:tc>
          <w:tcPr>
            <w:tcW w:w="1665" w:type="dxa"/>
            <w:shd w:val="clear" w:color="auto" w:fill="auto"/>
            <w:tcMar>
              <w:top w:w="72" w:type="dxa"/>
              <w:left w:w="144" w:type="dxa"/>
              <w:bottom w:w="72" w:type="dxa"/>
              <w:right w:w="144" w:type="dxa"/>
            </w:tcMar>
          </w:tcPr>
          <w:p w14:paraId="2C846352" w14:textId="77777777" w:rsidR="00DF5B76" w:rsidRPr="00DF5B76" w:rsidRDefault="00DF5B76" w:rsidP="00DF5B76">
            <w:r w:rsidRPr="00DF5B76">
              <w:t>GLDS-17</w:t>
            </w:r>
          </w:p>
        </w:tc>
        <w:tc>
          <w:tcPr>
            <w:tcW w:w="1935" w:type="dxa"/>
            <w:shd w:val="clear" w:color="auto" w:fill="auto"/>
            <w:tcMar>
              <w:top w:w="72" w:type="dxa"/>
              <w:left w:w="144" w:type="dxa"/>
              <w:bottom w:w="72" w:type="dxa"/>
              <w:right w:w="144" w:type="dxa"/>
            </w:tcMar>
          </w:tcPr>
          <w:p w14:paraId="6DE2FB4E" w14:textId="77777777" w:rsidR="00DF5B76" w:rsidRPr="00DF5B76" w:rsidRDefault="00DF5B76" w:rsidP="00DF5B76">
            <w:r w:rsidRPr="00DF5B76">
              <w:t>Seedling, Col</w:t>
            </w:r>
          </w:p>
        </w:tc>
        <w:tc>
          <w:tcPr>
            <w:tcW w:w="1350" w:type="dxa"/>
          </w:tcPr>
          <w:p w14:paraId="37CFDA38" w14:textId="77777777" w:rsidR="00DF5B76" w:rsidRPr="00DF5B76" w:rsidRDefault="00DF5B76" w:rsidP="00DF5B76">
            <w:pPr>
              <w:jc w:val="center"/>
            </w:pPr>
            <w:r w:rsidRPr="00DF5B76">
              <w:t>Dark</w:t>
            </w:r>
          </w:p>
        </w:tc>
        <w:tc>
          <w:tcPr>
            <w:tcW w:w="1080" w:type="dxa"/>
            <w:shd w:val="clear" w:color="auto" w:fill="auto"/>
            <w:tcMar>
              <w:top w:w="72" w:type="dxa"/>
              <w:left w:w="144" w:type="dxa"/>
              <w:bottom w:w="72" w:type="dxa"/>
              <w:right w:w="144" w:type="dxa"/>
            </w:tcMar>
          </w:tcPr>
          <w:p w14:paraId="3BF36BFD" w14:textId="77777777" w:rsidR="00DF5B76" w:rsidRPr="00DF5B76" w:rsidRDefault="00DF5B76" w:rsidP="00DF5B76">
            <w:pPr>
              <w:jc w:val="center"/>
            </w:pPr>
            <w:r w:rsidRPr="00DF5B76">
              <w:t>1.34K</w:t>
            </w:r>
          </w:p>
        </w:tc>
        <w:tc>
          <w:tcPr>
            <w:tcW w:w="1725" w:type="dxa"/>
            <w:shd w:val="clear" w:color="auto" w:fill="auto"/>
            <w:tcMar>
              <w:top w:w="72" w:type="dxa"/>
              <w:left w:w="144" w:type="dxa"/>
              <w:bottom w:w="72" w:type="dxa"/>
              <w:right w:w="144" w:type="dxa"/>
            </w:tcMar>
          </w:tcPr>
          <w:p w14:paraId="048293FE" w14:textId="77777777" w:rsidR="00DF5B76" w:rsidRPr="00DF5B76" w:rsidRDefault="00DF5B76" w:rsidP="00DF5B76">
            <w:pPr>
              <w:jc w:val="center"/>
            </w:pPr>
            <w:r w:rsidRPr="00DF5B76">
              <w:t>719</w:t>
            </w:r>
          </w:p>
        </w:tc>
      </w:tr>
      <w:tr w:rsidR="00DF5B76" w:rsidRPr="00DF5B76" w14:paraId="65D3952C" w14:textId="77777777" w:rsidTr="00F700DA">
        <w:trPr>
          <w:trHeight w:val="52"/>
        </w:trPr>
        <w:tc>
          <w:tcPr>
            <w:tcW w:w="1665" w:type="dxa"/>
            <w:shd w:val="clear" w:color="auto" w:fill="auto"/>
            <w:tcMar>
              <w:top w:w="72" w:type="dxa"/>
              <w:left w:w="144" w:type="dxa"/>
              <w:bottom w:w="72" w:type="dxa"/>
              <w:right w:w="144" w:type="dxa"/>
            </w:tcMar>
          </w:tcPr>
          <w:p w14:paraId="239E992A" w14:textId="77777777" w:rsidR="00DF5B76" w:rsidRPr="00DF5B76" w:rsidRDefault="00DF5B76" w:rsidP="00DF5B76">
            <w:r w:rsidRPr="00DF5B76">
              <w:t>GLDS-37</w:t>
            </w:r>
          </w:p>
        </w:tc>
        <w:tc>
          <w:tcPr>
            <w:tcW w:w="1935" w:type="dxa"/>
            <w:shd w:val="clear" w:color="auto" w:fill="auto"/>
            <w:tcMar>
              <w:top w:w="72" w:type="dxa"/>
              <w:left w:w="144" w:type="dxa"/>
              <w:bottom w:w="72" w:type="dxa"/>
              <w:right w:w="144" w:type="dxa"/>
            </w:tcMar>
          </w:tcPr>
          <w:p w14:paraId="1666B168" w14:textId="77777777" w:rsidR="00DF5B76" w:rsidRPr="00DF5B76" w:rsidRDefault="00DF5B76" w:rsidP="00DF5B76">
            <w:r w:rsidRPr="00DF5B76">
              <w:t xml:space="preserve">Seedling, </w:t>
            </w:r>
            <w:proofErr w:type="spellStart"/>
            <w:r w:rsidRPr="00DF5B76">
              <w:t>Ler</w:t>
            </w:r>
            <w:proofErr w:type="spellEnd"/>
          </w:p>
        </w:tc>
        <w:tc>
          <w:tcPr>
            <w:tcW w:w="1350" w:type="dxa"/>
          </w:tcPr>
          <w:p w14:paraId="7CB0B1C1" w14:textId="77777777" w:rsidR="00DF5B76" w:rsidRPr="00DF5B76" w:rsidRDefault="00DF5B76" w:rsidP="00DF5B76">
            <w:pPr>
              <w:jc w:val="center"/>
            </w:pPr>
            <w:r w:rsidRPr="00DF5B76">
              <w:t>Dark</w:t>
            </w:r>
          </w:p>
        </w:tc>
        <w:tc>
          <w:tcPr>
            <w:tcW w:w="1080" w:type="dxa"/>
            <w:shd w:val="clear" w:color="auto" w:fill="auto"/>
            <w:tcMar>
              <w:top w:w="72" w:type="dxa"/>
              <w:left w:w="144" w:type="dxa"/>
              <w:bottom w:w="72" w:type="dxa"/>
              <w:right w:w="144" w:type="dxa"/>
            </w:tcMar>
          </w:tcPr>
          <w:p w14:paraId="21A02430" w14:textId="77777777" w:rsidR="00DF5B76" w:rsidRPr="00DF5B76" w:rsidRDefault="00DF5B76" w:rsidP="00DF5B76">
            <w:pPr>
              <w:jc w:val="center"/>
            </w:pPr>
            <w:r w:rsidRPr="00DF5B76">
              <w:t>451</w:t>
            </w:r>
          </w:p>
        </w:tc>
        <w:tc>
          <w:tcPr>
            <w:tcW w:w="1725" w:type="dxa"/>
            <w:shd w:val="clear" w:color="auto" w:fill="auto"/>
            <w:tcMar>
              <w:top w:w="72" w:type="dxa"/>
              <w:left w:w="144" w:type="dxa"/>
              <w:bottom w:w="72" w:type="dxa"/>
              <w:right w:w="144" w:type="dxa"/>
            </w:tcMar>
          </w:tcPr>
          <w:p w14:paraId="17990EA5" w14:textId="77777777" w:rsidR="00DF5B76" w:rsidRPr="00DF5B76" w:rsidRDefault="00DF5B76" w:rsidP="00DF5B76">
            <w:pPr>
              <w:jc w:val="center"/>
            </w:pPr>
            <w:r w:rsidRPr="00DF5B76">
              <w:t>179</w:t>
            </w:r>
          </w:p>
        </w:tc>
      </w:tr>
      <w:tr w:rsidR="00DF5B76" w:rsidRPr="00DF5B76" w14:paraId="1448A075" w14:textId="77777777" w:rsidTr="00F700DA">
        <w:trPr>
          <w:trHeight w:val="61"/>
        </w:trPr>
        <w:tc>
          <w:tcPr>
            <w:tcW w:w="1665" w:type="dxa"/>
            <w:shd w:val="clear" w:color="auto" w:fill="auto"/>
            <w:tcMar>
              <w:top w:w="72" w:type="dxa"/>
              <w:left w:w="144" w:type="dxa"/>
              <w:bottom w:w="72" w:type="dxa"/>
              <w:right w:w="144" w:type="dxa"/>
            </w:tcMar>
          </w:tcPr>
          <w:p w14:paraId="010EB2E6" w14:textId="77777777" w:rsidR="00DF5B76" w:rsidRPr="00DF5B76" w:rsidRDefault="00DF5B76" w:rsidP="00DF5B76">
            <w:r w:rsidRPr="00DF5B76">
              <w:t>GLDS-37</w:t>
            </w:r>
          </w:p>
        </w:tc>
        <w:tc>
          <w:tcPr>
            <w:tcW w:w="1935" w:type="dxa"/>
            <w:shd w:val="clear" w:color="auto" w:fill="auto"/>
            <w:tcMar>
              <w:top w:w="72" w:type="dxa"/>
              <w:left w:w="144" w:type="dxa"/>
              <w:bottom w:w="72" w:type="dxa"/>
              <w:right w:w="144" w:type="dxa"/>
            </w:tcMar>
          </w:tcPr>
          <w:p w14:paraId="2BF1C2F9" w14:textId="77777777" w:rsidR="00DF5B76" w:rsidRPr="00DF5B76" w:rsidRDefault="00DF5B76" w:rsidP="00DF5B76">
            <w:r w:rsidRPr="00DF5B76">
              <w:t xml:space="preserve">Seedling, </w:t>
            </w:r>
            <w:proofErr w:type="spellStart"/>
            <w:r w:rsidRPr="00DF5B76">
              <w:t>Cvi</w:t>
            </w:r>
            <w:proofErr w:type="spellEnd"/>
          </w:p>
        </w:tc>
        <w:tc>
          <w:tcPr>
            <w:tcW w:w="1350" w:type="dxa"/>
          </w:tcPr>
          <w:p w14:paraId="74D1A4BE" w14:textId="77777777" w:rsidR="00DF5B76" w:rsidRPr="00DF5B76" w:rsidRDefault="00DF5B76" w:rsidP="00DF5B76">
            <w:pPr>
              <w:jc w:val="center"/>
            </w:pPr>
            <w:r w:rsidRPr="00DF5B76">
              <w:t>Dark</w:t>
            </w:r>
          </w:p>
        </w:tc>
        <w:tc>
          <w:tcPr>
            <w:tcW w:w="1080" w:type="dxa"/>
            <w:shd w:val="clear" w:color="auto" w:fill="auto"/>
            <w:tcMar>
              <w:top w:w="72" w:type="dxa"/>
              <w:left w:w="144" w:type="dxa"/>
              <w:bottom w:w="72" w:type="dxa"/>
              <w:right w:w="144" w:type="dxa"/>
            </w:tcMar>
          </w:tcPr>
          <w:p w14:paraId="29AA1402" w14:textId="77777777" w:rsidR="00DF5B76" w:rsidRPr="00DF5B76" w:rsidRDefault="00DF5B76" w:rsidP="00DF5B76">
            <w:pPr>
              <w:jc w:val="center"/>
            </w:pPr>
            <w:r w:rsidRPr="00DF5B76">
              <w:t>2.27K</w:t>
            </w:r>
          </w:p>
        </w:tc>
        <w:tc>
          <w:tcPr>
            <w:tcW w:w="1725" w:type="dxa"/>
            <w:shd w:val="clear" w:color="auto" w:fill="auto"/>
            <w:tcMar>
              <w:top w:w="72" w:type="dxa"/>
              <w:left w:w="144" w:type="dxa"/>
              <w:bottom w:w="72" w:type="dxa"/>
              <w:right w:w="144" w:type="dxa"/>
            </w:tcMar>
          </w:tcPr>
          <w:p w14:paraId="7CCE6012" w14:textId="77777777" w:rsidR="00DF5B76" w:rsidRPr="00DF5B76" w:rsidRDefault="00DF5B76" w:rsidP="00DF5B76">
            <w:pPr>
              <w:jc w:val="center"/>
            </w:pPr>
            <w:r w:rsidRPr="00DF5B76">
              <w:t>1.02K</w:t>
            </w:r>
          </w:p>
        </w:tc>
      </w:tr>
      <w:tr w:rsidR="00DF5B76" w:rsidRPr="00DF5B76" w14:paraId="4F7BAA61" w14:textId="77777777" w:rsidTr="00F700DA">
        <w:trPr>
          <w:trHeight w:val="79"/>
        </w:trPr>
        <w:tc>
          <w:tcPr>
            <w:tcW w:w="1665" w:type="dxa"/>
            <w:shd w:val="clear" w:color="auto" w:fill="auto"/>
            <w:tcMar>
              <w:top w:w="72" w:type="dxa"/>
              <w:left w:w="144" w:type="dxa"/>
              <w:bottom w:w="72" w:type="dxa"/>
              <w:right w:w="144" w:type="dxa"/>
            </w:tcMar>
          </w:tcPr>
          <w:p w14:paraId="41405D2E" w14:textId="77777777" w:rsidR="00DF5B76" w:rsidRPr="00DF5B76" w:rsidRDefault="00DF5B76" w:rsidP="00DF5B76">
            <w:r w:rsidRPr="00DF5B76">
              <w:t>GLDS-37</w:t>
            </w:r>
          </w:p>
        </w:tc>
        <w:tc>
          <w:tcPr>
            <w:tcW w:w="1935" w:type="dxa"/>
            <w:shd w:val="clear" w:color="auto" w:fill="auto"/>
            <w:tcMar>
              <w:top w:w="72" w:type="dxa"/>
              <w:left w:w="144" w:type="dxa"/>
              <w:bottom w:w="72" w:type="dxa"/>
              <w:right w:w="144" w:type="dxa"/>
            </w:tcMar>
          </w:tcPr>
          <w:p w14:paraId="5D437BC9" w14:textId="77777777" w:rsidR="00DF5B76" w:rsidRPr="00DF5B76" w:rsidRDefault="00DF5B76" w:rsidP="00DF5B76">
            <w:r w:rsidRPr="00DF5B76">
              <w:t xml:space="preserve">Seedling, </w:t>
            </w:r>
            <w:proofErr w:type="spellStart"/>
            <w:r w:rsidRPr="00DF5B76">
              <w:t>Ws</w:t>
            </w:r>
            <w:proofErr w:type="spellEnd"/>
          </w:p>
        </w:tc>
        <w:tc>
          <w:tcPr>
            <w:tcW w:w="1350" w:type="dxa"/>
          </w:tcPr>
          <w:p w14:paraId="00F0B234" w14:textId="77777777" w:rsidR="00DF5B76" w:rsidRPr="00DF5B76" w:rsidRDefault="00DF5B76" w:rsidP="00DF5B76">
            <w:pPr>
              <w:jc w:val="center"/>
            </w:pPr>
            <w:r w:rsidRPr="00DF5B76">
              <w:t>Dark</w:t>
            </w:r>
          </w:p>
        </w:tc>
        <w:tc>
          <w:tcPr>
            <w:tcW w:w="1080" w:type="dxa"/>
            <w:shd w:val="clear" w:color="auto" w:fill="auto"/>
            <w:tcMar>
              <w:top w:w="72" w:type="dxa"/>
              <w:left w:w="144" w:type="dxa"/>
              <w:bottom w:w="72" w:type="dxa"/>
              <w:right w:w="144" w:type="dxa"/>
            </w:tcMar>
          </w:tcPr>
          <w:p w14:paraId="2CF122C0" w14:textId="77777777" w:rsidR="00DF5B76" w:rsidRPr="00DF5B76" w:rsidRDefault="00DF5B76" w:rsidP="00DF5B76">
            <w:pPr>
              <w:jc w:val="center"/>
            </w:pPr>
            <w:r w:rsidRPr="00DF5B76">
              <w:t>903</w:t>
            </w:r>
          </w:p>
        </w:tc>
        <w:tc>
          <w:tcPr>
            <w:tcW w:w="1725" w:type="dxa"/>
            <w:shd w:val="clear" w:color="auto" w:fill="auto"/>
            <w:tcMar>
              <w:top w:w="72" w:type="dxa"/>
              <w:left w:w="144" w:type="dxa"/>
              <w:bottom w:w="72" w:type="dxa"/>
              <w:right w:w="144" w:type="dxa"/>
            </w:tcMar>
          </w:tcPr>
          <w:p w14:paraId="39CED986" w14:textId="77777777" w:rsidR="00DF5B76" w:rsidRPr="00DF5B76" w:rsidRDefault="00DF5B76" w:rsidP="00DF5B76">
            <w:pPr>
              <w:jc w:val="center"/>
            </w:pPr>
            <w:r w:rsidRPr="00DF5B76">
              <w:t>380</w:t>
            </w:r>
          </w:p>
        </w:tc>
      </w:tr>
      <w:tr w:rsidR="00DF5B76" w:rsidRPr="00DF5B76" w14:paraId="1BF93AF6" w14:textId="77777777" w:rsidTr="00F700DA">
        <w:trPr>
          <w:trHeight w:val="169"/>
        </w:trPr>
        <w:tc>
          <w:tcPr>
            <w:tcW w:w="1665" w:type="dxa"/>
            <w:shd w:val="clear" w:color="auto" w:fill="auto"/>
            <w:tcMar>
              <w:top w:w="72" w:type="dxa"/>
              <w:left w:w="144" w:type="dxa"/>
              <w:bottom w:w="72" w:type="dxa"/>
              <w:right w:w="144" w:type="dxa"/>
            </w:tcMar>
          </w:tcPr>
          <w:p w14:paraId="56443257" w14:textId="77777777" w:rsidR="00DF5B76" w:rsidRPr="00DF5B76" w:rsidRDefault="00DF5B76" w:rsidP="00DF5B76">
            <w:r w:rsidRPr="00DF5B76">
              <w:t>GLDS-44</w:t>
            </w:r>
          </w:p>
        </w:tc>
        <w:tc>
          <w:tcPr>
            <w:tcW w:w="1935" w:type="dxa"/>
            <w:shd w:val="clear" w:color="auto" w:fill="auto"/>
            <w:tcMar>
              <w:top w:w="72" w:type="dxa"/>
              <w:left w:w="144" w:type="dxa"/>
              <w:bottom w:w="72" w:type="dxa"/>
              <w:right w:w="144" w:type="dxa"/>
            </w:tcMar>
          </w:tcPr>
          <w:p w14:paraId="114C0B0D" w14:textId="77777777" w:rsidR="00DF5B76" w:rsidRPr="00DF5B76" w:rsidRDefault="00DF5B76" w:rsidP="00DF5B76">
            <w:r w:rsidRPr="00DF5B76">
              <w:t>Seedling, Col</w:t>
            </w:r>
          </w:p>
        </w:tc>
        <w:tc>
          <w:tcPr>
            <w:tcW w:w="1350" w:type="dxa"/>
          </w:tcPr>
          <w:p w14:paraId="2D50A43A" w14:textId="77777777" w:rsidR="00DF5B76" w:rsidRPr="00DF5B76" w:rsidRDefault="00DF5B76" w:rsidP="00DF5B76">
            <w:pPr>
              <w:jc w:val="center"/>
            </w:pPr>
            <w:r w:rsidRPr="00DF5B76">
              <w:t>Dark</w:t>
            </w:r>
          </w:p>
        </w:tc>
        <w:tc>
          <w:tcPr>
            <w:tcW w:w="1080" w:type="dxa"/>
            <w:shd w:val="clear" w:color="auto" w:fill="auto"/>
            <w:tcMar>
              <w:top w:w="72" w:type="dxa"/>
              <w:left w:w="144" w:type="dxa"/>
              <w:bottom w:w="72" w:type="dxa"/>
              <w:right w:w="144" w:type="dxa"/>
            </w:tcMar>
          </w:tcPr>
          <w:p w14:paraId="09B908E2" w14:textId="77777777" w:rsidR="00DF5B76" w:rsidRPr="00DF5B76" w:rsidRDefault="00DF5B76" w:rsidP="00DF5B76">
            <w:pPr>
              <w:jc w:val="center"/>
            </w:pPr>
            <w:r w:rsidRPr="00DF5B76">
              <w:t>6.32K</w:t>
            </w:r>
          </w:p>
        </w:tc>
        <w:tc>
          <w:tcPr>
            <w:tcW w:w="1725" w:type="dxa"/>
            <w:shd w:val="clear" w:color="auto" w:fill="auto"/>
            <w:tcMar>
              <w:top w:w="72" w:type="dxa"/>
              <w:left w:w="144" w:type="dxa"/>
              <w:bottom w:w="72" w:type="dxa"/>
              <w:right w:w="144" w:type="dxa"/>
            </w:tcMar>
          </w:tcPr>
          <w:p w14:paraId="1A968857" w14:textId="77777777" w:rsidR="00DF5B76" w:rsidRPr="00DF5B76" w:rsidRDefault="00DF5B76" w:rsidP="00DF5B76">
            <w:pPr>
              <w:jc w:val="center"/>
            </w:pPr>
            <w:r w:rsidRPr="00DF5B76">
              <w:t>2.87K</w:t>
            </w:r>
          </w:p>
        </w:tc>
      </w:tr>
      <w:tr w:rsidR="00DF5B76" w:rsidRPr="00DF5B76" w14:paraId="38DCE466" w14:textId="77777777" w:rsidTr="00F700DA">
        <w:trPr>
          <w:trHeight w:val="187"/>
        </w:trPr>
        <w:tc>
          <w:tcPr>
            <w:tcW w:w="1665" w:type="dxa"/>
            <w:tcBorders>
              <w:bottom w:val="single" w:sz="4" w:space="0" w:color="auto"/>
            </w:tcBorders>
            <w:shd w:val="clear" w:color="auto" w:fill="auto"/>
            <w:tcMar>
              <w:top w:w="72" w:type="dxa"/>
              <w:left w:w="144" w:type="dxa"/>
              <w:bottom w:w="72" w:type="dxa"/>
              <w:right w:w="144" w:type="dxa"/>
            </w:tcMar>
          </w:tcPr>
          <w:p w14:paraId="4357C28A" w14:textId="77777777" w:rsidR="00DF5B76" w:rsidRPr="00DF5B76" w:rsidRDefault="00DF5B76" w:rsidP="00DF5B76">
            <w:r w:rsidRPr="00DF5B76">
              <w:t>GLDS-121</w:t>
            </w:r>
          </w:p>
        </w:tc>
        <w:tc>
          <w:tcPr>
            <w:tcW w:w="1935" w:type="dxa"/>
            <w:tcBorders>
              <w:bottom w:val="single" w:sz="4" w:space="0" w:color="auto"/>
            </w:tcBorders>
            <w:shd w:val="clear" w:color="auto" w:fill="auto"/>
            <w:tcMar>
              <w:top w:w="72" w:type="dxa"/>
              <w:left w:w="144" w:type="dxa"/>
              <w:bottom w:w="72" w:type="dxa"/>
              <w:right w:w="144" w:type="dxa"/>
            </w:tcMar>
          </w:tcPr>
          <w:p w14:paraId="18CEF370" w14:textId="77777777" w:rsidR="00DF5B76" w:rsidRPr="00DF5B76" w:rsidRDefault="00DF5B76" w:rsidP="00DF5B76">
            <w:r w:rsidRPr="00DF5B76">
              <w:t xml:space="preserve">Seedling, </w:t>
            </w:r>
            <w:proofErr w:type="spellStart"/>
            <w:r w:rsidRPr="00DF5B76">
              <w:t>Ler</w:t>
            </w:r>
            <w:proofErr w:type="spellEnd"/>
          </w:p>
        </w:tc>
        <w:tc>
          <w:tcPr>
            <w:tcW w:w="1350" w:type="dxa"/>
            <w:tcBorders>
              <w:bottom w:val="single" w:sz="4" w:space="0" w:color="auto"/>
            </w:tcBorders>
          </w:tcPr>
          <w:p w14:paraId="565DD838" w14:textId="77777777" w:rsidR="00DF5B76" w:rsidRPr="00DF5B76" w:rsidRDefault="00DF5B76" w:rsidP="00DF5B76">
            <w:pPr>
              <w:jc w:val="center"/>
            </w:pPr>
            <w:r w:rsidRPr="00DF5B76">
              <w:t>Dark</w:t>
            </w:r>
          </w:p>
        </w:tc>
        <w:tc>
          <w:tcPr>
            <w:tcW w:w="1080" w:type="dxa"/>
            <w:tcBorders>
              <w:bottom w:val="single" w:sz="4" w:space="0" w:color="auto"/>
            </w:tcBorders>
            <w:shd w:val="clear" w:color="auto" w:fill="auto"/>
            <w:tcMar>
              <w:top w:w="72" w:type="dxa"/>
              <w:left w:w="144" w:type="dxa"/>
              <w:bottom w:w="72" w:type="dxa"/>
              <w:right w:w="144" w:type="dxa"/>
            </w:tcMar>
          </w:tcPr>
          <w:p w14:paraId="693CAF96" w14:textId="77777777" w:rsidR="00DF5B76" w:rsidRPr="00DF5B76" w:rsidRDefault="00DF5B76" w:rsidP="00DF5B76">
            <w:pPr>
              <w:jc w:val="center"/>
            </w:pPr>
            <w:r w:rsidRPr="00DF5B76">
              <w:t>239</w:t>
            </w:r>
          </w:p>
        </w:tc>
        <w:tc>
          <w:tcPr>
            <w:tcW w:w="1725" w:type="dxa"/>
            <w:tcBorders>
              <w:bottom w:val="single" w:sz="4" w:space="0" w:color="auto"/>
            </w:tcBorders>
            <w:shd w:val="clear" w:color="auto" w:fill="auto"/>
            <w:tcMar>
              <w:top w:w="72" w:type="dxa"/>
              <w:left w:w="144" w:type="dxa"/>
              <w:bottom w:w="72" w:type="dxa"/>
              <w:right w:w="144" w:type="dxa"/>
            </w:tcMar>
          </w:tcPr>
          <w:p w14:paraId="58290620" w14:textId="77777777" w:rsidR="00DF5B76" w:rsidRPr="00DF5B76" w:rsidRDefault="00DF5B76" w:rsidP="00DF5B76">
            <w:pPr>
              <w:jc w:val="center"/>
            </w:pPr>
            <w:r w:rsidRPr="00DF5B76">
              <w:t>144</w:t>
            </w:r>
          </w:p>
        </w:tc>
      </w:tr>
    </w:tbl>
    <w:p w14:paraId="0D32F0AE" w14:textId="77777777" w:rsidR="00DF5B76" w:rsidRPr="006B11D1" w:rsidRDefault="00DF5B76" w:rsidP="00DF5B76"/>
    <w:p w14:paraId="7647EB98" w14:textId="77777777" w:rsidR="00DF5B76" w:rsidRDefault="00DF5B76" w:rsidP="00DF5B76">
      <w:pPr>
        <w:spacing w:line="276" w:lineRule="auto"/>
        <w:rPr>
          <w:rFonts w:eastAsia="Calibri"/>
          <w:b/>
        </w:rPr>
      </w:pPr>
      <w:r>
        <w:rPr>
          <w:rFonts w:eastAsia="Calibri"/>
          <w:b/>
        </w:rPr>
        <w:br w:type="page"/>
      </w:r>
    </w:p>
    <w:p w14:paraId="402622C0" w14:textId="77777777" w:rsidR="00DF5B76" w:rsidRDefault="00DF5B76" w:rsidP="00DF5B76">
      <w:pPr>
        <w:rPr>
          <w:rFonts w:eastAsia="Calibri"/>
          <w:b/>
        </w:rPr>
      </w:pPr>
    </w:p>
    <w:p w14:paraId="120FF565" w14:textId="04C755BB" w:rsidR="00DF5B76" w:rsidRPr="006B11D1" w:rsidRDefault="00DF5B76" w:rsidP="00DF5B76">
      <w:pPr>
        <w:rPr>
          <w:rFonts w:eastAsia="Calibri"/>
        </w:rPr>
      </w:pPr>
      <w:r>
        <w:rPr>
          <w:rFonts w:eastAsia="Calibri"/>
          <w:b/>
        </w:rPr>
        <w:t xml:space="preserve">Supplementary </w:t>
      </w:r>
      <w:r w:rsidRPr="006B11D1">
        <w:rPr>
          <w:rFonts w:eastAsia="Calibri"/>
          <w:b/>
        </w:rPr>
        <w:t xml:space="preserve">Table </w:t>
      </w:r>
      <w:r>
        <w:rPr>
          <w:rFonts w:eastAsia="Calibri"/>
          <w:b/>
        </w:rPr>
        <w:t>5</w:t>
      </w:r>
      <w:r w:rsidRPr="006B11D1">
        <w:rPr>
          <w:rFonts w:eastAsia="Calibri"/>
          <w:b/>
        </w:rPr>
        <w:t xml:space="preserve">. </w:t>
      </w:r>
      <w:r w:rsidRPr="00376CCC">
        <w:rPr>
          <w:rFonts w:eastAsia="Calibri"/>
          <w:bCs/>
        </w:rPr>
        <w:t xml:space="preserve">Orthologous loci responding to spaceflight in Arabidopsis and </w:t>
      </w:r>
      <w:r w:rsidR="00271948">
        <w:rPr>
          <w:rFonts w:eastAsia="Calibri"/>
          <w:bCs/>
        </w:rPr>
        <w:t>r</w:t>
      </w:r>
      <w:r w:rsidR="00271948" w:rsidRPr="00376CCC">
        <w:rPr>
          <w:rFonts w:eastAsia="Calibri"/>
          <w:bCs/>
        </w:rPr>
        <w:t xml:space="preserve">ice </w:t>
      </w:r>
      <w:r w:rsidRPr="00376CCC">
        <w:rPr>
          <w:rFonts w:eastAsia="Calibri"/>
          <w:bCs/>
        </w:rPr>
        <w:t xml:space="preserve">cell cultures grown during spaceflight. </w:t>
      </w:r>
      <w:r w:rsidR="00376CCC" w:rsidRPr="00376CCC">
        <w:rPr>
          <w:rFonts w:eastAsia="Calibri"/>
          <w:bCs/>
        </w:rPr>
        <w:t xml:space="preserve">Orthologs defined using Orthologous Matrix </w:t>
      </w:r>
      <w:r w:rsidR="00376CCC" w:rsidRPr="00376CCC">
        <w:rPr>
          <w:rFonts w:eastAsia="Calibri"/>
          <w:bCs/>
        </w:rPr>
        <w:fldChar w:fldCharType="begin" w:fldLock="1"/>
      </w:r>
      <w:r w:rsidR="00376CCC" w:rsidRPr="00376CCC">
        <w:rPr>
          <w:rFonts w:eastAsia="Calibri"/>
          <w:bCs/>
        </w:rPr>
        <w:instrText>ADDIN CSL_CITATION {"citationItems":[{"id":"ITEM-1","itemData":{"DOI":"10.1093/nar/gkx1019","ISSN":"13624962","abstract":"© 2017 The Author(s). The Orthologous Matrix (OMA) is a leading resource to relate genes across many species from all of life. In this update paper, we review the recent algorithmic improvements in the OMA pipeline, describe increases in species coverage (particularly in plants and early-branching eukaryotes) and introduce several new features in the OMA web browser. Notable improvements include: (i) a scalable, interactive viewer for hierarchical orthologous groups; (ii) protein domain annotations and domain-based links between orthologous groups; (iii) functionality to retrieve phylogenetic marker genes for a subset of species of interest; (iv) a new synteny dot plot viewer; and (v) an overhaul of the programmatic access (REST API and semantic web), which will facilitate incorporation of OMA analyses in computational pipelines and integration with other bioinformatic resources. OMA can be freely accessed at https://omabrowser.org.","author":[{"dropping-particle":"","family":"Altenhoff","given":"Adrian M.","non-dropping-particle":"","parse-names":false,"suffix":""},{"dropping-particle":"","family":"Glover","given":"Natasha M.","non-dropping-particle":"","parse-names":false,"suffix":""},{"dropping-particle":"","family":"Train","given":"Clément Marie","non-dropping-particle":"","parse-names":false,"suffix":""},{"dropping-particle":"","family":"Kaleb","given":"Klara","non-dropping-particle":"","parse-names":false,"suffix":""},{"dropping-particle":"","family":"Warwick Vesztrocy","given":"Alex","non-dropping-particle":"","parse-names":false,"suffix":""},{"dropping-particle":"","family":"Dylus","given":"David","non-dropping-particle":"","parse-names":false,"suffix":""},{"dropping-particle":"","family":"Farias","given":"Tarcisio M.","non-dropping-particle":"De","parse-names":false,"suffix":""},{"dropping-particle":"","family":"Zile","given":"Karina","non-dropping-particle":"","parse-names":false,"suffix":""},{"dropping-particle":"","family":"Stevenson","given":"Charles","non-dropping-particle":"","parse-names":false,"suffix":""},{"dropping-particle":"","family":"Long","given":"Jiao","non-dropping-particle":"","parse-names":false,"suffix":""},{"dropping-particle":"","family":"Redestig","given":"Henning","non-dropping-particle":"","parse-names":false,"suffix":""},{"dropping-particle":"","family":"Gonnet","given":"Gaston H.","non-dropping-particle":"","parse-names":false,"suffix":""},{"dropping-particle":"","family":"Dessimoz","given":"Christophe","non-dropping-particle":"","parse-names":false,"suffix":""}],"container-title":"Nucleic Acids Research","id":"ITEM-1","issued":{"date-parts":[["2018"]]},"page":"D477-D485","title":"The OMA orthology database in 2018: Retrieving evolutionary relationships among all domains of life through richer web and programmatic interfaces","type":"article-journal","volume":"46"},"uris":["http://www.mendeley.com/documents/?uuid=52c34396-20ea-4628-b0b0-8366fe7e6e6a"]}],"mendeley":{"formattedCitation":"(Altenhoff et al., 2018)","plainTextFormattedCitation":"(Altenhoff et al., 2018)","previouslyFormattedCitation":"(Altenhoff et al., 2018)"},"properties":{"noteIndex":0},"schema":"https://github.com/citation-style-language/schema/raw/master/csl-citation.json"}</w:instrText>
      </w:r>
      <w:r w:rsidR="00376CCC" w:rsidRPr="00376CCC">
        <w:rPr>
          <w:rFonts w:eastAsia="Calibri"/>
          <w:bCs/>
        </w:rPr>
        <w:fldChar w:fldCharType="separate"/>
      </w:r>
      <w:r w:rsidR="00376CCC" w:rsidRPr="00376CCC">
        <w:rPr>
          <w:rFonts w:eastAsia="Calibri"/>
          <w:bCs/>
          <w:noProof/>
        </w:rPr>
        <w:t>(Altenhoff et al., 2018)</w:t>
      </w:r>
      <w:r w:rsidR="00376CCC" w:rsidRPr="00376CCC">
        <w:rPr>
          <w:rFonts w:eastAsia="Calibri"/>
          <w:bCs/>
        </w:rPr>
        <w:fldChar w:fldCharType="end"/>
      </w:r>
      <w:r w:rsidR="00376CCC" w:rsidRPr="00376CCC">
        <w:rPr>
          <w:rFonts w:eastAsia="Calibri"/>
          <w:bCs/>
        </w:rPr>
        <w:t xml:space="preserve"> mapping within TOAST</w:t>
      </w:r>
      <w:r w:rsidR="00EA00FF">
        <w:rPr>
          <w:rFonts w:eastAsia="Calibri"/>
          <w:bCs/>
        </w:rPr>
        <w:t xml:space="preserve"> 4.5</w:t>
      </w:r>
      <w:r w:rsidR="00376CCC" w:rsidRPr="00376CCC">
        <w:rPr>
          <w:rFonts w:eastAsia="Calibri"/>
          <w:bCs/>
        </w:rPr>
        <w:t xml:space="preserve">. Table shows </w:t>
      </w:r>
      <w:r w:rsidR="005B2050">
        <w:rPr>
          <w:rFonts w:eastAsia="Calibri"/>
          <w:bCs/>
        </w:rPr>
        <w:t xml:space="preserve">Arabidopsis </w:t>
      </w:r>
      <w:r w:rsidR="005B2050" w:rsidRPr="00376CCC">
        <w:rPr>
          <w:rFonts w:eastAsia="Calibri"/>
          <w:bCs/>
        </w:rPr>
        <w:t>ge</w:t>
      </w:r>
      <w:r w:rsidR="005B2050">
        <w:rPr>
          <w:rFonts w:eastAsia="Calibri"/>
          <w:bCs/>
        </w:rPr>
        <w:t>ne</w:t>
      </w:r>
      <w:r w:rsidR="005B2050" w:rsidRPr="00376CCC">
        <w:rPr>
          <w:rFonts w:eastAsia="Calibri"/>
          <w:bCs/>
        </w:rPr>
        <w:t xml:space="preserve"> symbol</w:t>
      </w:r>
      <w:r w:rsidR="005B2050">
        <w:rPr>
          <w:rFonts w:eastAsia="Calibri"/>
          <w:bCs/>
        </w:rPr>
        <w:t>,</w:t>
      </w:r>
      <w:r w:rsidR="005B2050" w:rsidRPr="00376CCC">
        <w:rPr>
          <w:rFonts w:eastAsia="Calibri"/>
          <w:bCs/>
        </w:rPr>
        <w:t xml:space="preserve"> Arabidopsis gene ID</w:t>
      </w:r>
      <w:r w:rsidR="005B2050">
        <w:rPr>
          <w:rFonts w:eastAsia="Calibri"/>
          <w:bCs/>
        </w:rPr>
        <w:t>,</w:t>
      </w:r>
      <w:r w:rsidR="005B2050" w:rsidRPr="00376CCC">
        <w:rPr>
          <w:rFonts w:eastAsia="Calibri"/>
          <w:bCs/>
        </w:rPr>
        <w:t xml:space="preserve"> orthologous </w:t>
      </w:r>
      <w:r w:rsidR="00376CCC" w:rsidRPr="00376CCC">
        <w:rPr>
          <w:rFonts w:eastAsia="Calibri"/>
          <w:bCs/>
        </w:rPr>
        <w:t xml:space="preserve">rice gene ID, </w:t>
      </w:r>
      <w:r w:rsidR="005B2050">
        <w:rPr>
          <w:rFonts w:eastAsia="Calibri"/>
          <w:bCs/>
        </w:rPr>
        <w:t>% identity between Arabidopsis and rice ortholog and adjusted P-value (Q-value) for the Arabidopsis data and the orthologous rice gene’s data. Table 5.1 compares genes significantly differentially expressed (P&lt;0.05) in spaceflight vs ground controls in Arabidopsis and rice cell cultures described in</w:t>
      </w:r>
      <w:r w:rsidR="00376CCC" w:rsidRPr="00376CCC">
        <w:rPr>
          <w:rFonts w:eastAsia="Calibri"/>
          <w:bCs/>
        </w:rPr>
        <w:t xml:space="preserve"> </w:t>
      </w:r>
      <w:proofErr w:type="spellStart"/>
      <w:r w:rsidRPr="006B11D1">
        <w:rPr>
          <w:rFonts w:eastAsia="Calibri"/>
        </w:rPr>
        <w:t>Fengler</w:t>
      </w:r>
      <w:proofErr w:type="spellEnd"/>
      <w:r w:rsidRPr="006B11D1">
        <w:rPr>
          <w:rFonts w:eastAsia="Calibri"/>
        </w:rPr>
        <w:t xml:space="preserve"> </w:t>
      </w:r>
      <w:r w:rsidRPr="009A0240">
        <w:rPr>
          <w:rFonts w:eastAsia="Calibri"/>
        </w:rPr>
        <w:t>et al.</w:t>
      </w:r>
      <w:r w:rsidRPr="006B11D1">
        <w:rPr>
          <w:rFonts w:eastAsia="Calibri"/>
        </w:rPr>
        <w:t xml:space="preserve"> (2015)</w:t>
      </w:r>
      <w:r w:rsidR="00091609">
        <w:rPr>
          <w:rFonts w:eastAsia="Calibri"/>
        </w:rPr>
        <w:t>.</w:t>
      </w:r>
      <w:r w:rsidR="005B2050">
        <w:rPr>
          <w:rFonts w:eastAsia="Calibri"/>
        </w:rPr>
        <w:t xml:space="preserve"> Table 5.2 filters these gene lists fo</w:t>
      </w:r>
      <w:r w:rsidR="00367B63">
        <w:rPr>
          <w:rFonts w:eastAsia="Calibri"/>
        </w:rPr>
        <w:t>r</w:t>
      </w:r>
      <w:bookmarkStart w:id="0" w:name="_GoBack"/>
      <w:bookmarkEnd w:id="0"/>
      <w:r w:rsidR="005B2050">
        <w:rPr>
          <w:rFonts w:eastAsia="Calibri"/>
        </w:rPr>
        <w:t xml:space="preserve"> Q&lt;0.05 for both Arabidopsis and rice datasets. Table 5.3 shows genes significantly differentially expressed (P&lt;0.05) in Arabidopsis and rice cultures in flight (microgravity) samples versus samples in the 1 x </w:t>
      </w:r>
      <w:r w:rsidR="005B2050" w:rsidRPr="005B2050">
        <w:rPr>
          <w:rFonts w:eastAsia="Calibri"/>
          <w:i/>
          <w:iCs/>
        </w:rPr>
        <w:t>g</w:t>
      </w:r>
      <w:r w:rsidR="005B2050">
        <w:rPr>
          <w:rFonts w:eastAsia="Calibri"/>
        </w:rPr>
        <w:t xml:space="preserve"> on-board centrifuge. Table 5.4 filters the data in Table 5.3 on Q-value &lt;0.05 and then compares the genes that are significantly differentially expressed (P&lt;0.05, Q&lt;0.05) in both Arabidopsis and rice cell cultures in the flight vs ground control comparison with those significantly differentially expressed (P&lt;0.05, Q&lt;0.05) in both Arabidopsis and rice cell cultures in the flight vs centrifuge dataset.</w:t>
      </w:r>
    </w:p>
    <w:p w14:paraId="0945EEC6" w14:textId="77777777" w:rsidR="00DF5B76" w:rsidRPr="006B11D1" w:rsidRDefault="00DF5B76" w:rsidP="00DF5B76">
      <w:pPr>
        <w:rPr>
          <w:rFonts w:eastAsia="Calibri"/>
          <w:b/>
        </w:rPr>
      </w:pPr>
    </w:p>
    <w:p w14:paraId="5AE5D58E" w14:textId="77777777" w:rsidR="00DF5B76" w:rsidRPr="004210E6" w:rsidRDefault="00DF5B76" w:rsidP="00DF5B76">
      <w:pPr>
        <w:rPr>
          <w:rFonts w:eastAsia="Calibri"/>
          <w:bCs/>
        </w:rPr>
      </w:pPr>
      <w:r w:rsidRPr="004210E6">
        <w:rPr>
          <w:rFonts w:eastAsia="Calibri"/>
          <w:bCs/>
        </w:rPr>
        <w:t>See attached Excel Spreadsheet</w:t>
      </w:r>
    </w:p>
    <w:p w14:paraId="3E3E8832" w14:textId="77777777" w:rsidR="00DF5B76" w:rsidRPr="004210E6" w:rsidRDefault="00DF5B76" w:rsidP="00DF5B76">
      <w:pPr>
        <w:rPr>
          <w:rFonts w:eastAsia="Calibri"/>
          <w:bCs/>
        </w:rPr>
      </w:pPr>
    </w:p>
    <w:p w14:paraId="7FFBB74F" w14:textId="77777777" w:rsidR="00DF5B76" w:rsidRDefault="00DF5B76" w:rsidP="00DF5B76">
      <w:r>
        <w:br w:type="page"/>
      </w:r>
    </w:p>
    <w:p w14:paraId="32354901" w14:textId="77777777" w:rsidR="00A139DD" w:rsidRDefault="00A139DD" w:rsidP="00DF5B76">
      <w:pPr>
        <w:rPr>
          <w:b/>
          <w:bCs/>
        </w:rPr>
        <w:sectPr w:rsidR="00A139DD" w:rsidSect="00A139DD">
          <w:pgSz w:w="12240" w:h="15840"/>
          <w:pgMar w:top="1138" w:right="1181" w:bottom="1138" w:left="1282" w:header="720" w:footer="720" w:gutter="0"/>
          <w:cols w:space="720"/>
          <w:titlePg/>
          <w:docGrid w:linePitch="360"/>
        </w:sectPr>
      </w:pPr>
    </w:p>
    <w:p w14:paraId="76B44709" w14:textId="05914CA0" w:rsidR="00DF5B76" w:rsidRPr="00AC1823" w:rsidRDefault="00DF5B76" w:rsidP="00DF5B76">
      <w:pPr>
        <w:rPr>
          <w:b/>
          <w:bCs/>
        </w:rPr>
      </w:pPr>
      <w:r w:rsidRPr="00AC1823">
        <w:rPr>
          <w:b/>
          <w:bCs/>
        </w:rPr>
        <w:lastRenderedPageBreak/>
        <w:t>Supplementary Table References</w:t>
      </w:r>
    </w:p>
    <w:p w14:paraId="7D160F7D" w14:textId="77777777" w:rsidR="00DF5B76" w:rsidRPr="00AC1823" w:rsidRDefault="00DF5B76" w:rsidP="00DF5B76">
      <w:pPr>
        <w:rPr>
          <w:b/>
          <w:bCs/>
        </w:rPr>
      </w:pPr>
    </w:p>
    <w:p w14:paraId="0E2004F6" w14:textId="294F5430" w:rsidR="00527BAE" w:rsidRPr="00527BAE" w:rsidRDefault="00DF5B76" w:rsidP="00527BAE">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527BAE" w:rsidRPr="00527BAE">
        <w:rPr>
          <w:noProof/>
        </w:rPr>
        <w:t xml:space="preserve">Altenhoff, A. M., Glover, N. M., Train, C. M., Kaleb, K., Warwick Vesztrocy, A., Dylus, D., et al. (2018). The OMA orthology database in 2018: Retrieving evolutionary relationships among all domains of life through richer web and programmatic interfaces. </w:t>
      </w:r>
      <w:r w:rsidR="00527BAE" w:rsidRPr="00527BAE">
        <w:rPr>
          <w:i/>
          <w:iCs/>
          <w:noProof/>
        </w:rPr>
        <w:t>Nucleic Acids Res.</w:t>
      </w:r>
      <w:r w:rsidR="00527BAE" w:rsidRPr="00527BAE">
        <w:rPr>
          <w:noProof/>
        </w:rPr>
        <w:t xml:space="preserve"> 46, D477–D485. doi:10.1093/nar/gkx1019.</w:t>
      </w:r>
    </w:p>
    <w:p w14:paraId="7D6B0FB4"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Austin, R. S., Hiu, S., Waese, J., Ierullo, M., Pasha, A., Wang, T. T., et al. (2016). New BAR tools for mining expression data and exploring Cis-elements in </w:t>
      </w:r>
      <w:r w:rsidRPr="005B2050">
        <w:rPr>
          <w:i/>
          <w:iCs/>
          <w:noProof/>
        </w:rPr>
        <w:t>Arabidopsis thaliana</w:t>
      </w:r>
      <w:r w:rsidRPr="00527BAE">
        <w:rPr>
          <w:noProof/>
        </w:rPr>
        <w:t xml:space="preserve">. </w:t>
      </w:r>
      <w:r w:rsidRPr="00527BAE">
        <w:rPr>
          <w:i/>
          <w:iCs/>
          <w:noProof/>
        </w:rPr>
        <w:t>Plant J.</w:t>
      </w:r>
      <w:r w:rsidRPr="00527BAE">
        <w:rPr>
          <w:noProof/>
        </w:rPr>
        <w:t xml:space="preserve"> 88, 490–504. doi:10.1111/tpj.13261.</w:t>
      </w:r>
    </w:p>
    <w:p w14:paraId="0F467164"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Basu, P., Kruse, C. P. S., Luesse, D. R., and Wyatt, S. E. (2017). Growth in spaceflight hardware results in alterations to the transcriptome and proteome. </w:t>
      </w:r>
      <w:r w:rsidRPr="00527BAE">
        <w:rPr>
          <w:i/>
          <w:iCs/>
          <w:noProof/>
        </w:rPr>
        <w:t>Life Sci. Sp. Res.</w:t>
      </w:r>
      <w:r w:rsidRPr="00527BAE">
        <w:rPr>
          <w:noProof/>
        </w:rPr>
        <w:t xml:space="preserve"> 15, 88–96. doi:10.1016/j.lssr.2017.09.001.</w:t>
      </w:r>
    </w:p>
    <w:p w14:paraId="1C78CCB1"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Beisel, N. S., Noble, J., Barbazuk, W. B., Paul, A. L., and Ferl, R. J. (2019). Spaceflight-induced alternative splicing during seedling development in </w:t>
      </w:r>
      <w:r w:rsidRPr="005B2050">
        <w:rPr>
          <w:i/>
          <w:iCs/>
          <w:noProof/>
        </w:rPr>
        <w:t>Arabidopsis thaliana</w:t>
      </w:r>
      <w:r w:rsidRPr="00527BAE">
        <w:rPr>
          <w:noProof/>
        </w:rPr>
        <w:t xml:space="preserve">. </w:t>
      </w:r>
      <w:r w:rsidRPr="00527BAE">
        <w:rPr>
          <w:i/>
          <w:iCs/>
          <w:noProof/>
        </w:rPr>
        <w:t>npj Microgravity</w:t>
      </w:r>
      <w:r w:rsidRPr="00527BAE">
        <w:rPr>
          <w:noProof/>
        </w:rPr>
        <w:t xml:space="preserve"> 5, 9. doi:10.1038/s41526-019-0070-7.</w:t>
      </w:r>
    </w:p>
    <w:p w14:paraId="61516117" w14:textId="3A306A78" w:rsidR="00527BAE" w:rsidRPr="00527BAE" w:rsidRDefault="00527BAE" w:rsidP="00527BAE">
      <w:pPr>
        <w:widowControl w:val="0"/>
        <w:autoSpaceDE w:val="0"/>
        <w:autoSpaceDN w:val="0"/>
        <w:adjustRightInd w:val="0"/>
        <w:ind w:left="480" w:hanging="480"/>
        <w:rPr>
          <w:noProof/>
        </w:rPr>
      </w:pPr>
      <w:r w:rsidRPr="00527BAE">
        <w:rPr>
          <w:noProof/>
        </w:rPr>
        <w:t xml:space="preserve">Birnbaum, K., Shasha, D. E., Wang, J. Y., Jung, J. W., Lambert, G. M., Galbraith, D. W., et al. (2003). A </w:t>
      </w:r>
      <w:r w:rsidR="005B2050">
        <w:rPr>
          <w:noProof/>
        </w:rPr>
        <w:t>g</w:t>
      </w:r>
      <w:r w:rsidR="005B2050" w:rsidRPr="00527BAE">
        <w:rPr>
          <w:noProof/>
        </w:rPr>
        <w:t xml:space="preserve">ene </w:t>
      </w:r>
      <w:r w:rsidR="005B2050">
        <w:rPr>
          <w:noProof/>
        </w:rPr>
        <w:t>e</w:t>
      </w:r>
      <w:r w:rsidR="005B2050" w:rsidRPr="00527BAE">
        <w:rPr>
          <w:noProof/>
        </w:rPr>
        <w:t xml:space="preserve">xpression </w:t>
      </w:r>
      <w:r w:rsidR="005B2050">
        <w:rPr>
          <w:noProof/>
        </w:rPr>
        <w:t>m</w:t>
      </w:r>
      <w:r w:rsidR="005B2050" w:rsidRPr="00527BAE">
        <w:rPr>
          <w:noProof/>
        </w:rPr>
        <w:t xml:space="preserve">ap </w:t>
      </w:r>
      <w:r w:rsidRPr="00527BAE">
        <w:rPr>
          <w:noProof/>
        </w:rPr>
        <w:t xml:space="preserve">of the Arabidopsis </w:t>
      </w:r>
      <w:r w:rsidR="005B2050">
        <w:rPr>
          <w:noProof/>
        </w:rPr>
        <w:t>r</w:t>
      </w:r>
      <w:r w:rsidR="005B2050" w:rsidRPr="00527BAE">
        <w:rPr>
          <w:noProof/>
        </w:rPr>
        <w:t>oot</w:t>
      </w:r>
      <w:r w:rsidRPr="00527BAE">
        <w:rPr>
          <w:noProof/>
        </w:rPr>
        <w:t xml:space="preserve">. </w:t>
      </w:r>
      <w:r w:rsidRPr="00527BAE">
        <w:rPr>
          <w:i/>
          <w:iCs/>
          <w:noProof/>
        </w:rPr>
        <w:t>Science (80-. ).</w:t>
      </w:r>
      <w:r w:rsidRPr="00527BAE">
        <w:rPr>
          <w:noProof/>
        </w:rPr>
        <w:t xml:space="preserve"> 302, 1956–1960. doi:10.1126/science.1090022.</w:t>
      </w:r>
    </w:p>
    <w:p w14:paraId="0A069171"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Choi, W. G., Barker, R. J., Kim, S. H., Swanson, S. J., and Gilroy, S. (2019). Variation in the transcriptome of different ecotypes of </w:t>
      </w:r>
      <w:r w:rsidRPr="005B2050">
        <w:rPr>
          <w:i/>
          <w:iCs/>
          <w:noProof/>
        </w:rPr>
        <w:t>Arabidopsis thaliana</w:t>
      </w:r>
      <w:r w:rsidRPr="00527BAE">
        <w:rPr>
          <w:noProof/>
        </w:rPr>
        <w:t xml:space="preserve"> reveals signatures of oxidative stress in plant responses to spaceflight. </w:t>
      </w:r>
      <w:r w:rsidRPr="00527BAE">
        <w:rPr>
          <w:i/>
          <w:iCs/>
          <w:noProof/>
        </w:rPr>
        <w:t>Am. J. Bot.</w:t>
      </w:r>
      <w:r w:rsidRPr="00527BAE">
        <w:rPr>
          <w:noProof/>
        </w:rPr>
        <w:t xml:space="preserve"> 106, 123–136. doi:10.1002/ajb2.1223.</w:t>
      </w:r>
    </w:p>
    <w:p w14:paraId="3906469C"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Correll, M. J., Pyle, T. P., Millar, K. D. L., Sun, Y., Yao, J., Edelmann, R. E., et al. (2013). Transcriptome analyses of </w:t>
      </w:r>
      <w:r w:rsidRPr="005B2050">
        <w:rPr>
          <w:i/>
          <w:iCs/>
          <w:noProof/>
        </w:rPr>
        <w:t>Arabidopsis thaliana</w:t>
      </w:r>
      <w:r w:rsidRPr="00527BAE">
        <w:rPr>
          <w:noProof/>
        </w:rPr>
        <w:t xml:space="preserve"> seedlings grown in space: Implications for gravity-responsive genes. </w:t>
      </w:r>
      <w:r w:rsidRPr="00527BAE">
        <w:rPr>
          <w:i/>
          <w:iCs/>
          <w:noProof/>
        </w:rPr>
        <w:t>Planta</w:t>
      </w:r>
      <w:r w:rsidRPr="00527BAE">
        <w:rPr>
          <w:noProof/>
        </w:rPr>
        <w:t>. doi:10.1007/s00425-013-1909-x.</w:t>
      </w:r>
    </w:p>
    <w:p w14:paraId="40CFAF1B"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Culligan, K. M., Robertson, C. E., Foreman, J., Doerner, P., and Britt, A. B. (2006). ATR and ATM play both distinct and additive roles in response to ionizing radiation. </w:t>
      </w:r>
      <w:r w:rsidRPr="00527BAE">
        <w:rPr>
          <w:i/>
          <w:iCs/>
          <w:noProof/>
        </w:rPr>
        <w:t>Plant J.</w:t>
      </w:r>
      <w:r w:rsidRPr="00527BAE">
        <w:rPr>
          <w:noProof/>
        </w:rPr>
        <w:t xml:space="preserve"> 48, 947–961. doi:10.1111/j.1365-313X.2006.02931.x.</w:t>
      </w:r>
    </w:p>
    <w:p w14:paraId="7A7D6FE1"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Fabregat, A., Jupe, S., Matthews, L., Sidiropoulos, K., Gillespie, M., Garapati, P., et al. (2018). The Reactome Pathway Knowledgebase. </w:t>
      </w:r>
      <w:r w:rsidRPr="00527BAE">
        <w:rPr>
          <w:i/>
          <w:iCs/>
          <w:noProof/>
        </w:rPr>
        <w:t>Nucleic Acids Res.</w:t>
      </w:r>
      <w:r w:rsidRPr="00527BAE">
        <w:rPr>
          <w:noProof/>
        </w:rPr>
        <w:t xml:space="preserve"> 46, D649-655. doi:10.1093/nar/gkx1132.</w:t>
      </w:r>
    </w:p>
    <w:p w14:paraId="3939F91C" w14:textId="6E715C9A" w:rsidR="00527BAE" w:rsidRPr="00527BAE" w:rsidRDefault="00527BAE" w:rsidP="00527BAE">
      <w:pPr>
        <w:widowControl w:val="0"/>
        <w:autoSpaceDE w:val="0"/>
        <w:autoSpaceDN w:val="0"/>
        <w:adjustRightInd w:val="0"/>
        <w:ind w:left="480" w:hanging="480"/>
        <w:rPr>
          <w:noProof/>
        </w:rPr>
      </w:pPr>
      <w:r w:rsidRPr="00527BAE">
        <w:rPr>
          <w:noProof/>
        </w:rPr>
        <w:t xml:space="preserve">Fengler, S., Spirer, I., Neef, M., Ecke, M., Nieselt, K., and Hampp, R. (2015). A whole-genome microarray study of </w:t>
      </w:r>
      <w:r w:rsidR="005B2050" w:rsidRPr="005B2050">
        <w:rPr>
          <w:i/>
          <w:iCs/>
          <w:noProof/>
        </w:rPr>
        <w:t xml:space="preserve">Arabidopsis </w:t>
      </w:r>
      <w:r w:rsidRPr="005B2050">
        <w:rPr>
          <w:i/>
          <w:iCs/>
          <w:noProof/>
        </w:rPr>
        <w:t>thaliana</w:t>
      </w:r>
      <w:r w:rsidRPr="00527BAE">
        <w:rPr>
          <w:noProof/>
        </w:rPr>
        <w:t xml:space="preserve"> semisolid callus cultures exposed to microgravity and nonmicrogravity related spaceflight conditions for 5 days on board of Shenzhou 8. </w:t>
      </w:r>
      <w:r w:rsidRPr="00527BAE">
        <w:rPr>
          <w:i/>
          <w:iCs/>
          <w:noProof/>
        </w:rPr>
        <w:t>Biomed Res. Int.</w:t>
      </w:r>
      <w:r w:rsidRPr="00527BAE">
        <w:rPr>
          <w:noProof/>
        </w:rPr>
        <w:t xml:space="preserve"> 2015, 547495. doi:10.1155/2015/547495.</w:t>
      </w:r>
    </w:p>
    <w:p w14:paraId="00167015" w14:textId="0DFA6613" w:rsidR="00527BAE" w:rsidRPr="00527BAE" w:rsidRDefault="00527BAE" w:rsidP="00527BAE">
      <w:pPr>
        <w:widowControl w:val="0"/>
        <w:autoSpaceDE w:val="0"/>
        <w:autoSpaceDN w:val="0"/>
        <w:adjustRightInd w:val="0"/>
        <w:ind w:left="480" w:hanging="480"/>
        <w:rPr>
          <w:noProof/>
        </w:rPr>
      </w:pPr>
      <w:r w:rsidRPr="00527BAE">
        <w:rPr>
          <w:noProof/>
        </w:rPr>
        <w:t xml:space="preserve">Ferl, R. J., Koh, J., Denison, F., and Paul, A. L. (2015). Spaceflight induces specific alterations in the proteomes of </w:t>
      </w:r>
      <w:r w:rsidR="005B2050">
        <w:rPr>
          <w:noProof/>
        </w:rPr>
        <w:t>A</w:t>
      </w:r>
      <w:r w:rsidRPr="00527BAE">
        <w:rPr>
          <w:noProof/>
        </w:rPr>
        <w:t xml:space="preserve">rabidopsis. </w:t>
      </w:r>
      <w:r w:rsidRPr="00527BAE">
        <w:rPr>
          <w:i/>
          <w:iCs/>
          <w:noProof/>
        </w:rPr>
        <w:t>Astrobiology</w:t>
      </w:r>
      <w:r w:rsidRPr="00527BAE">
        <w:rPr>
          <w:noProof/>
        </w:rPr>
        <w:t xml:space="preserve"> 15, 32–56. doi:10.1089/ast.2014.1210.</w:t>
      </w:r>
    </w:p>
    <w:p w14:paraId="77D67EFC"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Franz, M., Rodriguez, H., Lopes, C., Zuberi, K., Montojo, J., Bader, G. D., et al. (2018). GeneMANIA update 2018. </w:t>
      </w:r>
      <w:r w:rsidRPr="00527BAE">
        <w:rPr>
          <w:i/>
          <w:iCs/>
          <w:noProof/>
        </w:rPr>
        <w:t>Nucleic Acids Res.</w:t>
      </w:r>
      <w:r w:rsidRPr="00527BAE">
        <w:rPr>
          <w:noProof/>
        </w:rPr>
        <w:t xml:space="preserve"> 46, W60–W64. doi:10.1093/nar/gky311.</w:t>
      </w:r>
    </w:p>
    <w:p w14:paraId="7AD293F0" w14:textId="5A2AB08E" w:rsidR="00527BAE" w:rsidRPr="00527BAE" w:rsidRDefault="00527BAE" w:rsidP="00527BAE">
      <w:pPr>
        <w:widowControl w:val="0"/>
        <w:autoSpaceDE w:val="0"/>
        <w:autoSpaceDN w:val="0"/>
        <w:adjustRightInd w:val="0"/>
        <w:ind w:left="480" w:hanging="480"/>
        <w:rPr>
          <w:noProof/>
        </w:rPr>
      </w:pPr>
      <w:r w:rsidRPr="00527BAE">
        <w:rPr>
          <w:noProof/>
        </w:rPr>
        <w:t xml:space="preserve">Gagnot, S., Tamby, J. P., Martin-Magniette, M. L., Bitton, F., Taconnat, L., Balzergue, S., et al. (2008). CATdb: A public access to </w:t>
      </w:r>
      <w:r w:rsidR="005B2050">
        <w:rPr>
          <w:noProof/>
        </w:rPr>
        <w:t>A</w:t>
      </w:r>
      <w:r w:rsidR="005B2050" w:rsidRPr="00527BAE">
        <w:rPr>
          <w:noProof/>
        </w:rPr>
        <w:t xml:space="preserve">rabidopsis </w:t>
      </w:r>
      <w:r w:rsidRPr="00527BAE">
        <w:rPr>
          <w:noProof/>
        </w:rPr>
        <w:t xml:space="preserve">transcriptome data from the URGV-CATMA platform. </w:t>
      </w:r>
      <w:r w:rsidRPr="00527BAE">
        <w:rPr>
          <w:i/>
          <w:iCs/>
          <w:noProof/>
        </w:rPr>
        <w:t>Nucleic Acids Res.</w:t>
      </w:r>
      <w:r w:rsidRPr="00527BAE">
        <w:rPr>
          <w:noProof/>
        </w:rPr>
        <w:t xml:space="preserve"> 36, D986–D900. doi:10.1093/nar/gkm757.</w:t>
      </w:r>
    </w:p>
    <w:p w14:paraId="7B82588B" w14:textId="32C426A1" w:rsidR="00527BAE" w:rsidRPr="00527BAE" w:rsidRDefault="00527BAE" w:rsidP="00527BAE">
      <w:pPr>
        <w:widowControl w:val="0"/>
        <w:autoSpaceDE w:val="0"/>
        <w:autoSpaceDN w:val="0"/>
        <w:adjustRightInd w:val="0"/>
        <w:ind w:left="480" w:hanging="480"/>
        <w:rPr>
          <w:noProof/>
        </w:rPr>
      </w:pPr>
      <w:r w:rsidRPr="00527BAE">
        <w:rPr>
          <w:noProof/>
        </w:rPr>
        <w:t xml:space="preserve">Geisler-Lee, J., O’Toole, N., Ammar, R., Provart, N. J., Millar, A. H., and Geisler, M. (2007). A predicted interactome for </w:t>
      </w:r>
      <w:r w:rsidR="005B2050">
        <w:rPr>
          <w:noProof/>
        </w:rPr>
        <w:t>A</w:t>
      </w:r>
      <w:r w:rsidR="005B2050" w:rsidRPr="00527BAE">
        <w:rPr>
          <w:noProof/>
        </w:rPr>
        <w:t>rabidopsis</w:t>
      </w:r>
      <w:r w:rsidRPr="00527BAE">
        <w:rPr>
          <w:noProof/>
        </w:rPr>
        <w:t xml:space="preserve">. </w:t>
      </w:r>
      <w:r w:rsidRPr="00527BAE">
        <w:rPr>
          <w:i/>
          <w:iCs/>
          <w:noProof/>
        </w:rPr>
        <w:t>Plant Physiol.</w:t>
      </w:r>
      <w:r w:rsidRPr="00527BAE">
        <w:rPr>
          <w:noProof/>
        </w:rPr>
        <w:t xml:space="preserve"> 145, 317–329. doi:10.1104/pp.107.103465.</w:t>
      </w:r>
    </w:p>
    <w:p w14:paraId="528BBE29"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Herranz, R., Vandenbrink, J. P., Villacampa, A., Manzano, A., Poehlman, William, L., Feltus, Frank, A., et al. (2019). RNAseq analysis of the response of </w:t>
      </w:r>
      <w:r w:rsidRPr="005B2050">
        <w:rPr>
          <w:i/>
          <w:iCs/>
          <w:noProof/>
        </w:rPr>
        <w:t>Arabidopsis thaliana</w:t>
      </w:r>
      <w:r w:rsidRPr="00527BAE">
        <w:rPr>
          <w:noProof/>
        </w:rPr>
        <w:t xml:space="preserve"> to fractional gravity under blue-light stimulation during spaceflight. </w:t>
      </w:r>
      <w:r w:rsidRPr="00527BAE">
        <w:rPr>
          <w:i/>
          <w:iCs/>
          <w:noProof/>
        </w:rPr>
        <w:t>Front. Plant Sci.</w:t>
      </w:r>
      <w:r w:rsidRPr="00527BAE">
        <w:rPr>
          <w:noProof/>
        </w:rPr>
        <w:t xml:space="preserve"> 26. </w:t>
      </w:r>
      <w:r w:rsidRPr="00527BAE">
        <w:rPr>
          <w:noProof/>
        </w:rPr>
        <w:lastRenderedPageBreak/>
        <w:t>doi:10.3389/fpls.2019.01529.</w:t>
      </w:r>
    </w:p>
    <w:p w14:paraId="560B19DD"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Ho, C. L., Wu, Y., Shen, H. bin, Provart, N. J., and Geisler, M. (2012). A predicted protein interactome for rice. </w:t>
      </w:r>
      <w:r w:rsidRPr="00527BAE">
        <w:rPr>
          <w:i/>
          <w:iCs/>
          <w:noProof/>
        </w:rPr>
        <w:t>Rice</w:t>
      </w:r>
      <w:r w:rsidRPr="00527BAE">
        <w:rPr>
          <w:noProof/>
        </w:rPr>
        <w:t xml:space="preserve"> 5, 15. doi:10.1186/1939-8433-5-15.</w:t>
      </w:r>
    </w:p>
    <w:p w14:paraId="02EC0D81"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Hooper, C. M., Castleden, I. R., Tanz, S. K., Aryamanesh, N., and Millar, A. H. (2017). SUBA4: The interactive data analysis centre for Arabidopsis subcellular protein locations. </w:t>
      </w:r>
      <w:r w:rsidRPr="00527BAE">
        <w:rPr>
          <w:i/>
          <w:iCs/>
          <w:noProof/>
        </w:rPr>
        <w:t>Nucleic Acids Res.</w:t>
      </w:r>
      <w:r w:rsidRPr="00527BAE">
        <w:rPr>
          <w:noProof/>
        </w:rPr>
        <w:t xml:space="preserve"> 45, D1064-1074. doi:10.1093/nar/gkw1041.</w:t>
      </w:r>
    </w:p>
    <w:p w14:paraId="34CEB5A7" w14:textId="2E86B7CA" w:rsidR="00527BAE" w:rsidRPr="00527BAE" w:rsidRDefault="00527BAE" w:rsidP="00527BAE">
      <w:pPr>
        <w:widowControl w:val="0"/>
        <w:autoSpaceDE w:val="0"/>
        <w:autoSpaceDN w:val="0"/>
        <w:adjustRightInd w:val="0"/>
        <w:ind w:left="480" w:hanging="480"/>
        <w:rPr>
          <w:noProof/>
        </w:rPr>
      </w:pPr>
      <w:r w:rsidRPr="00527BAE">
        <w:rPr>
          <w:noProof/>
        </w:rPr>
        <w:t xml:space="preserve">Hruz, T., Laule, O., Szabo, G., Wessendorp, F., Bleuler, S., Oertle, L., et al. (2008). Genevestigator V3: A </w:t>
      </w:r>
      <w:r w:rsidR="005B2050">
        <w:rPr>
          <w:noProof/>
        </w:rPr>
        <w:t>r</w:t>
      </w:r>
      <w:r w:rsidR="005B2050" w:rsidRPr="00527BAE">
        <w:rPr>
          <w:noProof/>
        </w:rPr>
        <w:t xml:space="preserve">eference </w:t>
      </w:r>
      <w:r w:rsidR="005B2050">
        <w:rPr>
          <w:noProof/>
        </w:rPr>
        <w:t>e</w:t>
      </w:r>
      <w:r w:rsidR="005B2050" w:rsidRPr="00527BAE">
        <w:rPr>
          <w:noProof/>
        </w:rPr>
        <w:t xml:space="preserve">xpression </w:t>
      </w:r>
      <w:r w:rsidR="005B2050">
        <w:rPr>
          <w:noProof/>
        </w:rPr>
        <w:t>d</w:t>
      </w:r>
      <w:r w:rsidR="005B2050" w:rsidRPr="00527BAE">
        <w:rPr>
          <w:noProof/>
        </w:rPr>
        <w:t xml:space="preserve">atabase </w:t>
      </w:r>
      <w:r w:rsidRPr="00527BAE">
        <w:rPr>
          <w:noProof/>
        </w:rPr>
        <w:t xml:space="preserve">for the </w:t>
      </w:r>
      <w:r w:rsidR="005B2050">
        <w:rPr>
          <w:noProof/>
        </w:rPr>
        <w:t>m</w:t>
      </w:r>
      <w:r w:rsidR="005B2050" w:rsidRPr="00527BAE">
        <w:rPr>
          <w:noProof/>
        </w:rPr>
        <w:t>eta</w:t>
      </w:r>
      <w:r w:rsidRPr="00527BAE">
        <w:rPr>
          <w:noProof/>
        </w:rPr>
        <w:t>-</w:t>
      </w:r>
      <w:r w:rsidR="005B2050">
        <w:rPr>
          <w:noProof/>
        </w:rPr>
        <w:t>a</w:t>
      </w:r>
      <w:r w:rsidR="005B2050" w:rsidRPr="00527BAE">
        <w:rPr>
          <w:noProof/>
        </w:rPr>
        <w:t xml:space="preserve">nalysis </w:t>
      </w:r>
      <w:r w:rsidRPr="00527BAE">
        <w:rPr>
          <w:noProof/>
        </w:rPr>
        <w:t xml:space="preserve">of </w:t>
      </w:r>
      <w:r w:rsidR="005B2050">
        <w:rPr>
          <w:noProof/>
        </w:rPr>
        <w:t>t</w:t>
      </w:r>
      <w:r w:rsidR="005B2050" w:rsidRPr="00527BAE">
        <w:rPr>
          <w:noProof/>
        </w:rPr>
        <w:t>ranscriptomes</w:t>
      </w:r>
      <w:r w:rsidRPr="00527BAE">
        <w:rPr>
          <w:noProof/>
        </w:rPr>
        <w:t xml:space="preserve">. </w:t>
      </w:r>
      <w:r w:rsidRPr="00527BAE">
        <w:rPr>
          <w:i/>
          <w:iCs/>
          <w:noProof/>
        </w:rPr>
        <w:t>Adv. Bioinformatics</w:t>
      </w:r>
      <w:r w:rsidRPr="00527BAE">
        <w:rPr>
          <w:noProof/>
        </w:rPr>
        <w:t xml:space="preserve"> 2008, 420747. doi:10.1155/2008/420747.</w:t>
      </w:r>
    </w:p>
    <w:p w14:paraId="791B8C74" w14:textId="21CEFC48" w:rsidR="00527BAE" w:rsidRPr="00527BAE" w:rsidRDefault="00527BAE" w:rsidP="00527BAE">
      <w:pPr>
        <w:widowControl w:val="0"/>
        <w:autoSpaceDE w:val="0"/>
        <w:autoSpaceDN w:val="0"/>
        <w:adjustRightInd w:val="0"/>
        <w:ind w:left="480" w:hanging="480"/>
        <w:rPr>
          <w:noProof/>
        </w:rPr>
      </w:pPr>
      <w:r w:rsidRPr="00527BAE">
        <w:rPr>
          <w:noProof/>
        </w:rPr>
        <w:t xml:space="preserve">Jin, J., Chen, H., and Cai, W. (2015). Transcriptome </w:t>
      </w:r>
      <w:r w:rsidR="005B2050">
        <w:rPr>
          <w:noProof/>
        </w:rPr>
        <w:t>a</w:t>
      </w:r>
      <w:r w:rsidR="005B2050" w:rsidRPr="00527BAE">
        <w:rPr>
          <w:noProof/>
        </w:rPr>
        <w:t xml:space="preserve">nalysis </w:t>
      </w:r>
      <w:r w:rsidRPr="00527BAE">
        <w:rPr>
          <w:noProof/>
        </w:rPr>
        <w:t xml:space="preserve">of </w:t>
      </w:r>
      <w:r w:rsidRPr="005B2050">
        <w:rPr>
          <w:i/>
          <w:iCs/>
          <w:noProof/>
        </w:rPr>
        <w:t>Oryza sativa</w:t>
      </w:r>
      <w:r w:rsidRPr="00527BAE">
        <w:rPr>
          <w:noProof/>
        </w:rPr>
        <w:t xml:space="preserve"> </w:t>
      </w:r>
      <w:r w:rsidR="005B2050">
        <w:rPr>
          <w:noProof/>
        </w:rPr>
        <w:t>c</w:t>
      </w:r>
      <w:r w:rsidR="005B2050" w:rsidRPr="00527BAE">
        <w:rPr>
          <w:noProof/>
        </w:rPr>
        <w:t xml:space="preserve">alli </w:t>
      </w:r>
      <w:r w:rsidR="005B2050">
        <w:rPr>
          <w:noProof/>
        </w:rPr>
        <w:t>u</w:t>
      </w:r>
      <w:r w:rsidR="005B2050" w:rsidRPr="00527BAE">
        <w:rPr>
          <w:noProof/>
        </w:rPr>
        <w:t xml:space="preserve">nder </w:t>
      </w:r>
      <w:r w:rsidR="005B2050">
        <w:rPr>
          <w:noProof/>
        </w:rPr>
        <w:t>m</w:t>
      </w:r>
      <w:r w:rsidR="005B2050" w:rsidRPr="00527BAE">
        <w:rPr>
          <w:noProof/>
        </w:rPr>
        <w:t>icrogravity</w:t>
      </w:r>
      <w:r w:rsidRPr="00527BAE">
        <w:rPr>
          <w:noProof/>
        </w:rPr>
        <w:t xml:space="preserve">. </w:t>
      </w:r>
      <w:r w:rsidRPr="00527BAE">
        <w:rPr>
          <w:i/>
          <w:iCs/>
          <w:noProof/>
        </w:rPr>
        <w:t>Microgravity Sci. Technol.</w:t>
      </w:r>
      <w:r w:rsidRPr="00527BAE">
        <w:rPr>
          <w:noProof/>
        </w:rPr>
        <w:t xml:space="preserve"> 27, 437–453. doi:10.1007/s12217-015-9432-2.</w:t>
      </w:r>
    </w:p>
    <w:p w14:paraId="30E8253E"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Johnson, C. M., Subramanian, A., Pattathil, S., Correll, M. J., and Kiss, J. Z. (2017). Comparative transcriptomics indicate changes in cell wall organization and stress response in seedlings during spaceflight. </w:t>
      </w:r>
      <w:r w:rsidRPr="00527BAE">
        <w:rPr>
          <w:i/>
          <w:iCs/>
          <w:noProof/>
        </w:rPr>
        <w:t>Am. J. Bot.</w:t>
      </w:r>
      <w:r w:rsidRPr="00527BAE">
        <w:rPr>
          <w:noProof/>
        </w:rPr>
        <w:t xml:space="preserve"> 104, 1219–1231. doi:10.3732/ajb.1700079.</w:t>
      </w:r>
    </w:p>
    <w:p w14:paraId="54E992F7"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Kamal, K. Y., van Loon, J. J. W. A., Medina, F. J., and Herranz, R. (2019). Differential transcriptional profile through cell cycle progression in Arabidopsis cultures under simulated microgravity. </w:t>
      </w:r>
      <w:r w:rsidRPr="00527BAE">
        <w:rPr>
          <w:i/>
          <w:iCs/>
          <w:noProof/>
        </w:rPr>
        <w:t>Genomics</w:t>
      </w:r>
      <w:r w:rsidRPr="00527BAE">
        <w:rPr>
          <w:noProof/>
        </w:rPr>
        <w:t xml:space="preserve"> S0888-7543, 30536. doi:10.1016/j.ygeno.2019.01.007.</w:t>
      </w:r>
    </w:p>
    <w:p w14:paraId="1FB7E699"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Kersey, P. J., Allen, J. E., Allot, A., Barba, M., Boddu, S., Bolt, B. J., et al. (2018). Ensembl Genomes 2018: An integrated omics infrastructure for non-vertebrate species. </w:t>
      </w:r>
      <w:r w:rsidRPr="00527BAE">
        <w:rPr>
          <w:i/>
          <w:iCs/>
          <w:noProof/>
        </w:rPr>
        <w:t>Nucleic Acids Res.</w:t>
      </w:r>
      <w:r w:rsidRPr="00527BAE">
        <w:rPr>
          <w:noProof/>
        </w:rPr>
        <w:t xml:space="preserve"> 46, D802–D808. doi:10.1093/nar/gkx1011.</w:t>
      </w:r>
    </w:p>
    <w:p w14:paraId="6D163F64"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Krishnakumar, V., Contrino, S., Cheng, C.-Y., Belyaeva, I., Ferlanti, E. S., Miller, J. R., et al. (2016). ThaleMine: A warehouse for Arabidopsis data integration and discovery. </w:t>
      </w:r>
      <w:r w:rsidRPr="00527BAE">
        <w:rPr>
          <w:i/>
          <w:iCs/>
          <w:noProof/>
        </w:rPr>
        <w:t>Plant Cell Physiol.</w:t>
      </w:r>
      <w:r w:rsidRPr="00527BAE">
        <w:rPr>
          <w:noProof/>
        </w:rPr>
        <w:t xml:space="preserve"> 58, 200. doi:10.1093/pcp/pcw200.</w:t>
      </w:r>
    </w:p>
    <w:p w14:paraId="098AC7EF"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Krishnamurthy, A., Ferl, R. J., and Paul, A. L. (2018). Comparing RNA-Seq and microarray gene expression data in two zones of the Arabidopsis root apex relevant to spaceflight. </w:t>
      </w:r>
      <w:r w:rsidRPr="00527BAE">
        <w:rPr>
          <w:i/>
          <w:iCs/>
          <w:noProof/>
        </w:rPr>
        <w:t>Appl. Plant Sci.</w:t>
      </w:r>
      <w:r w:rsidRPr="00527BAE">
        <w:rPr>
          <w:noProof/>
        </w:rPr>
        <w:t xml:space="preserve"> 6, e01197. doi:10.1002/aps3.1197.</w:t>
      </w:r>
    </w:p>
    <w:p w14:paraId="2C24BED1"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Kruse, C. P. S., Basu, P., Luesse, D. R., and Wyatt, S. E. (2017). Transcriptome and proteome responses in RNAlater preserved tissue of </w:t>
      </w:r>
      <w:r w:rsidRPr="005B2050">
        <w:rPr>
          <w:i/>
          <w:iCs/>
          <w:noProof/>
        </w:rPr>
        <w:t>Arabidopsis thaliana</w:t>
      </w:r>
      <w:r w:rsidRPr="00527BAE">
        <w:rPr>
          <w:noProof/>
        </w:rPr>
        <w:t xml:space="preserve">. </w:t>
      </w:r>
      <w:r w:rsidRPr="00527BAE">
        <w:rPr>
          <w:i/>
          <w:iCs/>
          <w:noProof/>
        </w:rPr>
        <w:t>PLoS One</w:t>
      </w:r>
      <w:r w:rsidRPr="00527BAE">
        <w:rPr>
          <w:noProof/>
        </w:rPr>
        <w:t xml:space="preserve"> 12, e0175943. doi:10.1371/journal.pone.0175943.</w:t>
      </w:r>
    </w:p>
    <w:p w14:paraId="18B92B19" w14:textId="1CB11699" w:rsidR="00527BAE" w:rsidRPr="00527BAE" w:rsidRDefault="00527BAE" w:rsidP="00527BAE">
      <w:pPr>
        <w:widowControl w:val="0"/>
        <w:autoSpaceDE w:val="0"/>
        <w:autoSpaceDN w:val="0"/>
        <w:adjustRightInd w:val="0"/>
        <w:ind w:left="480" w:hanging="480"/>
        <w:rPr>
          <w:noProof/>
        </w:rPr>
      </w:pPr>
      <w:r w:rsidRPr="00527BAE">
        <w:rPr>
          <w:noProof/>
        </w:rPr>
        <w:t xml:space="preserve">Kwon, T., Alan Sparks, J., Nakashima, J., Allen, S. N., Tang, Y., and Blancaflor, E. B. (2015). Transcriptional response of </w:t>
      </w:r>
      <w:r w:rsidR="005B2050">
        <w:rPr>
          <w:noProof/>
        </w:rPr>
        <w:t>A</w:t>
      </w:r>
      <w:r w:rsidR="005B2050" w:rsidRPr="00527BAE">
        <w:rPr>
          <w:noProof/>
        </w:rPr>
        <w:t xml:space="preserve">rabidopsis </w:t>
      </w:r>
      <w:r w:rsidRPr="00527BAE">
        <w:rPr>
          <w:noProof/>
        </w:rPr>
        <w:t xml:space="preserve">seedlings during spaceflight reveals peroxidase and cell wall remodeling genes associated with root hair development. </w:t>
      </w:r>
      <w:r w:rsidRPr="00527BAE">
        <w:rPr>
          <w:i/>
          <w:iCs/>
          <w:noProof/>
        </w:rPr>
        <w:t>Am. J. Bot.</w:t>
      </w:r>
      <w:r w:rsidRPr="00527BAE">
        <w:rPr>
          <w:noProof/>
        </w:rPr>
        <w:t xml:space="preserve"> 102, 21–35. doi:10.3732/ajb.1400458.</w:t>
      </w:r>
    </w:p>
    <w:p w14:paraId="12B72963"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Lamesch, P., Berardini, T. Z., Li, D., Swarbreck, D., Wilks, C., Sasidharan, R., et al. (2012). The Arabidopsis Information Resource (TAIR): Improved gene annotation and new tools. </w:t>
      </w:r>
      <w:r w:rsidRPr="00527BAE">
        <w:rPr>
          <w:i/>
          <w:iCs/>
          <w:noProof/>
        </w:rPr>
        <w:t>Nucleic Acids Res.</w:t>
      </w:r>
      <w:r w:rsidRPr="00527BAE">
        <w:rPr>
          <w:noProof/>
        </w:rPr>
        <w:t xml:space="preserve"> 40, D1202–D1210. doi:10.1093/nar/gkr1090.</w:t>
      </w:r>
    </w:p>
    <w:p w14:paraId="17BB8380"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Manzano, A. I., van Loon, J. J. W. A., Christianen, P. C. M., Gonzalez-Rubio, J. M., Medina, F. J., and Herranz, R. (2012). Gravitational and magnetic field variations synergize to cause subtle variations in the global transcriptional state of Arabidopsis in vitro callus cultures. </w:t>
      </w:r>
      <w:r w:rsidRPr="00527BAE">
        <w:rPr>
          <w:i/>
          <w:iCs/>
          <w:noProof/>
        </w:rPr>
        <w:t>BMC Genomics</w:t>
      </w:r>
      <w:r w:rsidRPr="00527BAE">
        <w:rPr>
          <w:noProof/>
        </w:rPr>
        <w:t xml:space="preserve"> 13, 105. doi:10.1186/1471-2164-13-105.</w:t>
      </w:r>
    </w:p>
    <w:p w14:paraId="0FB07263"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Missirian, V., Conklin, P. A., Culligan, K. M., Huefner, N. D., and Britt, A. B. (2014). High atomic weight, high-energy radiation (HZE) induces transcriptional responses shared with conventional stresses in addition to a core “DSB” response specific to clastogenic treatments. </w:t>
      </w:r>
      <w:r w:rsidRPr="00527BAE">
        <w:rPr>
          <w:i/>
          <w:iCs/>
          <w:noProof/>
        </w:rPr>
        <w:t>Front. Plant Sci.</w:t>
      </w:r>
      <w:r w:rsidRPr="00527BAE">
        <w:rPr>
          <w:noProof/>
        </w:rPr>
        <w:t xml:space="preserve"> 5, 364. doi:10.3389/fpls.2014.00364.</w:t>
      </w:r>
    </w:p>
    <w:p w14:paraId="7F20EBDF" w14:textId="7B6404C5" w:rsidR="00527BAE" w:rsidRPr="00527BAE" w:rsidRDefault="00527BAE" w:rsidP="00527BAE">
      <w:pPr>
        <w:widowControl w:val="0"/>
        <w:autoSpaceDE w:val="0"/>
        <w:autoSpaceDN w:val="0"/>
        <w:adjustRightInd w:val="0"/>
        <w:ind w:left="480" w:hanging="480"/>
        <w:rPr>
          <w:noProof/>
        </w:rPr>
      </w:pPr>
      <w:r w:rsidRPr="00527BAE">
        <w:rPr>
          <w:noProof/>
        </w:rPr>
        <w:t xml:space="preserve">Obayashi, T., Aoki, Y., Tadaka, S., Kagaya, Y., and Kinoshita, K. (2018). ATTED-II in 2018: A Plant </w:t>
      </w:r>
      <w:r w:rsidR="005B2050">
        <w:rPr>
          <w:noProof/>
        </w:rPr>
        <w:t>c</w:t>
      </w:r>
      <w:r w:rsidR="005B2050" w:rsidRPr="00527BAE">
        <w:rPr>
          <w:noProof/>
        </w:rPr>
        <w:t xml:space="preserve">oexpression </w:t>
      </w:r>
      <w:r w:rsidR="005B2050">
        <w:rPr>
          <w:noProof/>
        </w:rPr>
        <w:t>d</w:t>
      </w:r>
      <w:r w:rsidR="005B2050" w:rsidRPr="00527BAE">
        <w:rPr>
          <w:noProof/>
        </w:rPr>
        <w:t xml:space="preserve">atabase </w:t>
      </w:r>
      <w:r w:rsidR="005B2050">
        <w:rPr>
          <w:noProof/>
        </w:rPr>
        <w:t>b</w:t>
      </w:r>
      <w:r w:rsidR="005B2050" w:rsidRPr="00527BAE">
        <w:rPr>
          <w:noProof/>
        </w:rPr>
        <w:t xml:space="preserve">ased </w:t>
      </w:r>
      <w:r w:rsidRPr="00527BAE">
        <w:rPr>
          <w:noProof/>
        </w:rPr>
        <w:t xml:space="preserve">on </w:t>
      </w:r>
      <w:r w:rsidR="005B2050">
        <w:rPr>
          <w:noProof/>
        </w:rPr>
        <w:t>i</w:t>
      </w:r>
      <w:r w:rsidR="005B2050" w:rsidRPr="00527BAE">
        <w:rPr>
          <w:noProof/>
        </w:rPr>
        <w:t xml:space="preserve">nvestigation </w:t>
      </w:r>
      <w:r w:rsidRPr="00527BAE">
        <w:rPr>
          <w:noProof/>
        </w:rPr>
        <w:t xml:space="preserve">of the </w:t>
      </w:r>
      <w:r w:rsidR="005B2050">
        <w:rPr>
          <w:noProof/>
        </w:rPr>
        <w:t>s</w:t>
      </w:r>
      <w:r w:rsidR="005B2050" w:rsidRPr="00527BAE">
        <w:rPr>
          <w:noProof/>
        </w:rPr>
        <w:t xml:space="preserve">tatistical </w:t>
      </w:r>
      <w:r w:rsidR="005B2050">
        <w:rPr>
          <w:noProof/>
        </w:rPr>
        <w:t>p</w:t>
      </w:r>
      <w:r w:rsidR="005B2050" w:rsidRPr="00527BAE">
        <w:rPr>
          <w:noProof/>
        </w:rPr>
        <w:t xml:space="preserve">roperty </w:t>
      </w:r>
      <w:r w:rsidRPr="00527BAE">
        <w:rPr>
          <w:noProof/>
        </w:rPr>
        <w:t xml:space="preserve">of the </w:t>
      </w:r>
      <w:r w:rsidR="005B2050">
        <w:rPr>
          <w:noProof/>
        </w:rPr>
        <w:t>m</w:t>
      </w:r>
      <w:r w:rsidR="005B2050" w:rsidRPr="00527BAE">
        <w:rPr>
          <w:noProof/>
        </w:rPr>
        <w:t xml:space="preserve">utual </w:t>
      </w:r>
      <w:r w:rsidR="005B2050">
        <w:rPr>
          <w:noProof/>
        </w:rPr>
        <w:t>r</w:t>
      </w:r>
      <w:r w:rsidR="005B2050" w:rsidRPr="00527BAE">
        <w:rPr>
          <w:noProof/>
        </w:rPr>
        <w:t xml:space="preserve">ank </w:t>
      </w:r>
      <w:r w:rsidR="005B2050">
        <w:rPr>
          <w:noProof/>
        </w:rPr>
        <w:t>i</w:t>
      </w:r>
      <w:r w:rsidR="005B2050" w:rsidRPr="00527BAE">
        <w:rPr>
          <w:noProof/>
        </w:rPr>
        <w:t>ndex</w:t>
      </w:r>
      <w:r w:rsidRPr="00527BAE">
        <w:rPr>
          <w:noProof/>
        </w:rPr>
        <w:t xml:space="preserve">. </w:t>
      </w:r>
      <w:r w:rsidRPr="00527BAE">
        <w:rPr>
          <w:i/>
          <w:iCs/>
          <w:noProof/>
        </w:rPr>
        <w:t>Plant Cell Physiol.</w:t>
      </w:r>
      <w:r w:rsidRPr="00527BAE">
        <w:rPr>
          <w:noProof/>
        </w:rPr>
        <w:t xml:space="preserve"> 59, e3. doi:10.1093/pcp/pcx191.</w:t>
      </w:r>
    </w:p>
    <w:p w14:paraId="2D05B4C9"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Palaniswamy, S. K., James, S., Sun, H., Lamb, R. S., Davuluri, R. V., and Grotewold, E. (2006). AGRIS and AtRegNet. A platform to link cis-regulatory elements and transcription factors into </w:t>
      </w:r>
      <w:r w:rsidRPr="00527BAE">
        <w:rPr>
          <w:noProof/>
        </w:rPr>
        <w:lastRenderedPageBreak/>
        <w:t xml:space="preserve">regulatory networks. </w:t>
      </w:r>
      <w:r w:rsidRPr="00527BAE">
        <w:rPr>
          <w:i/>
          <w:iCs/>
          <w:noProof/>
        </w:rPr>
        <w:t>Plant Physiol.</w:t>
      </w:r>
      <w:r w:rsidRPr="00527BAE">
        <w:rPr>
          <w:noProof/>
        </w:rPr>
        <w:t xml:space="preserve"> 140, 818–829. doi:10.1104/pp.105.072280.</w:t>
      </w:r>
    </w:p>
    <w:p w14:paraId="4EF556B7"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Papatheodorou, I., Fonseca, N. A., Keays, M., Tang, Y. A., Barrera, E., Bazant, W., et al. (2018). Expression Atlas: Gene and protein expression across multiple studies and organisms. </w:t>
      </w:r>
      <w:r w:rsidRPr="00527BAE">
        <w:rPr>
          <w:i/>
          <w:iCs/>
          <w:noProof/>
        </w:rPr>
        <w:t>Nucleic Acids Res.</w:t>
      </w:r>
      <w:r w:rsidRPr="00527BAE">
        <w:rPr>
          <w:noProof/>
        </w:rPr>
        <w:t xml:space="preserve"> 46, D246–D251. doi:10.1093/nar/gkx1158.</w:t>
      </w:r>
    </w:p>
    <w:p w14:paraId="350C8033"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Paul, A. L., Sng, N. J., Zupanska, A. K., Krishnamurthy, A., Schultz, E. R., and Ferl, R. J. (2017). Genetic dissection of the Arabidopsis spaceflight transcriptome: Are some responses dispensable for the physiological adaptation of plants to spaceflight? </w:t>
      </w:r>
      <w:r w:rsidRPr="00527BAE">
        <w:rPr>
          <w:i/>
          <w:iCs/>
          <w:noProof/>
        </w:rPr>
        <w:t>PLoS One</w:t>
      </w:r>
      <w:r w:rsidRPr="00527BAE">
        <w:rPr>
          <w:noProof/>
        </w:rPr>
        <w:t xml:space="preserve"> 12, e0180186. doi:10.1371/journal.pone.0180186.</w:t>
      </w:r>
    </w:p>
    <w:p w14:paraId="3B9EF693"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Paul, A. L., Zupanska, A. K., Ostrow, D. T., Zhang, Y., Sun, Y., Li, J. L., et al. (2012). Spaceflight transcriptomes: Unique responses to a novel environment. </w:t>
      </w:r>
      <w:r w:rsidRPr="00527BAE">
        <w:rPr>
          <w:i/>
          <w:iCs/>
          <w:noProof/>
        </w:rPr>
        <w:t>Astrobiology</w:t>
      </w:r>
      <w:r w:rsidRPr="00527BAE">
        <w:rPr>
          <w:noProof/>
        </w:rPr>
        <w:t xml:space="preserve"> 12, 40–56. doi:10.1089/ast.2011.0696.</w:t>
      </w:r>
    </w:p>
    <w:p w14:paraId="5C663B45"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Paul, A. L., Zupanska, A. K., Schultz, E. R., and Ferl, R. J. (2013). Organ-specific remodeling of the Arabidopsis transcriptome in response to spaceflight. </w:t>
      </w:r>
      <w:r w:rsidRPr="00527BAE">
        <w:rPr>
          <w:i/>
          <w:iCs/>
          <w:noProof/>
        </w:rPr>
        <w:t>BMC Plant Biol.</w:t>
      </w:r>
      <w:r w:rsidRPr="00527BAE">
        <w:rPr>
          <w:noProof/>
        </w:rPr>
        <w:t xml:space="preserve"> 13, 112. doi:10.1186/1471-2229-13-112.</w:t>
      </w:r>
    </w:p>
    <w:p w14:paraId="58FCA60C"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Salmi, M. L., and Roux, S. J. (2008). Gene expression changes induced by space flight in single-cells of the fern </w:t>
      </w:r>
      <w:r w:rsidRPr="005B2050">
        <w:rPr>
          <w:i/>
          <w:iCs/>
          <w:noProof/>
        </w:rPr>
        <w:t>Ceratopteris richardii</w:t>
      </w:r>
      <w:r w:rsidRPr="00527BAE">
        <w:rPr>
          <w:noProof/>
        </w:rPr>
        <w:t xml:space="preserve">. </w:t>
      </w:r>
      <w:r w:rsidRPr="00527BAE">
        <w:rPr>
          <w:i/>
          <w:iCs/>
          <w:noProof/>
        </w:rPr>
        <w:t>Planta</w:t>
      </w:r>
      <w:r w:rsidRPr="00527BAE">
        <w:rPr>
          <w:noProof/>
        </w:rPr>
        <w:t xml:space="preserve"> 229, 151–159. doi:10.1007/s00425-008-0817-y.</w:t>
      </w:r>
    </w:p>
    <w:p w14:paraId="6F7B0E59"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Sugimoto, M., Oono, Y., Gusev, O., Matsumoto, T., Yazawa, T., Levinskikh, M. A., et al. (2014). Genome-wide expression analysis of reactive oxygen species gene network in Mizuna plants grown in long-term spaceflight. </w:t>
      </w:r>
      <w:r w:rsidRPr="00527BAE">
        <w:rPr>
          <w:i/>
          <w:iCs/>
          <w:noProof/>
        </w:rPr>
        <w:t>BMC Plant Biol.</w:t>
      </w:r>
      <w:r w:rsidRPr="00527BAE">
        <w:rPr>
          <w:noProof/>
        </w:rPr>
        <w:t xml:space="preserve"> 14, 4. doi:10.1186/1471-2229-14-4.</w:t>
      </w:r>
    </w:p>
    <w:p w14:paraId="5EE24D10"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Sullivan, A., Purohit, P. K., Freese, N. H., Pasha, A., Esteban, E., Waese, J., et al. (2019). An ‘ eFP ‐Seq Browser’ for visualizing and exploring RNA sequencing data. </w:t>
      </w:r>
      <w:r w:rsidRPr="00527BAE">
        <w:rPr>
          <w:i/>
          <w:iCs/>
          <w:noProof/>
        </w:rPr>
        <w:t>Plant J.</w:t>
      </w:r>
      <w:r w:rsidRPr="00527BAE">
        <w:rPr>
          <w:noProof/>
        </w:rPr>
        <w:t xml:space="preserve"> Epub ahead. doi:10.1111/tpj.14468.</w:t>
      </w:r>
    </w:p>
    <w:p w14:paraId="2AB34BD6"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Szklarczyk, D., Gable, A. L., Lyon, D., Junge, A., Wyder, S., Huerta-Cepas, J., et al. (2019). STRING v11: protein–protein association networks with increased coverage, supporting functional discovery in genome-wide experimental datasets. </w:t>
      </w:r>
      <w:r w:rsidRPr="00527BAE">
        <w:rPr>
          <w:i/>
          <w:iCs/>
          <w:noProof/>
        </w:rPr>
        <w:t>Nucleic Acids Res.</w:t>
      </w:r>
      <w:r w:rsidRPr="00527BAE">
        <w:rPr>
          <w:noProof/>
        </w:rPr>
        <w:t xml:space="preserve"> 47, D607–D613. doi:10.1093/nar/gky1131.</w:t>
      </w:r>
    </w:p>
    <w:p w14:paraId="3B710F3C"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Toufighi, K., Brady, S. M., Austin, R., Ly, E., and Provart, N. J. (2005). The botany array resource: e-Northerns, expression angling, and promoter analyses. </w:t>
      </w:r>
      <w:r w:rsidRPr="00527BAE">
        <w:rPr>
          <w:i/>
          <w:iCs/>
          <w:noProof/>
        </w:rPr>
        <w:t>Plant J.</w:t>
      </w:r>
      <w:r w:rsidRPr="00527BAE">
        <w:rPr>
          <w:noProof/>
        </w:rPr>
        <w:t xml:space="preserve"> 43, 153–163. doi:10.1111/j.1365-313X.2005.02437.x.</w:t>
      </w:r>
    </w:p>
    <w:p w14:paraId="7B623700"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Vandenbrink, J. P., Herranz, R., Poehlman, William, L., Feltus, Frank, A., Ciska, M., Medina, Francisco, J., et al. (2019). RNA‐seq analyses of </w:t>
      </w:r>
      <w:r w:rsidRPr="005B2050">
        <w:rPr>
          <w:i/>
          <w:iCs/>
          <w:noProof/>
        </w:rPr>
        <w:t>Arabidopsis thaliana</w:t>
      </w:r>
      <w:r w:rsidRPr="00527BAE">
        <w:rPr>
          <w:noProof/>
        </w:rPr>
        <w:t xml:space="preserve"> seedlings after exposure to blue‐light phototropic stimuli in microgravity. </w:t>
      </w:r>
      <w:r w:rsidRPr="00527BAE">
        <w:rPr>
          <w:i/>
          <w:iCs/>
          <w:noProof/>
        </w:rPr>
        <w:t>Am. J. Bot.</w:t>
      </w:r>
      <w:r w:rsidRPr="00527BAE">
        <w:rPr>
          <w:noProof/>
        </w:rPr>
        <w:t xml:space="preserve"> 106, 1466–1476.</w:t>
      </w:r>
    </w:p>
    <w:p w14:paraId="01E502C6"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Waese, J., Fan, J., Pasha, A., Yu, H., Fucile, G., Shi, R., et al. (2017). ePlant: Visualizing and exploring multiple levels of data for hypothesis generation in plant biology. </w:t>
      </w:r>
      <w:r w:rsidRPr="00527BAE">
        <w:rPr>
          <w:i/>
          <w:iCs/>
          <w:noProof/>
        </w:rPr>
        <w:t>Plant Cell</w:t>
      </w:r>
      <w:r w:rsidRPr="00527BAE">
        <w:rPr>
          <w:noProof/>
        </w:rPr>
        <w:t xml:space="preserve"> 29, 1806–1821. doi:10.1105/tpc.17.00073.</w:t>
      </w:r>
    </w:p>
    <w:p w14:paraId="49A81E80"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Willems, P., Mhamdi, A., Stael, S., Storme, V., Kerchev, P., Noctor, G., et al. (2016). The ROS wheel: Refining ROS transcriptional footprints. </w:t>
      </w:r>
      <w:r w:rsidRPr="00527BAE">
        <w:rPr>
          <w:i/>
          <w:iCs/>
          <w:noProof/>
        </w:rPr>
        <w:t>Plant Physiol.</w:t>
      </w:r>
      <w:r w:rsidRPr="00527BAE">
        <w:rPr>
          <w:noProof/>
        </w:rPr>
        <w:t xml:space="preserve"> 17, 1720–1733. doi:10.1104/pp.16.00420.</w:t>
      </w:r>
    </w:p>
    <w:p w14:paraId="51A6F3A9"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Zhou, M., Sng, N. J., Lefrois, C. E., Paul, A. L., and Ferl, R. J. (2019). Epigenomics in an extraterrestrial environment: Organ-specific alteration of DNA methylation and gene expression elicited by spaceflight in </w:t>
      </w:r>
      <w:r w:rsidRPr="005B2050">
        <w:rPr>
          <w:i/>
          <w:iCs/>
          <w:noProof/>
        </w:rPr>
        <w:t>Arabidopsis thaliana</w:t>
      </w:r>
      <w:r w:rsidRPr="00527BAE">
        <w:rPr>
          <w:noProof/>
        </w:rPr>
        <w:t xml:space="preserve">. </w:t>
      </w:r>
      <w:r w:rsidRPr="00527BAE">
        <w:rPr>
          <w:i/>
          <w:iCs/>
          <w:noProof/>
        </w:rPr>
        <w:t>BMC Genomics</w:t>
      </w:r>
      <w:r w:rsidRPr="00527BAE">
        <w:rPr>
          <w:noProof/>
        </w:rPr>
        <w:t xml:space="preserve"> 20, 205. doi:10.1186/s12864-019-5554-z.</w:t>
      </w:r>
    </w:p>
    <w:p w14:paraId="0CDE7F1A" w14:textId="77777777" w:rsidR="00527BAE" w:rsidRPr="00527BAE" w:rsidRDefault="00527BAE" w:rsidP="00527BAE">
      <w:pPr>
        <w:widowControl w:val="0"/>
        <w:autoSpaceDE w:val="0"/>
        <w:autoSpaceDN w:val="0"/>
        <w:adjustRightInd w:val="0"/>
        <w:ind w:left="480" w:hanging="480"/>
        <w:rPr>
          <w:noProof/>
        </w:rPr>
      </w:pPr>
      <w:r w:rsidRPr="00527BAE">
        <w:rPr>
          <w:noProof/>
        </w:rPr>
        <w:t xml:space="preserve">Zupanska, A. K., Lefrois, C., Ferl, R. J., and Paul, A. L. (2019). HSFA2 functions in the physiological adaptation of undifferentiated plant cells to spaceflight. </w:t>
      </w:r>
      <w:r w:rsidRPr="00527BAE">
        <w:rPr>
          <w:i/>
          <w:iCs/>
          <w:noProof/>
        </w:rPr>
        <w:t>Int. J. Mol. Sci.</w:t>
      </w:r>
      <w:r w:rsidRPr="00527BAE">
        <w:rPr>
          <w:noProof/>
        </w:rPr>
        <w:t xml:space="preserve"> 20, E390. doi:10.3390/ijms20020390.</w:t>
      </w:r>
    </w:p>
    <w:p w14:paraId="4EBEC0B7" w14:textId="598EED1B" w:rsidR="00527BAE" w:rsidRPr="00527BAE" w:rsidRDefault="00527BAE" w:rsidP="00527BAE">
      <w:pPr>
        <w:widowControl w:val="0"/>
        <w:autoSpaceDE w:val="0"/>
        <w:autoSpaceDN w:val="0"/>
        <w:adjustRightInd w:val="0"/>
        <w:ind w:left="480" w:hanging="480"/>
        <w:rPr>
          <w:noProof/>
        </w:rPr>
      </w:pPr>
      <w:r w:rsidRPr="00527BAE">
        <w:rPr>
          <w:noProof/>
        </w:rPr>
        <w:t xml:space="preserve">Zupanska, A. K., Schultz, E. R., Yao, J., Sng, N. J., Zhou, M., Callaham, J. B., et al. (2017). ARG1 </w:t>
      </w:r>
      <w:r w:rsidR="005B2050">
        <w:rPr>
          <w:noProof/>
        </w:rPr>
        <w:t>f</w:t>
      </w:r>
      <w:r w:rsidR="005B2050" w:rsidRPr="00527BAE">
        <w:rPr>
          <w:noProof/>
        </w:rPr>
        <w:t xml:space="preserve">unctions </w:t>
      </w:r>
      <w:r w:rsidRPr="00527BAE">
        <w:rPr>
          <w:noProof/>
        </w:rPr>
        <w:t xml:space="preserve">in the </w:t>
      </w:r>
      <w:r w:rsidR="005B2050">
        <w:rPr>
          <w:noProof/>
        </w:rPr>
        <w:t>p</w:t>
      </w:r>
      <w:r w:rsidR="005B2050" w:rsidRPr="00527BAE">
        <w:rPr>
          <w:noProof/>
        </w:rPr>
        <w:t xml:space="preserve">hysiological </w:t>
      </w:r>
      <w:r w:rsidR="005B2050">
        <w:rPr>
          <w:noProof/>
        </w:rPr>
        <w:t>a</w:t>
      </w:r>
      <w:r w:rsidR="005B2050" w:rsidRPr="00527BAE">
        <w:rPr>
          <w:noProof/>
        </w:rPr>
        <w:t xml:space="preserve">daptation </w:t>
      </w:r>
      <w:r w:rsidRPr="00527BAE">
        <w:rPr>
          <w:noProof/>
        </w:rPr>
        <w:t xml:space="preserve">of </w:t>
      </w:r>
      <w:r w:rsidR="005B2050">
        <w:rPr>
          <w:noProof/>
        </w:rPr>
        <w:t>u</w:t>
      </w:r>
      <w:r w:rsidR="005B2050" w:rsidRPr="00527BAE">
        <w:rPr>
          <w:noProof/>
        </w:rPr>
        <w:t xml:space="preserve">ndifferentiated </w:t>
      </w:r>
      <w:r w:rsidR="005B2050">
        <w:rPr>
          <w:noProof/>
        </w:rPr>
        <w:t>p</w:t>
      </w:r>
      <w:r w:rsidR="005B2050" w:rsidRPr="00527BAE">
        <w:rPr>
          <w:noProof/>
        </w:rPr>
        <w:t xml:space="preserve">lant </w:t>
      </w:r>
      <w:r w:rsidR="005B2050">
        <w:rPr>
          <w:noProof/>
        </w:rPr>
        <w:t>c</w:t>
      </w:r>
      <w:r w:rsidR="005B2050" w:rsidRPr="00527BAE">
        <w:rPr>
          <w:noProof/>
        </w:rPr>
        <w:t xml:space="preserve">ells </w:t>
      </w:r>
      <w:r w:rsidRPr="00527BAE">
        <w:rPr>
          <w:noProof/>
        </w:rPr>
        <w:t xml:space="preserve">to </w:t>
      </w:r>
      <w:r w:rsidR="005B2050">
        <w:rPr>
          <w:noProof/>
        </w:rPr>
        <w:t>s</w:t>
      </w:r>
      <w:r w:rsidR="005B2050" w:rsidRPr="00527BAE">
        <w:rPr>
          <w:noProof/>
        </w:rPr>
        <w:t>paceflight</w:t>
      </w:r>
      <w:r w:rsidRPr="00527BAE">
        <w:rPr>
          <w:noProof/>
        </w:rPr>
        <w:t xml:space="preserve">. </w:t>
      </w:r>
      <w:r w:rsidRPr="00527BAE">
        <w:rPr>
          <w:i/>
          <w:iCs/>
          <w:noProof/>
        </w:rPr>
        <w:t>Astrobiology</w:t>
      </w:r>
      <w:r w:rsidRPr="00527BAE">
        <w:rPr>
          <w:noProof/>
        </w:rPr>
        <w:t xml:space="preserve"> 17, 1077–1111. doi:10.1089/ast.2016.1538.</w:t>
      </w:r>
    </w:p>
    <w:p w14:paraId="3E3F539E" w14:textId="7E73A1BB" w:rsidR="00DF5B76" w:rsidRPr="001549D3" w:rsidRDefault="00DF5B76" w:rsidP="005B2050">
      <w:pPr>
        <w:widowControl w:val="0"/>
        <w:autoSpaceDE w:val="0"/>
        <w:autoSpaceDN w:val="0"/>
        <w:adjustRightInd w:val="0"/>
        <w:ind w:left="480" w:hanging="480"/>
      </w:pPr>
      <w:r>
        <w:fldChar w:fldCharType="end"/>
      </w:r>
    </w:p>
    <w:sectPr w:rsidR="00DF5B76" w:rsidRPr="001549D3" w:rsidSect="00A139DD">
      <w:type w:val="continuous"/>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F4BC" w14:textId="77777777" w:rsidR="00200C4E" w:rsidRDefault="00200C4E" w:rsidP="00117666">
      <w:r>
        <w:separator/>
      </w:r>
    </w:p>
  </w:endnote>
  <w:endnote w:type="continuationSeparator" w:id="0">
    <w:p w14:paraId="53255F43" w14:textId="77777777" w:rsidR="00200C4E" w:rsidRDefault="00200C4E"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4D"/>
    <w:family w:val="roman"/>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7816C8" w:rsidRPr="00577C4C" w:rsidRDefault="007816C8">
    <w:pPr>
      <w:rPr>
        <w:color w:val="C00000"/>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7816C8" w:rsidRPr="00577C4C" w:rsidRDefault="007816C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7816C8" w:rsidRPr="00577C4C" w:rsidRDefault="007816C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7816C8" w:rsidRPr="00577C4C" w:rsidRDefault="007816C8">
    <w:pPr>
      <w:rPr>
        <w:b/>
        <w:sz w:val="20"/>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7816C8" w:rsidRPr="00577C4C" w:rsidRDefault="007816C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7816C8" w:rsidRPr="00577C4C" w:rsidRDefault="007816C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9408" w14:textId="77777777" w:rsidR="00200C4E" w:rsidRDefault="00200C4E" w:rsidP="00117666">
      <w:r>
        <w:separator/>
      </w:r>
    </w:p>
  </w:footnote>
  <w:footnote w:type="continuationSeparator" w:id="0">
    <w:p w14:paraId="4293CE4E" w14:textId="77777777" w:rsidR="00200C4E" w:rsidRDefault="00200C4E"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7816C8" w:rsidRPr="009151AA" w:rsidRDefault="007816C8">
    <w:r w:rsidRPr="009151AA">
      <w:ptab w:relativeTo="margin" w:alignment="center" w:leader="none"/>
    </w:r>
    <w:r w:rsidRPr="009151AA">
      <w:ptab w:relativeTo="margin" w:alignment="right" w:leader="none"/>
    </w:r>
    <w:r w:rsidRPr="009151AA">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7816C8" w:rsidRDefault="007816C8"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51D"/>
    <w:rsid w:val="00077D53"/>
    <w:rsid w:val="00091609"/>
    <w:rsid w:val="00091A54"/>
    <w:rsid w:val="00105FD9"/>
    <w:rsid w:val="00117666"/>
    <w:rsid w:val="001549D3"/>
    <w:rsid w:val="00157A04"/>
    <w:rsid w:val="00160065"/>
    <w:rsid w:val="00177D84"/>
    <w:rsid w:val="00200C4E"/>
    <w:rsid w:val="00267D18"/>
    <w:rsid w:val="00271948"/>
    <w:rsid w:val="00274347"/>
    <w:rsid w:val="002868E2"/>
    <w:rsid w:val="002869C3"/>
    <w:rsid w:val="002936E4"/>
    <w:rsid w:val="002B4A57"/>
    <w:rsid w:val="002C74CA"/>
    <w:rsid w:val="002E5C88"/>
    <w:rsid w:val="003123F4"/>
    <w:rsid w:val="003544FB"/>
    <w:rsid w:val="0036018D"/>
    <w:rsid w:val="00367B63"/>
    <w:rsid w:val="00376CCC"/>
    <w:rsid w:val="003B4D24"/>
    <w:rsid w:val="003D2F2D"/>
    <w:rsid w:val="003F1543"/>
    <w:rsid w:val="00400E97"/>
    <w:rsid w:val="00401590"/>
    <w:rsid w:val="00447801"/>
    <w:rsid w:val="00452E9C"/>
    <w:rsid w:val="004735C8"/>
    <w:rsid w:val="004947A6"/>
    <w:rsid w:val="004961FF"/>
    <w:rsid w:val="004A70EA"/>
    <w:rsid w:val="004E2DE5"/>
    <w:rsid w:val="004F60A3"/>
    <w:rsid w:val="00501337"/>
    <w:rsid w:val="00517A89"/>
    <w:rsid w:val="005250F2"/>
    <w:rsid w:val="00527BAE"/>
    <w:rsid w:val="00551D81"/>
    <w:rsid w:val="00593EEA"/>
    <w:rsid w:val="005A5EEE"/>
    <w:rsid w:val="005B2050"/>
    <w:rsid w:val="006375C7"/>
    <w:rsid w:val="00644A84"/>
    <w:rsid w:val="00654E8F"/>
    <w:rsid w:val="00660D05"/>
    <w:rsid w:val="006820B1"/>
    <w:rsid w:val="006B7D14"/>
    <w:rsid w:val="00701727"/>
    <w:rsid w:val="007042D5"/>
    <w:rsid w:val="0070566C"/>
    <w:rsid w:val="00714C50"/>
    <w:rsid w:val="00720A47"/>
    <w:rsid w:val="00725A7D"/>
    <w:rsid w:val="007501BE"/>
    <w:rsid w:val="0077748C"/>
    <w:rsid w:val="007816C8"/>
    <w:rsid w:val="00790BB3"/>
    <w:rsid w:val="007C206C"/>
    <w:rsid w:val="007E138C"/>
    <w:rsid w:val="007E5973"/>
    <w:rsid w:val="00817DD6"/>
    <w:rsid w:val="0083759F"/>
    <w:rsid w:val="008524DC"/>
    <w:rsid w:val="00885156"/>
    <w:rsid w:val="008A0083"/>
    <w:rsid w:val="00903DEC"/>
    <w:rsid w:val="009151AA"/>
    <w:rsid w:val="0093429D"/>
    <w:rsid w:val="00943573"/>
    <w:rsid w:val="00964134"/>
    <w:rsid w:val="00970F7D"/>
    <w:rsid w:val="00994A3D"/>
    <w:rsid w:val="009A0240"/>
    <w:rsid w:val="009C2B12"/>
    <w:rsid w:val="00A139DD"/>
    <w:rsid w:val="00A174D9"/>
    <w:rsid w:val="00A21BCD"/>
    <w:rsid w:val="00A94922"/>
    <w:rsid w:val="00AA4D24"/>
    <w:rsid w:val="00AB6715"/>
    <w:rsid w:val="00AD193E"/>
    <w:rsid w:val="00B1671E"/>
    <w:rsid w:val="00B25EB8"/>
    <w:rsid w:val="00B37F4D"/>
    <w:rsid w:val="00BD21CC"/>
    <w:rsid w:val="00C52A7B"/>
    <w:rsid w:val="00C56BAF"/>
    <w:rsid w:val="00C679AA"/>
    <w:rsid w:val="00C75972"/>
    <w:rsid w:val="00CD066B"/>
    <w:rsid w:val="00CE4FEE"/>
    <w:rsid w:val="00D060CF"/>
    <w:rsid w:val="00D177ED"/>
    <w:rsid w:val="00D9247D"/>
    <w:rsid w:val="00DB319D"/>
    <w:rsid w:val="00DB59C3"/>
    <w:rsid w:val="00DC259A"/>
    <w:rsid w:val="00DE23E8"/>
    <w:rsid w:val="00DF5B76"/>
    <w:rsid w:val="00E52377"/>
    <w:rsid w:val="00E537AD"/>
    <w:rsid w:val="00E64E17"/>
    <w:rsid w:val="00E866C9"/>
    <w:rsid w:val="00EA00FF"/>
    <w:rsid w:val="00EA3D3C"/>
    <w:rsid w:val="00EC090A"/>
    <w:rsid w:val="00ED20B5"/>
    <w:rsid w:val="00F15ABD"/>
    <w:rsid w:val="00F46900"/>
    <w:rsid w:val="00F61D89"/>
    <w:rsid w:val="00F700DA"/>
    <w:rsid w:val="00FC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C8"/>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after="240"/>
    </w:pPr>
    <w:rPr>
      <w:rFonts w:eastAsiaTheme="minorHAnsi"/>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before="12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spacing w:before="120" w:after="240"/>
    </w:pPr>
    <w:rPr>
      <w:rFonts w:eastAsiaTheme="minorHAnsi"/>
      <w:b/>
      <w:bCs/>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pPr>
      <w:spacing w:before="120" w:after="24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before="120"/>
    </w:pPr>
    <w:rPr>
      <w:rFonts w:eastAsiaTheme="minorHAnsi" w:cstheme="minorBidi"/>
      <w:szCs w:val="22"/>
    </w:r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before="12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spacing w:before="120" w:after="240"/>
    </w:pPr>
    <w:rPr>
      <w:rFonts w:eastAsiaTheme="minorHAnsi" w:cstheme="minorBidi"/>
      <w:b/>
      <w:szCs w:val="22"/>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spacing w:before="120" w:after="240"/>
      <w:contextualSpacing/>
    </w:pPr>
    <w:rPr>
      <w:rFonts w:eastAsia="Cambria"/>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style>
  <w:style w:type="paragraph" w:styleId="Quote">
    <w:name w:val="Quote"/>
    <w:basedOn w:val="Normal"/>
    <w:next w:val="Normal"/>
    <w:link w:val="QuoteChar"/>
    <w:uiPriority w:val="29"/>
    <w:qFormat/>
    <w:rsid w:val="00AB6715"/>
    <w:pPr>
      <w:spacing w:before="200" w:after="16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eastAsiaTheme="minorHAnsi"/>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7E59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695617956">
      <w:bodyDiv w:val="1"/>
      <w:marLeft w:val="0"/>
      <w:marRight w:val="0"/>
      <w:marTop w:val="0"/>
      <w:marBottom w:val="0"/>
      <w:divBdr>
        <w:top w:val="none" w:sz="0" w:space="0" w:color="auto"/>
        <w:left w:val="none" w:sz="0" w:space="0" w:color="auto"/>
        <w:bottom w:val="none" w:sz="0" w:space="0" w:color="auto"/>
        <w:right w:val="none" w:sz="0" w:space="0" w:color="auto"/>
      </w:divBdr>
    </w:div>
    <w:div w:id="120286013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0570E6-60FB-0244-BCC8-8ACE73FB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0</TotalTime>
  <Pages>9</Pages>
  <Words>26686</Words>
  <Characters>152113</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Simon Gilroy</cp:lastModifiedBy>
  <cp:revision>2</cp:revision>
  <cp:lastPrinted>2013-10-03T12:51:00Z</cp:lastPrinted>
  <dcterms:created xsi:type="dcterms:W3CDTF">2020-02-18T16:39:00Z</dcterms:created>
  <dcterms:modified xsi:type="dcterms:W3CDTF">2020-02-18T16:39:00Z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http://www.zotero.org/styles/current-opinion-in-plant-biology</vt:lpwstr>
  </property>
  <property fmtid="{D5CDD505-2E9C-101B-9397-08002B2CF9AE}" pid="9" name="Mendeley Recent Style Name 3_1">
    <vt:lpwstr>Current Opinion in Plant Biology</vt:lpwstr>
  </property>
  <property fmtid="{D5CDD505-2E9C-101B-9397-08002B2CF9AE}" pid="10" name="Mendeley Recent Style Id 4_1">
    <vt:lpwstr>http://www.zotero.org/styles/frontiers-in-plant-science</vt:lpwstr>
  </property>
  <property fmtid="{D5CDD505-2E9C-101B-9397-08002B2CF9AE}" pid="11" name="Mendeley Recent Style Name 4_1">
    <vt:lpwstr>Frontiers in Plant Science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http://www.zotero.org/styles/journal-of-experimental-botany</vt:lpwstr>
  </property>
  <property fmtid="{D5CDD505-2E9C-101B-9397-08002B2CF9AE}" pid="15" name="Mendeley Recent Style Name 6_1">
    <vt:lpwstr>Journal of Experimental Botany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http://www.zotero.org/styles/the-plant-journal</vt:lpwstr>
  </property>
  <property fmtid="{D5CDD505-2E9C-101B-9397-08002B2CF9AE}" pid="21" name="Mendeley Recent Style Name 9_1">
    <vt:lpwstr>The Plant Journal</vt:lpwstr>
  </property>
  <property fmtid="{D5CDD505-2E9C-101B-9397-08002B2CF9AE}" pid="22" name="Mendeley Document_1">
    <vt:lpwstr>True</vt:lpwstr>
  </property>
  <property fmtid="{D5CDD505-2E9C-101B-9397-08002B2CF9AE}" pid="23" name="Mendeley Unique User Id_1">
    <vt:lpwstr>e0023cd6-2f06-3f11-a2f6-e8cf6aa20240</vt:lpwstr>
  </property>
  <property fmtid="{D5CDD505-2E9C-101B-9397-08002B2CF9AE}" pid="24" name="Mendeley Citation Style_1">
    <vt:lpwstr>http://www.zotero.org/styles/frontiers-in-plant-science</vt:lpwstr>
  </property>
</Properties>
</file>