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35415" w14:textId="3E56819E" w:rsidR="00580E2E" w:rsidRDefault="00F7657F" w:rsidP="00817DC3">
      <w:pPr>
        <w:pStyle w:val="Heading1"/>
        <w:keepNext w:val="0"/>
        <w:keepLines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</w:t>
      </w:r>
    </w:p>
    <w:p w14:paraId="17B75C13" w14:textId="77777777" w:rsidR="00817DC3" w:rsidRPr="00817DC3" w:rsidRDefault="00817DC3" w:rsidP="00817DC3">
      <w:pPr>
        <w:pStyle w:val="Normal1"/>
      </w:pPr>
    </w:p>
    <w:p w14:paraId="6E9D6019" w14:textId="77777777" w:rsidR="00580E2E" w:rsidRDefault="00580E2E" w:rsidP="00817D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7CA14F" w14:textId="77777777" w:rsidR="00580E2E" w:rsidRDefault="00F7657F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114300" distB="114300" distL="114300" distR="114300" wp14:anchorId="1120712D" wp14:editId="24A28BDD">
            <wp:extent cx="4429125" cy="449580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49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4521DA" w14:textId="77777777" w:rsidR="00580E2E" w:rsidRDefault="00580E2E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06CFA" w14:textId="77777777" w:rsidR="00580E2E" w:rsidRDefault="00F7657F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S1.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component analysis of differentially-expressed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jejuni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11168 genes 30 min following exposure to CC-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FlaGrab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NC-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FlaGrab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buffer. Plots were generated using the data from the 500 genes with the greatest variation in expression across samples.</w:t>
      </w:r>
      <w:r>
        <w:rPr>
          <w:color w:val="000000"/>
        </w:rPr>
        <w:t xml:space="preserve"> </w:t>
      </w:r>
    </w:p>
    <w:p w14:paraId="5DD1A948" w14:textId="77777777" w:rsidR="00580E2E" w:rsidRDefault="00F7657F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0ADC5FD3" wp14:editId="4354E084">
            <wp:extent cx="3328416" cy="2795016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2795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80FBD" w14:textId="093F0789" w:rsidR="00580E2E" w:rsidRDefault="00580E2E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10BE3A" w14:textId="77777777" w:rsidR="00817DC3" w:rsidRDefault="00817DC3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60A4AC" w14:textId="77777777" w:rsidR="00580E2E" w:rsidRDefault="00F7657F" w:rsidP="00817D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S2.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Motility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Campylobacter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jejuni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sdt>
        <w:sdtPr>
          <w:tag w:val="goog_rdk_0"/>
          <w:id w:val="-36205984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11168 MP21 ∆</w:t>
          </w:r>
          <w:proofErr w:type="spellStart"/>
        </w:sdtContent>
      </w:sdt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sdt>
        <w:sdtPr>
          <w:tag w:val="goog_rdk_1"/>
          <w:id w:val="-152863988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and ∆</w:t>
          </w:r>
          <w:proofErr w:type="spellStart"/>
        </w:sdtContent>
      </w:sdt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motB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mutants compared to wild type cells, as indicated by the diameter of cell spread in 0.4% MH agar after 47 h. Results depict the average, standard deviation and p-value (student’s T-test) for three replicates (p &lt; 0.01 (**)). </w:t>
      </w:r>
    </w:p>
    <w:p w14:paraId="169A1A40" w14:textId="77777777" w:rsidR="00580E2E" w:rsidRDefault="00580E2E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EDD2D5" w14:textId="77777777" w:rsidR="00580E2E" w:rsidRDefault="00F7657F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A361101" wp14:editId="77372029">
            <wp:extent cx="3328416" cy="2795016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2795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5B33AF" w14:textId="77777777" w:rsidR="00817DC3" w:rsidRDefault="00817DC3" w:rsidP="00817DC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BE0576" w14:textId="7053F7ED" w:rsidR="00580E2E" w:rsidRDefault="00F7657F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Figure S3.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Motility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Campylobacter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jejuni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strains as indicated by the diameter of cell spread in 0.4% MH agar after 52 h. Results depict the average, standard deviation and p-value (student’s T-test) for two replicates (p &lt; 0.01 (**)).</w:t>
      </w:r>
    </w:p>
    <w:p w14:paraId="4AE441E1" w14:textId="25DAB2B1" w:rsidR="007F3CB0" w:rsidRDefault="007F3CB0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05FC47" w14:textId="4AAC10AD" w:rsidR="00817DC3" w:rsidRDefault="00817DC3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9B6ED2" w14:textId="675E9E65" w:rsidR="00817DC3" w:rsidRDefault="00817DC3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5C6944" w14:textId="77777777" w:rsidR="00817DC3" w:rsidRDefault="00817DC3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ED13C2" w14:textId="5FDE715D" w:rsidR="00580E2E" w:rsidRDefault="00327478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</w:t>
      </w:r>
    </w:p>
    <w:p w14:paraId="061BC3A9" w14:textId="77777777" w:rsidR="008823AA" w:rsidRDefault="008823AA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18D9CC11" wp14:editId="767675B9">
            <wp:extent cx="5443728" cy="7632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4 Amended FlaGra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763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DD720" w14:textId="33EF750A" w:rsidR="008823AA" w:rsidRDefault="008823AA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69CD23" w14:textId="77777777" w:rsidR="00817DC3" w:rsidRDefault="00817DC3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14:paraId="63A2D152" w14:textId="77777777" w:rsidR="008823AA" w:rsidRDefault="008823AA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</w:t>
      </w:r>
    </w:p>
    <w:p w14:paraId="784529CD" w14:textId="77777777" w:rsidR="008823AA" w:rsidRDefault="007F3CB0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98F3A56" wp14:editId="46BDC018">
            <wp:extent cx="4035552" cy="3852672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4 B Amend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552" cy="38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196B6" w14:textId="77777777" w:rsidR="00580E2E" w:rsidRDefault="00F7657F" w:rsidP="00817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Figure S4.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amino acid sequence alignment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 a phylogenetic tree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depicting the relationship between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the five strains.</w:t>
      </w:r>
    </w:p>
    <w:p w14:paraId="0ADF73B3" w14:textId="77777777" w:rsidR="00580E2E" w:rsidRDefault="00580E2E" w:rsidP="00817DC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665A9E" w14:textId="77777777" w:rsidR="008823AA" w:rsidRDefault="008823AA" w:rsidP="00817DC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AF28E8" w14:textId="77777777" w:rsidR="00580E2E" w:rsidRDefault="00F7657F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 Methods</w:t>
      </w:r>
    </w:p>
    <w:p w14:paraId="28C10707" w14:textId="77777777" w:rsidR="00580E2E" w:rsidRDefault="00580E2E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375A9B" w14:textId="77777777" w:rsidR="00580E2E" w:rsidRDefault="00F7657F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Motility Assay</w:t>
      </w:r>
    </w:p>
    <w:p w14:paraId="369BB597" w14:textId="77777777" w:rsidR="00580E2E" w:rsidRDefault="00F7657F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Bacterial motility was tested in soft agar as described previously (</w:t>
      </w:r>
      <w:proofErr w:type="spellStart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Waseh</w:t>
      </w:r>
      <w:proofErr w:type="spellEnd"/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1C1D1E"/>
          <w:sz w:val="24"/>
          <w:szCs w:val="24"/>
          <w:highlight w:val="white"/>
        </w:rPr>
        <w:t>et al</w:t>
      </w:r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 xml:space="preserve">., </w:t>
      </w:r>
      <w:hyperlink r:id="rId10" w:anchor="mmi12849-bib-0046">
        <w:r w:rsidRPr="00B17677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2010</w:t>
        </w:r>
      </w:hyperlink>
      <w:r>
        <w:rPr>
          <w:rFonts w:ascii="Times New Roman" w:eastAsia="Times New Roman" w:hAnsi="Times New Roman" w:cs="Times New Roman"/>
          <w:color w:val="1C1D1E"/>
          <w:sz w:val="24"/>
          <w:szCs w:val="24"/>
          <w:highlight w:val="white"/>
        </w:rPr>
        <w:t>). Briefly, Mueller Hinton plates containing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0.4% agar were prepared the day before the motility assay. After overnight growth (16-18 hrs), cells were suspended in PBS and set to an O.D</w:t>
      </w:r>
      <w:r w:rsidRPr="00B1767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vertAlign w:val="subscript"/>
        </w:rPr>
        <w:t>600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1.0 in PBS. Five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μL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the cell suspension was inoculated into the centre of each agar plate by lightly piercing the agar surface with a 10-μL pipette tip. Plates were allowed to dry undisturbed before being incubated right-side-up at 37</w:t>
      </w:r>
      <w:r w:rsidRPr="00B1767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 overnight under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microaerobic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conditions suitable for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Campylobacter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growth. As an indicator of motility, the diameter of </w:t>
      </w:r>
      <w:r w:rsidR="006147A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cell growth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spread was measured with a ruler after 47-52 hours. </w:t>
      </w:r>
    </w:p>
    <w:p w14:paraId="0E922E10" w14:textId="77777777" w:rsidR="00580E2E" w:rsidRDefault="00580E2E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FDC4E0" w14:textId="77777777" w:rsidR="00580E2E" w:rsidRDefault="00F7657F" w:rsidP="00817D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C1D1E"/>
          <w:sz w:val="24"/>
          <w:szCs w:val="24"/>
          <w:highlight w:val="white"/>
        </w:rPr>
        <w:t>References</w:t>
      </w:r>
    </w:p>
    <w:p w14:paraId="5A768D88" w14:textId="77777777" w:rsidR="00580E2E" w:rsidRDefault="00F7657F" w:rsidP="00817DC3">
      <w:pPr>
        <w:spacing w:line="240" w:lineRule="auto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>Waseh</w:t>
      </w:r>
      <w:proofErr w:type="spellEnd"/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>Hanifi</w:t>
      </w:r>
      <w:r>
        <w:rPr>
          <w:rFonts w:ascii="Jacques Francois Shadow" w:eastAsia="Jacques Francois Shadow" w:hAnsi="Jacques Francois Shadow" w:cs="Jacques Francois Shadow"/>
          <w:color w:val="1C1D1E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>Moghaddam</w:t>
      </w:r>
      <w:proofErr w:type="spellEnd"/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, P., Coleman, R., </w:t>
      </w:r>
      <w:proofErr w:type="spellStart"/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>Masotti</w:t>
      </w:r>
      <w:proofErr w:type="spellEnd"/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, M., Ryan, S., Foss, M., </w:t>
      </w:r>
      <w:r>
        <w:rPr>
          <w:rFonts w:ascii="Times New Roman" w:eastAsia="Times New Roman" w:hAnsi="Times New Roman" w:cs="Times New Roman"/>
          <w:i/>
          <w:color w:val="1C1D1E"/>
          <w:sz w:val="24"/>
          <w:szCs w:val="24"/>
        </w:rPr>
        <w:t>et al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. (2010) Orally administered P22 phage </w:t>
      </w:r>
      <w:proofErr w:type="spellStart"/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>tailspike</w:t>
      </w:r>
      <w:proofErr w:type="spellEnd"/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 protein reduces salmonella colonization in chickens: prospects of a novel therapy against bacterial infections. </w:t>
      </w:r>
      <w:proofErr w:type="spellStart"/>
      <w:r>
        <w:rPr>
          <w:rFonts w:ascii="Times New Roman" w:eastAsia="Times New Roman" w:hAnsi="Times New Roman" w:cs="Times New Roman"/>
          <w:i/>
          <w:color w:val="1C1D1E"/>
          <w:sz w:val="24"/>
          <w:szCs w:val="24"/>
        </w:rPr>
        <w:t>PLoS</w:t>
      </w:r>
      <w:proofErr w:type="spellEnd"/>
      <w:r>
        <w:rPr>
          <w:rFonts w:ascii="Times New Roman" w:eastAsia="Times New Roman" w:hAnsi="Times New Roman" w:cs="Times New Roman"/>
          <w:i/>
          <w:color w:val="1C1D1E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color w:val="1C1D1E"/>
          <w:sz w:val="24"/>
          <w:szCs w:val="24"/>
        </w:rPr>
        <w:t xml:space="preserve"> 5: e13904.</w:t>
      </w:r>
    </w:p>
    <w:sectPr w:rsidR="00580E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altName w:val="Times New Roman"/>
    <w:charset w:val="00"/>
    <w:family w:val="auto"/>
    <w:pitch w:val="default"/>
  </w:font>
  <w:font w:name="Jacques Francois Shadow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2E"/>
    <w:rsid w:val="00327478"/>
    <w:rsid w:val="004508CF"/>
    <w:rsid w:val="004E4989"/>
    <w:rsid w:val="00580E2E"/>
    <w:rsid w:val="006147AE"/>
    <w:rsid w:val="007F3CB0"/>
    <w:rsid w:val="00817DC3"/>
    <w:rsid w:val="008823AA"/>
    <w:rsid w:val="009D1870"/>
    <w:rsid w:val="00B17677"/>
    <w:rsid w:val="00F7657F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66FE9"/>
  <w15:docId w15:val="{7FD481DC-490B-4EA6-BDFD-A0D76757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4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4D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344D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44D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0F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0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nlinelibrary.wiley.com/doi/full/10.1111/mmi.128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7s+rq/j0cVT1Q9/E6NUHrslJTw==">AMUW2mWM5Apf54WJpZ9K7TpbgeWdykUxKUQRABIoaLs16llTaBwm+2gCf7mnBwVO/gtp/cFtigJCoZfcc9bPAFwHgMxV24dig80vZSWnBlPNZENy94kmXIwooy5lFBDPVO2toxfW9N52A1kyzm+qjmiUPQH2LQhS4oL9GBzLmZpvmvJv6aVYFKpIZdIGA+pV6jo8MCEMKmswcQ3KkHzJIWM8fi6qovMNzvXyZbALOkIq5DMMY39g9ow=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Szymanski</dc:creator>
  <cp:lastModifiedBy>Christine Szymanski</cp:lastModifiedBy>
  <cp:revision>3</cp:revision>
  <dcterms:created xsi:type="dcterms:W3CDTF">2020-02-18T20:33:00Z</dcterms:created>
  <dcterms:modified xsi:type="dcterms:W3CDTF">2020-02-18T21:25:00Z</dcterms:modified>
</cp:coreProperties>
</file>