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6DA608F" w14:textId="77777777" w:rsidR="00643204" w:rsidRDefault="00643204" w:rsidP="00643204">
      <w:pPr>
        <w:spacing w:after="0"/>
        <w:rPr>
          <w:rFonts w:cstheme="minorHAnsi"/>
        </w:rPr>
      </w:pPr>
    </w:p>
    <w:p w14:paraId="2D77FD03" w14:textId="77432B20" w:rsidR="00643204" w:rsidRPr="005416D4" w:rsidRDefault="00643204" w:rsidP="00643204">
      <w:pPr>
        <w:spacing w:after="0"/>
        <w:rPr>
          <w:rFonts w:cstheme="minorHAnsi"/>
        </w:rPr>
      </w:pPr>
      <w:r w:rsidRPr="005416D4">
        <w:rPr>
          <w:rFonts w:cstheme="minorHAnsi"/>
        </w:rPr>
        <w:t>Table 2</w:t>
      </w:r>
      <w:r w:rsidRPr="005416D4">
        <w:rPr>
          <w:rFonts w:cstheme="minorHAnsi"/>
          <w:b/>
        </w:rPr>
        <w:t xml:space="preserve"> </w:t>
      </w:r>
      <w:r w:rsidRPr="005416D4">
        <w:rPr>
          <w:rFonts w:cstheme="minorHAnsi"/>
          <w:szCs w:val="20"/>
        </w:rPr>
        <w:t>Topical description of included scientific literature</w:t>
      </w:r>
      <w:r w:rsidRPr="005416D4">
        <w:rPr>
          <w:rFonts w:cstheme="minorHAnsi"/>
          <w:sz w:val="32"/>
        </w:rPr>
        <w:t xml:space="preserve"> </w:t>
      </w:r>
      <w:r w:rsidRPr="005416D4">
        <w:rPr>
          <w:rFonts w:cstheme="minorHAnsi"/>
        </w:rPr>
        <w:t>on the different nature-health subthemes.</w:t>
      </w:r>
      <w:r w:rsidRPr="005416D4">
        <w:rPr>
          <w:rFonts w:cstheme="minorHAnsi"/>
        </w:rPr>
        <w:br/>
      </w:r>
    </w:p>
    <w:tbl>
      <w:tblPr>
        <w:tblStyle w:val="Tabelrasterlicht"/>
        <w:tblW w:w="906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629"/>
        <w:gridCol w:w="1629"/>
        <w:gridCol w:w="2905"/>
        <w:gridCol w:w="2906"/>
      </w:tblGrid>
      <w:tr w:rsidR="00643204" w:rsidRPr="00C62597" w14:paraId="1F7595AC" w14:textId="77777777" w:rsidTr="00385963">
        <w:tc>
          <w:tcPr>
            <w:tcW w:w="1629" w:type="dxa"/>
            <w:shd w:val="clear" w:color="auto" w:fill="D9D9D9" w:themeFill="background1" w:themeFillShade="D9"/>
          </w:tcPr>
          <w:p w14:paraId="6F3228E4" w14:textId="77777777" w:rsidR="00643204" w:rsidRPr="001F456E" w:rsidRDefault="00643204" w:rsidP="00385963">
            <w:pPr>
              <w:tabs>
                <w:tab w:val="left" w:pos="1024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1F456E">
              <w:rPr>
                <w:b/>
                <w:sz w:val="20"/>
                <w:szCs w:val="20"/>
              </w:rPr>
              <w:t>Nature-health subtheme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25793A2" w14:textId="77777777" w:rsidR="00643204" w:rsidRPr="001F456E" w:rsidRDefault="00643204" w:rsidP="00385963">
            <w:pPr>
              <w:spacing w:before="0" w:after="0"/>
              <w:rPr>
                <w:b/>
                <w:sz w:val="20"/>
                <w:szCs w:val="20"/>
              </w:rPr>
            </w:pPr>
            <w:r w:rsidRPr="001F456E">
              <w:rPr>
                <w:b/>
                <w:sz w:val="20"/>
                <w:szCs w:val="20"/>
              </w:rPr>
              <w:t>Key topic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14:paraId="24C7A1C5" w14:textId="77777777" w:rsidR="00643204" w:rsidRPr="001F456E" w:rsidRDefault="00643204" w:rsidP="00385963">
            <w:pPr>
              <w:spacing w:before="0" w:after="0"/>
              <w:ind w:left="41"/>
              <w:rPr>
                <w:b/>
                <w:sz w:val="20"/>
                <w:szCs w:val="20"/>
              </w:rPr>
            </w:pPr>
            <w:r w:rsidRPr="001F456E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1995B60B" w14:textId="77777777" w:rsidR="00643204" w:rsidRPr="001F456E" w:rsidRDefault="00643204" w:rsidP="00385963">
            <w:pPr>
              <w:spacing w:before="0" w:after="0"/>
              <w:ind w:right="34"/>
              <w:rPr>
                <w:b/>
                <w:sz w:val="20"/>
                <w:szCs w:val="20"/>
              </w:rPr>
            </w:pPr>
            <w:r w:rsidRPr="001F456E">
              <w:rPr>
                <w:b/>
                <w:sz w:val="20"/>
                <w:szCs w:val="20"/>
              </w:rPr>
              <w:t>Paper</w:t>
            </w:r>
          </w:p>
        </w:tc>
      </w:tr>
      <w:tr w:rsidR="00643204" w:rsidRPr="00C62597" w14:paraId="2711BF52" w14:textId="77777777" w:rsidTr="00385963">
        <w:tc>
          <w:tcPr>
            <w:tcW w:w="1629" w:type="dxa"/>
            <w:shd w:val="clear" w:color="auto" w:fill="F5F5F5"/>
          </w:tcPr>
          <w:p w14:paraId="7CFB9A82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Nature</w:t>
            </w:r>
          </w:p>
        </w:tc>
        <w:tc>
          <w:tcPr>
            <w:tcW w:w="1629" w:type="dxa"/>
          </w:tcPr>
          <w:p w14:paraId="5B6361D0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Probiotics</w:t>
            </w:r>
            <w:r w:rsidRPr="00F754AD">
              <w:rPr>
                <w:sz w:val="20"/>
                <w:szCs w:val="20"/>
              </w:rPr>
              <w:tab/>
            </w:r>
          </w:p>
        </w:tc>
        <w:tc>
          <w:tcPr>
            <w:tcW w:w="2905" w:type="dxa"/>
          </w:tcPr>
          <w:p w14:paraId="0EAC5AAE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 xml:space="preserve">Dai et al </w:t>
            </w:r>
            <w:r>
              <w:rPr>
                <w:sz w:val="20"/>
                <w:szCs w:val="20"/>
              </w:rPr>
              <w:t>(2013)[68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051F9131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DC52A0" w14:paraId="572F8DB3" w14:textId="77777777" w:rsidTr="00385963">
        <w:trPr>
          <w:trHeight w:val="2254"/>
        </w:trPr>
        <w:tc>
          <w:tcPr>
            <w:tcW w:w="1629" w:type="dxa"/>
            <w:vMerge w:val="restart"/>
            <w:shd w:val="clear" w:color="auto" w:fill="F5F5F5"/>
          </w:tcPr>
          <w:p w14:paraId="6EE5814E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Nature</w:t>
            </w:r>
            <w:r>
              <w:rPr>
                <w:sz w:val="20"/>
                <w:szCs w:val="20"/>
              </w:rPr>
              <w:t>-</w:t>
            </w:r>
            <w:r w:rsidRPr="00F754AD">
              <w:rPr>
                <w:sz w:val="20"/>
                <w:szCs w:val="20"/>
              </w:rPr>
              <w:t>based care</w:t>
            </w:r>
          </w:p>
        </w:tc>
        <w:tc>
          <w:tcPr>
            <w:tcW w:w="1629" w:type="dxa"/>
          </w:tcPr>
          <w:p w14:paraId="759E8957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Physical activity</w:t>
            </w:r>
          </w:p>
        </w:tc>
        <w:tc>
          <w:tcPr>
            <w:tcW w:w="2905" w:type="dxa"/>
          </w:tcPr>
          <w:p w14:paraId="5E07C01F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Arsenijevic &amp; Groot (2017)</w:t>
            </w:r>
            <w:r>
              <w:rPr>
                <w:sz w:val="20"/>
                <w:szCs w:val="20"/>
              </w:rPr>
              <w:t>[53</w:t>
            </w:r>
            <w:r w:rsidRPr="00F754A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Estabrooks &amp; Glasgow (2006)[24]; Huijg et al (2014)[46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6A62464B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et al (2015)[47]; Croteau et al (2006)[12]; Dalziel et al (2006)[33]; Elley et al (2003)[45</w:t>
            </w:r>
            <w:r w:rsidRPr="00F754AD">
              <w:rPr>
                <w:sz w:val="20"/>
                <w:szCs w:val="20"/>
              </w:rPr>
              <w:t>]; Elley</w:t>
            </w:r>
            <w:r>
              <w:rPr>
                <w:sz w:val="20"/>
                <w:szCs w:val="20"/>
              </w:rPr>
              <w:t xml:space="preserve"> et al (2011)[69]; Gribben et al (2000)[70]; Hamlin et al (2016)[59</w:t>
            </w:r>
            <w:r w:rsidRPr="00F754AD">
              <w:rPr>
                <w:sz w:val="20"/>
                <w:szCs w:val="20"/>
              </w:rPr>
              <w:t>]; Huijg et al (201</w:t>
            </w:r>
            <w:r>
              <w:rPr>
                <w:sz w:val="20"/>
                <w:szCs w:val="20"/>
              </w:rPr>
              <w:t>4)[71]; Kerse et al (2005)[72]; Kolt et al (2009)[73]; Kolt et al (2012)[74]; Korpela et al (2008)[51]; Lamb et al (2002)[58]; Leung et al (2012)[75</w:t>
            </w:r>
            <w:r w:rsidRPr="00F754AD">
              <w:rPr>
                <w:sz w:val="20"/>
                <w:szCs w:val="20"/>
              </w:rPr>
              <w:t>]; Lobelo et al (2014)</w:t>
            </w:r>
            <w:r>
              <w:rPr>
                <w:sz w:val="20"/>
                <w:szCs w:val="20"/>
              </w:rPr>
              <w:t>[34]; Patel et al (2011)[76]; Patel et al (2013)[77]; Patel et al (2013)[78</w:t>
            </w:r>
            <w:r w:rsidRPr="00F754AD">
              <w:rPr>
                <w:sz w:val="20"/>
                <w:szCs w:val="20"/>
              </w:rPr>
              <w:t>]; Swinburn</w:t>
            </w:r>
            <w:r>
              <w:rPr>
                <w:sz w:val="20"/>
                <w:szCs w:val="20"/>
              </w:rPr>
              <w:t xml:space="preserve"> et al (1997)[44]; Swinburn et al (1998)[79]; Van den Berg (2017)[50]; Wannamethee et al (2000)[80</w:t>
            </w:r>
            <w:r w:rsidRPr="00F754AD">
              <w:rPr>
                <w:sz w:val="20"/>
                <w:szCs w:val="20"/>
              </w:rPr>
              <w:t>]</w:t>
            </w:r>
          </w:p>
        </w:tc>
      </w:tr>
      <w:tr w:rsidR="00643204" w:rsidRPr="00DC52A0" w14:paraId="0AFA609E" w14:textId="77777777" w:rsidTr="00385963">
        <w:tc>
          <w:tcPr>
            <w:tcW w:w="1629" w:type="dxa"/>
            <w:vMerge/>
            <w:shd w:val="clear" w:color="auto" w:fill="F5F5F5"/>
          </w:tcPr>
          <w:p w14:paraId="565BFFCA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270DA93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 xml:space="preserve">Nature-assisted </w:t>
            </w:r>
            <w:r>
              <w:rPr>
                <w:sz w:val="20"/>
                <w:szCs w:val="20"/>
              </w:rPr>
              <w:t>therapy</w:t>
            </w:r>
          </w:p>
        </w:tc>
        <w:tc>
          <w:tcPr>
            <w:tcW w:w="2905" w:type="dxa"/>
          </w:tcPr>
          <w:p w14:paraId="5E7E0C59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14:paraId="24AC8F18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Barley et al (2012)[52</w:t>
            </w:r>
            <w:r w:rsidRPr="00F754AD">
              <w:rPr>
                <w:sz w:val="20"/>
                <w:szCs w:val="20"/>
                <w:lang w:val="nb-NO"/>
              </w:rPr>
              <w:t xml:space="preserve">]; Fromageot et al </w:t>
            </w:r>
            <w:r>
              <w:rPr>
                <w:sz w:val="20"/>
                <w:szCs w:val="20"/>
                <w:lang w:val="nb-NO"/>
              </w:rPr>
              <w:t>(2005)[81]; Wahrborg et al (2014)[35</w:t>
            </w:r>
            <w:r w:rsidRPr="00F754AD">
              <w:rPr>
                <w:sz w:val="20"/>
                <w:szCs w:val="20"/>
                <w:lang w:val="nb-NO"/>
              </w:rPr>
              <w:t>]</w:t>
            </w:r>
          </w:p>
        </w:tc>
      </w:tr>
      <w:tr w:rsidR="00643204" w:rsidRPr="00C62597" w14:paraId="159B7E4F" w14:textId="77777777" w:rsidTr="00385963">
        <w:tc>
          <w:tcPr>
            <w:tcW w:w="1629" w:type="dxa"/>
            <w:vMerge/>
            <w:shd w:val="clear" w:color="auto" w:fill="F5F5F5"/>
          </w:tcPr>
          <w:p w14:paraId="42593928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  <w:lang w:val="nb-NO"/>
              </w:rPr>
            </w:pPr>
          </w:p>
        </w:tc>
        <w:tc>
          <w:tcPr>
            <w:tcW w:w="1629" w:type="dxa"/>
          </w:tcPr>
          <w:p w14:paraId="73F2905D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Urban nature</w:t>
            </w:r>
          </w:p>
        </w:tc>
        <w:tc>
          <w:tcPr>
            <w:tcW w:w="2905" w:type="dxa"/>
          </w:tcPr>
          <w:p w14:paraId="3B994203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Costa et al (2015)[60</w:t>
            </w:r>
            <w:r w:rsidRPr="00F754AD">
              <w:rPr>
                <w:sz w:val="20"/>
                <w:szCs w:val="20"/>
                <w:lang w:val="nb-NO"/>
              </w:rPr>
              <w:t xml:space="preserve">]; Pereira et </w:t>
            </w:r>
            <w:r>
              <w:rPr>
                <w:sz w:val="20"/>
                <w:szCs w:val="20"/>
                <w:lang w:val="nb-NO"/>
              </w:rPr>
              <w:t>al (2009)[61</w:t>
            </w:r>
            <w:r w:rsidRPr="00F754AD">
              <w:rPr>
                <w:sz w:val="20"/>
                <w:szCs w:val="20"/>
                <w:lang w:val="nb-NO"/>
              </w:rPr>
              <w:t>]</w:t>
            </w:r>
          </w:p>
        </w:tc>
        <w:tc>
          <w:tcPr>
            <w:tcW w:w="2906" w:type="dxa"/>
          </w:tcPr>
          <w:p w14:paraId="01863B3F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Nayyar &amp; Hwang (2015)[82</w:t>
            </w:r>
            <w:r w:rsidRPr="00F754AD">
              <w:rPr>
                <w:sz w:val="20"/>
                <w:szCs w:val="20"/>
              </w:rPr>
              <w:t>]</w:t>
            </w:r>
          </w:p>
        </w:tc>
      </w:tr>
      <w:tr w:rsidR="00643204" w:rsidRPr="00C62597" w14:paraId="26D5C475" w14:textId="77777777" w:rsidTr="00385963">
        <w:tc>
          <w:tcPr>
            <w:tcW w:w="1629" w:type="dxa"/>
            <w:vMerge/>
            <w:shd w:val="clear" w:color="auto" w:fill="F5F5F5"/>
          </w:tcPr>
          <w:p w14:paraId="09496CCD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0DFBA1E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Medicinal plants</w:t>
            </w:r>
          </w:p>
        </w:tc>
        <w:tc>
          <w:tcPr>
            <w:tcW w:w="2905" w:type="dxa"/>
          </w:tcPr>
          <w:p w14:paraId="01F3F797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14:paraId="076E2032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Balick (1990)[83</w:t>
            </w:r>
            <w:r w:rsidRPr="00F754AD">
              <w:rPr>
                <w:sz w:val="20"/>
                <w:szCs w:val="20"/>
              </w:rPr>
              <w:t>]</w:t>
            </w:r>
          </w:p>
        </w:tc>
      </w:tr>
      <w:tr w:rsidR="00643204" w:rsidRPr="00C62597" w14:paraId="3A51AE64" w14:textId="77777777" w:rsidTr="00385963">
        <w:tc>
          <w:tcPr>
            <w:tcW w:w="1629" w:type="dxa"/>
            <w:vMerge w:val="restart"/>
            <w:shd w:val="clear" w:color="auto" w:fill="F5F5F5"/>
          </w:tcPr>
          <w:p w14:paraId="71DE8001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Medicinal plants</w:t>
            </w:r>
          </w:p>
        </w:tc>
        <w:tc>
          <w:tcPr>
            <w:tcW w:w="1629" w:type="dxa"/>
          </w:tcPr>
          <w:p w14:paraId="7FE18A34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Complementary therapies</w:t>
            </w:r>
          </w:p>
        </w:tc>
        <w:tc>
          <w:tcPr>
            <w:tcW w:w="2905" w:type="dxa"/>
          </w:tcPr>
          <w:p w14:paraId="0A7FDB6A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et al (2014)[36</w:t>
            </w:r>
            <w:r w:rsidRPr="00F754AD">
              <w:rPr>
                <w:sz w:val="20"/>
                <w:szCs w:val="20"/>
              </w:rPr>
              <w:t>]; Dikshit</w:t>
            </w:r>
            <w:r>
              <w:rPr>
                <w:sz w:val="20"/>
                <w:szCs w:val="20"/>
              </w:rPr>
              <w:t>, et al (2004)[84]; Schveitzer &amp; Zoboli (2014)[32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661121FC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  <w:lang w:val="fr-BE"/>
              </w:rPr>
              <w:t xml:space="preserve">Dal Cero et al </w:t>
            </w:r>
            <w:r>
              <w:rPr>
                <w:sz w:val="20"/>
                <w:szCs w:val="20"/>
              </w:rPr>
              <w:t>(2015)[85</w:t>
            </w:r>
            <w:r w:rsidRPr="00F754AD">
              <w:rPr>
                <w:sz w:val="20"/>
                <w:szCs w:val="20"/>
              </w:rPr>
              <w:t>]</w:t>
            </w:r>
          </w:p>
        </w:tc>
      </w:tr>
      <w:tr w:rsidR="00643204" w:rsidRPr="00DC52A0" w14:paraId="25083157" w14:textId="77777777" w:rsidTr="00385963">
        <w:tc>
          <w:tcPr>
            <w:tcW w:w="1629" w:type="dxa"/>
            <w:vMerge/>
            <w:shd w:val="clear" w:color="auto" w:fill="F5F5F5"/>
          </w:tcPr>
          <w:p w14:paraId="6A9C171B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12F4C6A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Traditional use &amp; knowledge</w:t>
            </w:r>
          </w:p>
          <w:p w14:paraId="0E933DAD" w14:textId="77777777" w:rsidR="00643204" w:rsidRPr="00C62597" w:rsidRDefault="00643204" w:rsidP="00385963">
            <w:pPr>
              <w:spacing w:before="0" w:after="0"/>
              <w:ind w:left="2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14:paraId="41B1CE0C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Grierson et al (2014)[86]; Hossen et al (2016)[37]; Maroyi (2013)[27]; Mishra et al (2016)[87]; Sharma et al (2007)[88</w:t>
            </w:r>
            <w:r w:rsidRPr="00F754AD">
              <w:rPr>
                <w:sz w:val="20"/>
                <w:szCs w:val="20"/>
                <w:lang w:val="nb-NO"/>
              </w:rPr>
              <w:t>]</w:t>
            </w:r>
          </w:p>
        </w:tc>
        <w:tc>
          <w:tcPr>
            <w:tcW w:w="2906" w:type="dxa"/>
          </w:tcPr>
          <w:p w14:paraId="5D3A6A2D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Ahmad et al (2015)[89</w:t>
            </w:r>
            <w:r w:rsidRPr="00F754AD">
              <w:rPr>
                <w:sz w:val="20"/>
                <w:szCs w:val="20"/>
                <w:lang w:val="nb-NO"/>
              </w:rPr>
              <w:t>]; Aziz</w:t>
            </w:r>
            <w:r>
              <w:rPr>
                <w:sz w:val="20"/>
                <w:szCs w:val="20"/>
                <w:lang w:val="nb-NO"/>
              </w:rPr>
              <w:t xml:space="preserve"> et al (2016)[90]; Baydoun et al (2015)[91]; Bermúdez et al (2005)[48]; Bhattarai et al (2010)[49</w:t>
            </w:r>
            <w:r w:rsidRPr="00F754AD">
              <w:rPr>
                <w:sz w:val="20"/>
                <w:szCs w:val="20"/>
                <w:lang w:val="nb-NO"/>
              </w:rPr>
              <w:t>]; Da Silva et al (20</w:t>
            </w:r>
            <w:r>
              <w:rPr>
                <w:sz w:val="20"/>
                <w:szCs w:val="20"/>
                <w:lang w:val="nb-NO"/>
              </w:rPr>
              <w:t>12)[92]; de Boer et al (2012)[26</w:t>
            </w:r>
            <w:r w:rsidRPr="00F754AD">
              <w:rPr>
                <w:sz w:val="20"/>
                <w:szCs w:val="20"/>
                <w:lang w:val="nb-NO"/>
              </w:rPr>
              <w:t>]; Idu et al (2007)</w:t>
            </w:r>
            <w:r>
              <w:rPr>
                <w:sz w:val="20"/>
                <w:szCs w:val="20"/>
                <w:lang w:val="nb-NO"/>
              </w:rPr>
              <w:t>[93]; Ikram et al (2015)[94]; Jain et al (2005)[95]; Malla et al (2015)[96</w:t>
            </w:r>
            <w:r w:rsidRPr="00F754AD">
              <w:rPr>
                <w:sz w:val="20"/>
                <w:szCs w:val="20"/>
                <w:lang w:val="nb-NO"/>
              </w:rPr>
              <w:t>]; Mathibela et</w:t>
            </w:r>
            <w:r>
              <w:rPr>
                <w:sz w:val="20"/>
                <w:szCs w:val="20"/>
                <w:lang w:val="nb-NO"/>
              </w:rPr>
              <w:t xml:space="preserve"> al (2015)[28</w:t>
            </w:r>
            <w:r w:rsidRPr="00F754AD">
              <w:rPr>
                <w:sz w:val="20"/>
                <w:szCs w:val="20"/>
                <w:lang w:val="nb-NO"/>
              </w:rPr>
              <w:t>]; Moo</w:t>
            </w:r>
            <w:r>
              <w:rPr>
                <w:sz w:val="20"/>
                <w:szCs w:val="20"/>
                <w:lang w:val="nb-NO"/>
              </w:rPr>
              <w:t>toosamy &amp; Mahomoodally (2014)[97]; Panyaphu et al (2011)[54</w:t>
            </w:r>
            <w:r w:rsidRPr="00F754AD">
              <w:rPr>
                <w:sz w:val="20"/>
                <w:szCs w:val="20"/>
                <w:lang w:val="nb-NO"/>
              </w:rPr>
              <w:t>]; Rasool et al (2016)[2</w:t>
            </w:r>
            <w:r>
              <w:rPr>
                <w:sz w:val="20"/>
                <w:szCs w:val="20"/>
                <w:lang w:val="nb-NO"/>
              </w:rPr>
              <w:t xml:space="preserve">9]; Semenya et al (2012)[98]; Semenya et al (2013)[99]; Shil et </w:t>
            </w:r>
            <w:r>
              <w:rPr>
                <w:sz w:val="20"/>
                <w:szCs w:val="20"/>
                <w:lang w:val="nb-NO"/>
              </w:rPr>
              <w:lastRenderedPageBreak/>
              <w:t>al (2014)[30]; Soejarto et al (2012)[100]; Vandebroek et al (2004)[31</w:t>
            </w:r>
            <w:r w:rsidRPr="00F754AD">
              <w:rPr>
                <w:sz w:val="20"/>
                <w:szCs w:val="20"/>
                <w:lang w:val="nb-NO"/>
              </w:rPr>
              <w:t>]</w:t>
            </w:r>
          </w:p>
        </w:tc>
      </w:tr>
      <w:tr w:rsidR="00643204" w:rsidRPr="00C62597" w14:paraId="79291566" w14:textId="77777777" w:rsidTr="00385963">
        <w:tc>
          <w:tcPr>
            <w:tcW w:w="1629" w:type="dxa"/>
            <w:vMerge/>
            <w:shd w:val="clear" w:color="auto" w:fill="F5F5F5"/>
          </w:tcPr>
          <w:p w14:paraId="4659AD26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  <w:lang w:val="nb-NO"/>
              </w:rPr>
            </w:pPr>
          </w:p>
        </w:tc>
        <w:tc>
          <w:tcPr>
            <w:tcW w:w="1629" w:type="dxa"/>
          </w:tcPr>
          <w:p w14:paraId="79545CC6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Toxicities</w:t>
            </w:r>
          </w:p>
        </w:tc>
        <w:tc>
          <w:tcPr>
            <w:tcW w:w="2905" w:type="dxa"/>
          </w:tcPr>
          <w:p w14:paraId="34780D32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Efferth</w:t>
            </w:r>
            <w:r>
              <w:rPr>
                <w:sz w:val="20"/>
                <w:szCs w:val="20"/>
              </w:rPr>
              <w:t xml:space="preserve"> &amp; Kaina (2011)[25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7C9EF4FA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69AD17C7" w14:textId="77777777" w:rsidTr="00385963">
        <w:tc>
          <w:tcPr>
            <w:tcW w:w="1629" w:type="dxa"/>
            <w:vMerge/>
            <w:shd w:val="clear" w:color="auto" w:fill="F5F5F5"/>
          </w:tcPr>
          <w:p w14:paraId="3826F08D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8E72CDC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 xml:space="preserve">Anti-infective drugs </w:t>
            </w:r>
          </w:p>
        </w:tc>
        <w:tc>
          <w:tcPr>
            <w:tcW w:w="2905" w:type="dxa"/>
          </w:tcPr>
          <w:p w14:paraId="67B0D361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Husain and Ahmad (2013)[101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05AA19D1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0507E4A3" w14:textId="77777777" w:rsidTr="00385963">
        <w:trPr>
          <w:trHeight w:val="479"/>
        </w:trPr>
        <w:tc>
          <w:tcPr>
            <w:tcW w:w="1629" w:type="dxa"/>
            <w:vMerge w:val="restart"/>
            <w:shd w:val="clear" w:color="auto" w:fill="F5F5F5"/>
          </w:tcPr>
          <w:p w14:paraId="3076179E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Infectious diseases</w:t>
            </w:r>
          </w:p>
        </w:tc>
        <w:tc>
          <w:tcPr>
            <w:tcW w:w="1629" w:type="dxa"/>
          </w:tcPr>
          <w:p w14:paraId="3D74D892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Hand-washing techniques</w:t>
            </w:r>
          </w:p>
        </w:tc>
        <w:tc>
          <w:tcPr>
            <w:tcW w:w="2905" w:type="dxa"/>
          </w:tcPr>
          <w:p w14:paraId="46A54084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 (2009)[102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4CA8DBDF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76D5B8DD" w14:textId="77777777" w:rsidTr="00385963">
        <w:tc>
          <w:tcPr>
            <w:tcW w:w="1629" w:type="dxa"/>
            <w:vMerge/>
            <w:shd w:val="clear" w:color="auto" w:fill="F5F5F5"/>
          </w:tcPr>
          <w:p w14:paraId="1ADB06E7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FA47C8B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Enteric protozoa</w:t>
            </w:r>
          </w:p>
        </w:tc>
        <w:tc>
          <w:tcPr>
            <w:tcW w:w="2905" w:type="dxa"/>
          </w:tcPr>
          <w:p w14:paraId="444ADC47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Fletcher et al (2012)[103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06F16C55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4CC33600" w14:textId="77777777" w:rsidTr="00385963">
        <w:tc>
          <w:tcPr>
            <w:tcW w:w="1629" w:type="dxa"/>
            <w:vMerge/>
            <w:shd w:val="clear" w:color="auto" w:fill="F5F5F5"/>
          </w:tcPr>
          <w:p w14:paraId="0021FB23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2AC2324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Zoonotic diseases</w:t>
            </w:r>
          </w:p>
        </w:tc>
        <w:tc>
          <w:tcPr>
            <w:tcW w:w="2905" w:type="dxa"/>
          </w:tcPr>
          <w:p w14:paraId="10CCE31D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Beeckman &amp; Vanrompay (2009)[104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1F3198E4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(2016)[105</w:t>
            </w:r>
            <w:r w:rsidRPr="00F754AD">
              <w:rPr>
                <w:sz w:val="20"/>
                <w:szCs w:val="20"/>
              </w:rPr>
              <w:t xml:space="preserve">]; </w:t>
            </w:r>
            <w:r>
              <w:rPr>
                <w:sz w:val="20"/>
                <w:szCs w:val="20"/>
              </w:rPr>
              <w:t>Hensgens et al (2012)[106]; Warwick (2004)[41</w:t>
            </w:r>
            <w:r w:rsidRPr="00F754AD">
              <w:rPr>
                <w:sz w:val="20"/>
                <w:szCs w:val="20"/>
              </w:rPr>
              <w:t>]</w:t>
            </w:r>
          </w:p>
        </w:tc>
      </w:tr>
      <w:tr w:rsidR="00643204" w:rsidRPr="00DC52A0" w14:paraId="4A5587A5" w14:textId="77777777" w:rsidTr="00385963">
        <w:tc>
          <w:tcPr>
            <w:tcW w:w="1629" w:type="dxa"/>
            <w:vMerge/>
            <w:shd w:val="clear" w:color="auto" w:fill="F5F5F5"/>
          </w:tcPr>
          <w:p w14:paraId="77FB694D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3039DDF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Disease control</w:t>
            </w:r>
          </w:p>
        </w:tc>
        <w:tc>
          <w:tcPr>
            <w:tcW w:w="2905" w:type="dxa"/>
          </w:tcPr>
          <w:p w14:paraId="3CCC20E5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Atkinson et al  (2011)[56</w:t>
            </w:r>
            <w:r w:rsidRPr="00F754AD">
              <w:rPr>
                <w:sz w:val="20"/>
                <w:szCs w:val="20"/>
                <w:lang w:val="nb-NO"/>
              </w:rPr>
              <w:t>]; Corley et al  (</w:t>
            </w:r>
            <w:r>
              <w:rPr>
                <w:sz w:val="20"/>
                <w:szCs w:val="20"/>
                <w:lang w:val="nb-NO"/>
              </w:rPr>
              <w:t>2016)[57]; Lines et al  (1994)[55]; Haider et al  (2015)[40</w:t>
            </w:r>
            <w:r w:rsidRPr="00F754AD">
              <w:rPr>
                <w:sz w:val="20"/>
                <w:szCs w:val="20"/>
                <w:lang w:val="nb-NO"/>
              </w:rPr>
              <w:t>]</w:t>
            </w:r>
          </w:p>
        </w:tc>
        <w:tc>
          <w:tcPr>
            <w:tcW w:w="2906" w:type="dxa"/>
          </w:tcPr>
          <w:p w14:paraId="7E16C376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  <w:lang w:val="nb-NO"/>
              </w:rPr>
            </w:pPr>
          </w:p>
        </w:tc>
      </w:tr>
      <w:tr w:rsidR="00643204" w:rsidRPr="00C62597" w14:paraId="1F9DC8B5" w14:textId="77777777" w:rsidTr="00385963">
        <w:tc>
          <w:tcPr>
            <w:tcW w:w="1629" w:type="dxa"/>
            <w:vMerge/>
            <w:shd w:val="clear" w:color="auto" w:fill="F5F5F5"/>
          </w:tcPr>
          <w:p w14:paraId="4E418F7F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  <w:lang w:val="nb-NO"/>
              </w:rPr>
            </w:pPr>
          </w:p>
        </w:tc>
        <w:tc>
          <w:tcPr>
            <w:tcW w:w="1629" w:type="dxa"/>
          </w:tcPr>
          <w:p w14:paraId="442ACAB6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Natural disasters</w:t>
            </w:r>
          </w:p>
        </w:tc>
        <w:tc>
          <w:tcPr>
            <w:tcW w:w="2905" w:type="dxa"/>
          </w:tcPr>
          <w:p w14:paraId="38AF7E36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Kouadio et al  (2012)[38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3F89AC24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3B5323A5" w14:textId="77777777" w:rsidTr="00385963">
        <w:tc>
          <w:tcPr>
            <w:tcW w:w="1629" w:type="dxa"/>
            <w:vMerge/>
            <w:shd w:val="clear" w:color="auto" w:fill="F5F5F5"/>
          </w:tcPr>
          <w:p w14:paraId="03298340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A9CEA44" w14:textId="77777777" w:rsidR="00643204" w:rsidRPr="00F754AD" w:rsidRDefault="00643204" w:rsidP="00385963">
            <w:pPr>
              <w:tabs>
                <w:tab w:val="center" w:pos="645"/>
              </w:tabs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Soil-Related Infections</w:t>
            </w:r>
          </w:p>
        </w:tc>
        <w:tc>
          <w:tcPr>
            <w:tcW w:w="2905" w:type="dxa"/>
          </w:tcPr>
          <w:p w14:paraId="20D41F81" w14:textId="77777777" w:rsidR="00643204" w:rsidRPr="00F754AD" w:rsidRDefault="00643204" w:rsidP="00385963">
            <w:pPr>
              <w:tabs>
                <w:tab w:val="center" w:pos="645"/>
              </w:tabs>
              <w:spacing w:before="0" w:after="0"/>
              <w:ind w:left="41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Baumgardner</w:t>
            </w:r>
            <w:r>
              <w:rPr>
                <w:sz w:val="20"/>
                <w:szCs w:val="20"/>
              </w:rPr>
              <w:t xml:space="preserve"> (2012)[107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04C95875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3A5AD8AA" w14:textId="77777777" w:rsidTr="00385963">
        <w:tc>
          <w:tcPr>
            <w:tcW w:w="1629" w:type="dxa"/>
            <w:vMerge w:val="restart"/>
            <w:shd w:val="clear" w:color="auto" w:fill="F5F5F5"/>
          </w:tcPr>
          <w:p w14:paraId="7F8B520B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Natural disasters</w:t>
            </w:r>
          </w:p>
        </w:tc>
        <w:tc>
          <w:tcPr>
            <w:tcW w:w="1629" w:type="dxa"/>
          </w:tcPr>
          <w:p w14:paraId="1ED77FC9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Traumatic experiences</w:t>
            </w:r>
          </w:p>
        </w:tc>
        <w:tc>
          <w:tcPr>
            <w:tcW w:w="2905" w:type="dxa"/>
          </w:tcPr>
          <w:p w14:paraId="4C4E0B60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Crosby (2013)[42], Spoont et al  (2015)[43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6917350B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43204" w:rsidRPr="00C62597" w14:paraId="5F78BF71" w14:textId="77777777" w:rsidTr="00385963">
        <w:tc>
          <w:tcPr>
            <w:tcW w:w="1629" w:type="dxa"/>
            <w:vMerge/>
            <w:shd w:val="clear" w:color="auto" w:fill="F5F5F5"/>
          </w:tcPr>
          <w:p w14:paraId="4A36BA4A" w14:textId="77777777" w:rsidR="00643204" w:rsidRPr="00F754AD" w:rsidRDefault="00643204" w:rsidP="00385963">
            <w:pPr>
              <w:tabs>
                <w:tab w:val="left" w:pos="1024"/>
              </w:tabs>
              <w:spacing w:before="0"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0957C21" w14:textId="77777777" w:rsidR="00643204" w:rsidRPr="00F754AD" w:rsidRDefault="00643204" w:rsidP="00385963">
            <w:pPr>
              <w:spacing w:before="0" w:after="0"/>
              <w:ind w:left="29"/>
              <w:rPr>
                <w:sz w:val="20"/>
                <w:szCs w:val="20"/>
              </w:rPr>
            </w:pPr>
            <w:r w:rsidRPr="00F754AD">
              <w:rPr>
                <w:sz w:val="20"/>
                <w:szCs w:val="20"/>
              </w:rPr>
              <w:t>Flood-related skin diseases</w:t>
            </w:r>
          </w:p>
        </w:tc>
        <w:tc>
          <w:tcPr>
            <w:tcW w:w="2905" w:type="dxa"/>
          </w:tcPr>
          <w:p w14:paraId="71C7D042" w14:textId="77777777" w:rsidR="00643204" w:rsidRPr="00F754AD" w:rsidRDefault="00643204" w:rsidP="00385963">
            <w:pPr>
              <w:spacing w:before="0" w:after="0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Tempark et al  (2013)[39</w:t>
            </w:r>
            <w:r w:rsidRPr="00F754AD">
              <w:rPr>
                <w:sz w:val="20"/>
                <w:szCs w:val="20"/>
              </w:rPr>
              <w:t>]</w:t>
            </w:r>
          </w:p>
        </w:tc>
        <w:tc>
          <w:tcPr>
            <w:tcW w:w="2906" w:type="dxa"/>
          </w:tcPr>
          <w:p w14:paraId="198D5EC1" w14:textId="77777777" w:rsidR="00643204" w:rsidRPr="00F754AD" w:rsidRDefault="00643204" w:rsidP="00385963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36554E22" w14:textId="15EFE294" w:rsidR="00643204" w:rsidRDefault="00643204" w:rsidP="00643204">
      <w:r>
        <w:br/>
      </w:r>
      <w:bookmarkStart w:id="0" w:name="_GoBack"/>
      <w:bookmarkEnd w:id="0"/>
      <w:r>
        <w:t xml:space="preserve">References </w:t>
      </w:r>
    </w:p>
    <w:p w14:paraId="01A34067" w14:textId="77777777" w:rsidR="00643204" w:rsidRDefault="00643204" w:rsidP="00643204">
      <w:pPr>
        <w:spacing w:before="0"/>
        <w:rPr>
          <w:sz w:val="20"/>
        </w:rPr>
      </w:pPr>
      <w:r w:rsidRPr="00DB74AD">
        <w:rPr>
          <w:sz w:val="20"/>
        </w:rPr>
        <w:t>68.</w:t>
      </w:r>
      <w:r>
        <w:rPr>
          <w:sz w:val="20"/>
        </w:rPr>
        <w:t xml:space="preserve"> </w:t>
      </w:r>
      <w:r w:rsidRPr="00DB74AD">
        <w:rPr>
          <w:sz w:val="20"/>
        </w:rPr>
        <w:t>Dai C, Zheng CQ, Jiang M, Ma XY, Jiang LJ. Probiotics and irritable bowel syndrome. World journal of gastroenterology (2013) 19:5973–80. doi: 10.3748/wjg.v19.i36.5973</w:t>
      </w:r>
    </w:p>
    <w:p w14:paraId="6EEA5EEC" w14:textId="77777777" w:rsidR="00643204" w:rsidRPr="00442EBF" w:rsidRDefault="00643204" w:rsidP="00643204">
      <w:pPr>
        <w:spacing w:before="0"/>
        <w:rPr>
          <w:sz w:val="20"/>
        </w:rPr>
      </w:pPr>
      <w:r w:rsidRPr="00A15352">
        <w:rPr>
          <w:sz w:val="20"/>
        </w:rPr>
        <w:t xml:space="preserve">69. Elley CR, Garrett S, Rose SB, O'Dea D, Lawton BA, Moyes SA, et al. </w:t>
      </w:r>
      <w:r w:rsidRPr="00442EBF">
        <w:rPr>
          <w:sz w:val="20"/>
        </w:rPr>
        <w:t>Cost-effectiveness of exercise on prescription with telephone support among women in general practice over 2 years. Br J Sports Med (2011) 45:1223–9. doi: 10.1136/bjsm.2010.072439</w:t>
      </w:r>
    </w:p>
    <w:p w14:paraId="304863B8" w14:textId="77777777" w:rsidR="00643204" w:rsidRPr="00A15352" w:rsidRDefault="00643204" w:rsidP="00643204">
      <w:pPr>
        <w:spacing w:before="0"/>
        <w:rPr>
          <w:sz w:val="20"/>
          <w:lang w:val="nl-BE"/>
        </w:rPr>
      </w:pPr>
      <w:r w:rsidRPr="00442EBF">
        <w:rPr>
          <w:sz w:val="20"/>
        </w:rPr>
        <w:t>70.</w:t>
      </w:r>
      <w:r>
        <w:rPr>
          <w:sz w:val="20"/>
        </w:rPr>
        <w:t xml:space="preserve"> </w:t>
      </w:r>
      <w:r w:rsidRPr="00442EBF">
        <w:rPr>
          <w:sz w:val="20"/>
        </w:rPr>
        <w:t xml:space="preserve">Gribben B, Goodyear-Smith F, Grobbelaar M, O'Neill D, Walker S. The early experience of general practitioners using Green Prescription. </w:t>
      </w:r>
      <w:r w:rsidRPr="00A15352">
        <w:rPr>
          <w:sz w:val="20"/>
          <w:lang w:val="nl-BE"/>
        </w:rPr>
        <w:t>N Z Med J (2000) 113:372–3.</w:t>
      </w:r>
    </w:p>
    <w:p w14:paraId="64266315" w14:textId="77777777" w:rsidR="00643204" w:rsidRPr="00442EBF" w:rsidRDefault="00643204" w:rsidP="00643204">
      <w:pPr>
        <w:spacing w:before="0"/>
        <w:rPr>
          <w:sz w:val="20"/>
        </w:rPr>
      </w:pPr>
      <w:r w:rsidRPr="00A15352">
        <w:rPr>
          <w:sz w:val="20"/>
          <w:lang w:val="nl-BE"/>
        </w:rPr>
        <w:t>71.</w:t>
      </w:r>
      <w:r>
        <w:rPr>
          <w:sz w:val="20"/>
          <w:lang w:val="nl-BE"/>
        </w:rPr>
        <w:t xml:space="preserve"> </w:t>
      </w:r>
      <w:r w:rsidRPr="00A15352">
        <w:rPr>
          <w:sz w:val="20"/>
          <w:lang w:val="nl-BE"/>
        </w:rPr>
        <w:t xml:space="preserve">Huijg JM, van der Zouwe N, Crone MR, Verheijden MW, Middelkoop BJ, Gebhardt WA. </w:t>
      </w:r>
      <w:r w:rsidRPr="00442EBF">
        <w:rPr>
          <w:sz w:val="20"/>
        </w:rPr>
        <w:t>Factors influencing the introduction of physical activity interventions in primary health care: a qualitative study. Int J Behav Med (2014) 22:404–14. doi: 10.1007/s12529-014-9411-9</w:t>
      </w:r>
    </w:p>
    <w:p w14:paraId="2FB40348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72.</w:t>
      </w:r>
      <w:r>
        <w:rPr>
          <w:sz w:val="20"/>
        </w:rPr>
        <w:t xml:space="preserve"> </w:t>
      </w:r>
      <w:r w:rsidRPr="00442EBF">
        <w:rPr>
          <w:sz w:val="20"/>
        </w:rPr>
        <w:t>Kerse N, Elley CR, Robinson E, Arroll B. Is physical activity counseling effective for older people? A cluster randomized, controlled trial in primary care. J Am Geriatr Soc (2005) 53:1951–6. doi: 10.1111/j.1532-5415.2005.00466.x</w:t>
      </w:r>
    </w:p>
    <w:p w14:paraId="27EEB527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73.</w:t>
      </w:r>
      <w:r>
        <w:rPr>
          <w:sz w:val="20"/>
        </w:rPr>
        <w:t xml:space="preserve"> </w:t>
      </w:r>
      <w:r w:rsidRPr="00442EBF">
        <w:rPr>
          <w:sz w:val="20"/>
        </w:rPr>
        <w:t>Kolt GS, Schofield GM, Kerse N, Garrett N, Ashton T, Patel A. Healthy Steps trial: pedometer-based advice and physical activity for low-active older adults. Annals of family medicine (2012) 10:206–12. doi: 10.1370/afm.1345</w:t>
      </w:r>
    </w:p>
    <w:p w14:paraId="0BA86466" w14:textId="77777777" w:rsidR="00643204" w:rsidRPr="00442EBF" w:rsidRDefault="00643204" w:rsidP="00643204">
      <w:pPr>
        <w:spacing w:before="0"/>
        <w:rPr>
          <w:sz w:val="20"/>
        </w:rPr>
      </w:pPr>
      <w:r w:rsidRPr="00DC52A0">
        <w:rPr>
          <w:sz w:val="20"/>
        </w:rPr>
        <w:t xml:space="preserve">74. Kolt GS, Schofield GM, Kerse N, Garrett N, Schluter PJ, Ashton T et al. </w:t>
      </w:r>
      <w:r w:rsidRPr="00442EBF">
        <w:rPr>
          <w:sz w:val="20"/>
        </w:rPr>
        <w:t>The healthy steps study: a randomized controlled trial of a pedometer-based green prescription for older adults. Trial protocol. BMC Public Health (2009) 9:404. doi: 10.1186/1471-2458-9-404</w:t>
      </w:r>
    </w:p>
    <w:p w14:paraId="56205E9E" w14:textId="77777777" w:rsidR="00643204" w:rsidRPr="00442EBF" w:rsidRDefault="00643204" w:rsidP="00643204">
      <w:pPr>
        <w:spacing w:before="0"/>
        <w:rPr>
          <w:sz w:val="20"/>
        </w:rPr>
      </w:pPr>
      <w:r w:rsidRPr="00DC52A0">
        <w:rPr>
          <w:sz w:val="20"/>
        </w:rPr>
        <w:t xml:space="preserve">75. Leung W, Ashton T, Kolt GS, Schofield GM, Garrett N, Kerse N, et al. </w:t>
      </w:r>
      <w:r w:rsidRPr="00442EBF">
        <w:rPr>
          <w:sz w:val="20"/>
        </w:rPr>
        <w:t>Cost-effectiveness of pedometer-based versus time-based Green Prescriptions: the Healthy Steps Study. Australian journal of primary health (2012) 18:204–11. doi: 10.1071/PY11028</w:t>
      </w:r>
    </w:p>
    <w:p w14:paraId="32DAAAC4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76.</w:t>
      </w:r>
      <w:r>
        <w:rPr>
          <w:sz w:val="20"/>
        </w:rPr>
        <w:t xml:space="preserve"> </w:t>
      </w:r>
      <w:r w:rsidRPr="00442EBF">
        <w:rPr>
          <w:sz w:val="20"/>
        </w:rPr>
        <w:t>Patel A, Schofield GM, Kolt GS, Keogh JWL. General practitioners views and experiences of counselling for physical activity. BMC Family Practice (2011) 12:119–26. doi: 10.1186/1471-2296-12-119</w:t>
      </w:r>
    </w:p>
    <w:p w14:paraId="09D5F31A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lastRenderedPageBreak/>
        <w:t>77.</w:t>
      </w:r>
      <w:r>
        <w:rPr>
          <w:sz w:val="20"/>
        </w:rPr>
        <w:t xml:space="preserve"> </w:t>
      </w:r>
      <w:r w:rsidRPr="00442EBF">
        <w:rPr>
          <w:sz w:val="20"/>
        </w:rPr>
        <w:t>Patel A, Keogh JW, Kolt GS, Schofield GM. The long-term effects of a primary care physical activity intervention on mental health in low-active, community-dwelling older adults. Aging &amp; mental health (2013) 17:766–72. doi: 10.1080/13607863.2013.781118</w:t>
      </w:r>
    </w:p>
    <w:p w14:paraId="6FDBF460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78.</w:t>
      </w:r>
      <w:r>
        <w:rPr>
          <w:sz w:val="20"/>
        </w:rPr>
        <w:t xml:space="preserve"> </w:t>
      </w:r>
      <w:r w:rsidRPr="00442EBF">
        <w:rPr>
          <w:sz w:val="20"/>
        </w:rPr>
        <w:t>Patel A, Schofield GM, Kolt GS, Keogh JW. Perceived barriers, benefits, and motives for physical activity: two primary-care physical activity prescription programs. Journal of aging and physical activity (2013) 21:85–99. doi: 10.1123/japa.21.1.85</w:t>
      </w:r>
    </w:p>
    <w:p w14:paraId="643AEF19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79.</w:t>
      </w:r>
      <w:r>
        <w:rPr>
          <w:sz w:val="20"/>
        </w:rPr>
        <w:t xml:space="preserve"> </w:t>
      </w:r>
      <w:r w:rsidRPr="00442EBF">
        <w:rPr>
          <w:sz w:val="20"/>
        </w:rPr>
        <w:t>Swinburn BA, Walter LG, Arroll B, Tilyard MW, Russell DG. The green prescription study: a randomized controlled trial of written exercise advice provided by general practitioners. Am J Public Health (1998) 88:288–91. doi: 10.2105/AJPH.88.2.288</w:t>
      </w:r>
    </w:p>
    <w:p w14:paraId="43F38566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80.</w:t>
      </w:r>
      <w:r>
        <w:rPr>
          <w:sz w:val="20"/>
        </w:rPr>
        <w:t xml:space="preserve"> </w:t>
      </w:r>
      <w:r w:rsidRPr="00442EBF">
        <w:rPr>
          <w:sz w:val="20"/>
        </w:rPr>
        <w:t>Wannamethee SG, Shaper AG, Walker M. Physical activity and mortality in older men with diagnosed coronary heart disease. Circulation (2000) 102:1358–63. doi: 10.1161/01.CIR.102.12.1358</w:t>
      </w:r>
    </w:p>
    <w:p w14:paraId="7051626F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81.</w:t>
      </w:r>
      <w:r>
        <w:rPr>
          <w:sz w:val="20"/>
        </w:rPr>
        <w:t xml:space="preserve"> </w:t>
      </w:r>
      <w:r w:rsidRPr="00442EBF">
        <w:rPr>
          <w:sz w:val="20"/>
        </w:rPr>
        <w:t>Fromageot A, Parent F, Coppieters Y. Femmes, cultures maraîchères et recours aux soins en Afrique de l'Ouest. Sciences Sociales et Santé (2005) 23:49–70.</w:t>
      </w:r>
    </w:p>
    <w:p w14:paraId="7D3A27FE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82.</w:t>
      </w:r>
      <w:r>
        <w:rPr>
          <w:sz w:val="20"/>
        </w:rPr>
        <w:t xml:space="preserve"> </w:t>
      </w:r>
      <w:r w:rsidRPr="00442EBF">
        <w:rPr>
          <w:sz w:val="20"/>
        </w:rPr>
        <w:t>Nayyar D, Hwang SW. Cardiovascular Health Issues in Inner City Populations. Can J Cardiol (2015) 31:1130–8. doi: 10.1016/j.cjca.2015.04.011</w:t>
      </w:r>
    </w:p>
    <w:p w14:paraId="3B1D3C3A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83.</w:t>
      </w:r>
      <w:r>
        <w:rPr>
          <w:sz w:val="20"/>
        </w:rPr>
        <w:t xml:space="preserve"> </w:t>
      </w:r>
      <w:r w:rsidRPr="00442EBF">
        <w:rPr>
          <w:sz w:val="20"/>
        </w:rPr>
        <w:t>Balick MJ. Ethnobotany and the identification of therapeutic agents from the rainforest. Ciba Foundation symposium (1990) 154:22–31. doi: 10.1002/9780470514009.ch3</w:t>
      </w:r>
    </w:p>
    <w:p w14:paraId="6B9C47C6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84.</w:t>
      </w:r>
      <w:r>
        <w:rPr>
          <w:sz w:val="20"/>
        </w:rPr>
        <w:t xml:space="preserve"> </w:t>
      </w:r>
      <w:r w:rsidRPr="00442EBF">
        <w:rPr>
          <w:sz w:val="20"/>
        </w:rPr>
        <w:t>Dikshit A, Shahi SK, Pandey KP, Patra M, Shukla AC. Aromatic plants - a source of natural</w:t>
      </w:r>
      <w:r>
        <w:rPr>
          <w:sz w:val="20"/>
        </w:rPr>
        <w:t xml:space="preserve"> </w:t>
      </w:r>
      <w:r w:rsidRPr="00442EBF">
        <w:rPr>
          <w:sz w:val="20"/>
        </w:rPr>
        <w:t>chemotherapeutants. National Academy Science Letters (2004) 27:145–64.</w:t>
      </w:r>
    </w:p>
    <w:p w14:paraId="657A5470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85.</w:t>
      </w:r>
      <w:r>
        <w:rPr>
          <w:sz w:val="20"/>
        </w:rPr>
        <w:t xml:space="preserve"> </w:t>
      </w:r>
      <w:r w:rsidRPr="00442EBF">
        <w:rPr>
          <w:sz w:val="20"/>
        </w:rPr>
        <w:t>Dal Cero M, Saller R, Weckerle CS. Herbalists of Today's Switzerland and Their Plant Knowledge. A Preliminary Analysis from an Ethnobotanical Perspective. Forschende Komplementarmedizin (2015) 22:238–45. doi: 10.1159/000438809</w:t>
      </w:r>
    </w:p>
    <w:p w14:paraId="210640E7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86.</w:t>
      </w:r>
      <w:r>
        <w:rPr>
          <w:sz w:val="20"/>
        </w:rPr>
        <w:t xml:space="preserve"> </w:t>
      </w:r>
      <w:r w:rsidRPr="00442EBF">
        <w:rPr>
          <w:sz w:val="20"/>
        </w:rPr>
        <w:t>Grierson D, Otang WM, Afolayan AJ. A review of the Botany, phytochemistry, pharmacology and toxicology of Arctotis arctotoides (L.f.) O.Hoffm. (Asteraceae). Afr J Tradit Complement Altern Med (2014) 11:118–26. doi: 10.21010/ajtcam.v11i6.12</w:t>
      </w:r>
    </w:p>
    <w:p w14:paraId="07F4AD32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87.</w:t>
      </w:r>
      <w:r>
        <w:rPr>
          <w:sz w:val="20"/>
        </w:rPr>
        <w:t xml:space="preserve"> </w:t>
      </w:r>
      <w:r w:rsidRPr="00442EBF">
        <w:rPr>
          <w:sz w:val="20"/>
        </w:rPr>
        <w:t>Mishra A, Seth A, Maurya SK. Therapeutic significance and pharmacological activities of antidiarrheal medicinal plants mention in Ayurveda: A review. Journal of intercultural ethnopharmacology (2016) 5:290–307. doi: 10.5455/jice.20160426094553</w:t>
      </w:r>
    </w:p>
    <w:p w14:paraId="50A51162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88.</w:t>
      </w:r>
      <w:r>
        <w:rPr>
          <w:sz w:val="20"/>
        </w:rPr>
        <w:t xml:space="preserve"> </w:t>
      </w:r>
      <w:r w:rsidRPr="00442EBF">
        <w:rPr>
          <w:sz w:val="20"/>
        </w:rPr>
        <w:t>Sharma H, Chandola HM, Singh G, Basisht G. Utilization of Ayurveda in health care: an approach for prevention, health promotion, and treatment of disease. Part 2-Ayurveda in primary health care. Journal of alternative and complementary medicine (2007) 13:1135–50. doi: 10.1089/acm.2007.7017-B</w:t>
      </w:r>
    </w:p>
    <w:p w14:paraId="6798BB9C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89.</w:t>
      </w:r>
      <w:r>
        <w:rPr>
          <w:sz w:val="20"/>
        </w:rPr>
        <w:t xml:space="preserve"> </w:t>
      </w:r>
      <w:r w:rsidRPr="00442EBF">
        <w:rPr>
          <w:sz w:val="20"/>
        </w:rPr>
        <w:t>Ahmad M, Khan MP, Mukhtar A, Zafar M, Sultana S, Jahan S. Ethnopharmacological survey on medicinal plants used in herbal drinks among the traditional communities of Pakistan. J Ethnopharmacol (2016) 184:154–86. doi: 10.1016/j.jep.2016.02.039</w:t>
      </w:r>
    </w:p>
    <w:p w14:paraId="696235CC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90.</w:t>
      </w:r>
      <w:r>
        <w:rPr>
          <w:sz w:val="20"/>
        </w:rPr>
        <w:t xml:space="preserve"> </w:t>
      </w:r>
      <w:r w:rsidRPr="00442EBF">
        <w:rPr>
          <w:sz w:val="20"/>
        </w:rPr>
        <w:t>Aziz MA, Adnan M, Khan AH, Rehman AU, Jan R, Khan J. Ethno-medicinal survey of important plants practiced by indigenous community at Ladha subdivision, South Waziristan agency, Pakistan. Journal of ethnobiology and ethnomedicine (2016) 12:53. doi: 10.1186/s13002-016-0126-7</w:t>
      </w:r>
    </w:p>
    <w:p w14:paraId="77B6C30D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91.</w:t>
      </w:r>
      <w:r>
        <w:rPr>
          <w:sz w:val="20"/>
        </w:rPr>
        <w:t xml:space="preserve"> </w:t>
      </w:r>
      <w:r w:rsidRPr="00442EBF">
        <w:rPr>
          <w:sz w:val="20"/>
        </w:rPr>
        <w:t>Baydoun S, Chalak L, Dalleh H, Arnold N. Ethnopharmacological survey of medicinal plants used in traditional medicine by the communities of Mount Hermon, Lebanon. J Ethnopharmacol (2015) 173:139–56. doi: 10.1016/j.jep.2015.06.052</w:t>
      </w:r>
    </w:p>
    <w:p w14:paraId="3965B1CC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lastRenderedPageBreak/>
        <w:t>92.</w:t>
      </w:r>
      <w:r>
        <w:rPr>
          <w:sz w:val="20"/>
        </w:rPr>
        <w:t xml:space="preserve"> </w:t>
      </w:r>
      <w:r w:rsidRPr="00442EBF">
        <w:rPr>
          <w:sz w:val="20"/>
        </w:rPr>
        <w:t>Da Silva NCB, Delfino Regis AC, Esquibel MA, Espirito Santo Santo J, Almeida MZ. Medicinal plants use in Barra II quilombola community - Bahia, Brazil. Boletín Latinoamericano y del Caribe de Plantas Medicinales y Aromáticas (2012) 11:435–453</w:t>
      </w:r>
    </w:p>
    <w:p w14:paraId="0D62C47E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93.</w:t>
      </w:r>
      <w:r>
        <w:rPr>
          <w:sz w:val="20"/>
        </w:rPr>
        <w:t xml:space="preserve"> </w:t>
      </w:r>
      <w:r w:rsidRPr="00442EBF">
        <w:rPr>
          <w:sz w:val="20"/>
        </w:rPr>
        <w:t xml:space="preserve">Idu M, Osemwegie O, Odia EA, Onyibe HI. A survey of indigenous flora used by folk medicine practitioners in Yola council area of Adamawa State, Nigeria. Plant Archives (2007) 7:517–521. </w:t>
      </w:r>
    </w:p>
    <w:p w14:paraId="2118C009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94.</w:t>
      </w:r>
      <w:r>
        <w:rPr>
          <w:sz w:val="20"/>
        </w:rPr>
        <w:t xml:space="preserve"> </w:t>
      </w:r>
      <w:r w:rsidRPr="00442EBF">
        <w:rPr>
          <w:sz w:val="20"/>
        </w:rPr>
        <w:t>Ikram A, Zahra NB, Shinwari ZK, Qaiser M. Ethnomedicinal review of folklore medicinal plants belonging to family Apiaceae of Pakistan. Pakistan Journal of Botany (2015) 47:1007–14.</w:t>
      </w:r>
    </w:p>
    <w:p w14:paraId="4D8BDDD4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95.</w:t>
      </w:r>
      <w:r>
        <w:rPr>
          <w:sz w:val="20"/>
        </w:rPr>
        <w:t xml:space="preserve"> </w:t>
      </w:r>
      <w:r w:rsidRPr="00442EBF">
        <w:rPr>
          <w:sz w:val="20"/>
        </w:rPr>
        <w:t>Jain A, Katewa SS, Galav PK, Sharma P. Medicinal plant diversity of Sitamata wildlife sanctuary, Rajasthan, India. J Ethnopharmacol (2005) 102:143–57. doi: 10.1016/j.jep.2005.05.047</w:t>
      </w:r>
    </w:p>
    <w:p w14:paraId="09C9EF93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96.</w:t>
      </w:r>
      <w:r>
        <w:rPr>
          <w:sz w:val="20"/>
        </w:rPr>
        <w:t xml:space="preserve"> </w:t>
      </w:r>
      <w:r w:rsidRPr="00442EBF">
        <w:rPr>
          <w:sz w:val="20"/>
        </w:rPr>
        <w:t>Malla B, Gauchan DP, Chhetri RB. An ethnobotanical study of medicinal plants used by ethnic people in Parbat district of western Nepal. J Ethnopharmacol (2015) 165:103–17. doi: 10.1016/j.jep.2014.12.057</w:t>
      </w:r>
    </w:p>
    <w:p w14:paraId="22F8A0E9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97.</w:t>
      </w:r>
      <w:r>
        <w:rPr>
          <w:sz w:val="20"/>
        </w:rPr>
        <w:t xml:space="preserve"> </w:t>
      </w:r>
      <w:r w:rsidRPr="00442EBF">
        <w:rPr>
          <w:sz w:val="20"/>
        </w:rPr>
        <w:t>Mootoosamy A, Fawzi Mahomoodally M. Ethnomedicinal application of native remedies used against diabetes and related complications in Mauritius. Journal of ethnopharmacology (2014) 151:413–44. doi: 10.1016/j.jep.2013.10.069</w:t>
      </w:r>
    </w:p>
    <w:p w14:paraId="3741E190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98.</w:t>
      </w:r>
      <w:r>
        <w:rPr>
          <w:sz w:val="20"/>
        </w:rPr>
        <w:t xml:space="preserve"> </w:t>
      </w:r>
      <w:r w:rsidRPr="00442EBF">
        <w:rPr>
          <w:sz w:val="20"/>
        </w:rPr>
        <w:t>Semenya S, Potgieter M, Tshisikhawe M, Shava S, Maroyi A. Medicinal utilization of exotic plants by Bapedi traditional healers to treat human ailments in Limpopo province, South Africa. J Ethnopharmacoly (2012) 144:646–55. doi: 10.1016/j.jep.2012.10.005</w:t>
      </w:r>
    </w:p>
    <w:p w14:paraId="75771FC2" w14:textId="77777777" w:rsidR="00643204" w:rsidRPr="00442EBF" w:rsidRDefault="00643204" w:rsidP="00643204">
      <w:pPr>
        <w:spacing w:before="0"/>
        <w:rPr>
          <w:sz w:val="20"/>
        </w:rPr>
      </w:pPr>
      <w:r w:rsidRPr="00A15352">
        <w:rPr>
          <w:sz w:val="20"/>
          <w:lang w:val="nb-NO"/>
        </w:rPr>
        <w:t>99.</w:t>
      </w:r>
      <w:r>
        <w:rPr>
          <w:sz w:val="20"/>
          <w:lang w:val="nb-NO"/>
        </w:rPr>
        <w:t xml:space="preserve"> </w:t>
      </w:r>
      <w:r w:rsidRPr="00A15352">
        <w:rPr>
          <w:sz w:val="20"/>
          <w:lang w:val="nb-NO"/>
        </w:rPr>
        <w:t xml:space="preserve">Semenya SS, Potgieter MJ, Erasmus LJ. </w:t>
      </w:r>
      <w:r w:rsidRPr="00442EBF">
        <w:rPr>
          <w:sz w:val="20"/>
        </w:rPr>
        <w:t>Exotic and indigenous problem plants species used, by the Bapedi, to treat sexually transmitted infections in Limpopo Province, South Africa. Afr Health Sci (2013) 13:320–6. doi: 10.4314/ahs.v13i2.17</w:t>
      </w:r>
    </w:p>
    <w:p w14:paraId="760A5C7F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100.</w:t>
      </w:r>
      <w:r>
        <w:rPr>
          <w:sz w:val="20"/>
        </w:rPr>
        <w:t xml:space="preserve"> </w:t>
      </w:r>
      <w:r w:rsidRPr="00442EBF">
        <w:rPr>
          <w:sz w:val="20"/>
        </w:rPr>
        <w:t>Soejarto DD, Gyllenhaal C, Kadushin MR, Southavong B, Sydara K, Bouamanivong S et al. An ethnobotanical survey of medicinal plants of Laos toward the discovery of bioactive compounds as potential candidates for pharmaceutical development. Pharmaceutical biology (2012) 50:42–60. doi: 10.3109/13880209.2011.619700</w:t>
      </w:r>
    </w:p>
    <w:p w14:paraId="068B5A45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101.</w:t>
      </w:r>
      <w:r>
        <w:rPr>
          <w:sz w:val="20"/>
        </w:rPr>
        <w:t xml:space="preserve"> </w:t>
      </w:r>
      <w:r w:rsidRPr="00442EBF">
        <w:rPr>
          <w:sz w:val="20"/>
        </w:rPr>
        <w:t>Husain F, Ahmad I. Quorum sensing iNCHbitors from natural products as potential novel anti-infective agents. Drugs of the Future (2013) 38:691–705. doi: 10.1358/dof.2013.038.10.2025393</w:t>
      </w:r>
    </w:p>
    <w:p w14:paraId="2B12AC5C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102.</w:t>
      </w:r>
      <w:r>
        <w:rPr>
          <w:sz w:val="20"/>
        </w:rPr>
        <w:t xml:space="preserve"> </w:t>
      </w:r>
      <w:r w:rsidRPr="00442EBF">
        <w:rPr>
          <w:sz w:val="20"/>
        </w:rPr>
        <w:t>Smith SM. A review of hand-washing techniques in primary care and community settings. Journal of clinical nursing (2009) 18:786–90. doi: 10.1111/j.1365-2702.2008.02546.x</w:t>
      </w:r>
    </w:p>
    <w:p w14:paraId="066B0E1B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103.</w:t>
      </w:r>
      <w:r>
        <w:rPr>
          <w:sz w:val="20"/>
        </w:rPr>
        <w:t xml:space="preserve"> </w:t>
      </w:r>
      <w:r w:rsidRPr="00442EBF">
        <w:rPr>
          <w:sz w:val="20"/>
        </w:rPr>
        <w:t>Fletcher SM, Stark D, Harkness J, Ellis J. Enteric protozoa in the developed world: a public health perspective. Clin Microbiol Rev (2012) 25:420–49. doi: 10.1128/CMR.05038-11</w:t>
      </w:r>
    </w:p>
    <w:p w14:paraId="5408DCA0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104.</w:t>
      </w:r>
      <w:r>
        <w:rPr>
          <w:sz w:val="20"/>
        </w:rPr>
        <w:t xml:space="preserve"> </w:t>
      </w:r>
      <w:r w:rsidRPr="00442EBF">
        <w:rPr>
          <w:sz w:val="20"/>
        </w:rPr>
        <w:t>Beeckman DS, Vanrompay DC. Zoonotic Chlamydophila psittaci infections from a clinical perspective. Clinical microbiology and infection (2009) 15:11–7. doi: 10.1111/j.1469-0691.2008.02669.x</w:t>
      </w:r>
    </w:p>
    <w:p w14:paraId="7304D684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105.</w:t>
      </w:r>
      <w:r>
        <w:rPr>
          <w:sz w:val="20"/>
        </w:rPr>
        <w:t xml:space="preserve"> </w:t>
      </w:r>
      <w:r w:rsidRPr="00442EBF">
        <w:rPr>
          <w:sz w:val="20"/>
        </w:rPr>
        <w:t>Day MJ. Pet-Related Infections. Am Fam Physician (2016) 94:794–802.</w:t>
      </w:r>
    </w:p>
    <w:p w14:paraId="1BA6717A" w14:textId="77777777" w:rsidR="00643204" w:rsidRPr="00442EBF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106.</w:t>
      </w:r>
      <w:r>
        <w:rPr>
          <w:sz w:val="20"/>
        </w:rPr>
        <w:t xml:space="preserve"> </w:t>
      </w:r>
      <w:r w:rsidRPr="00442EBF">
        <w:rPr>
          <w:sz w:val="20"/>
        </w:rPr>
        <w:t>Hensgens MP, Keessen EC, Squire MM, Riley TV, Koene MG, de Boer E, et al. Clostridium difficile infection in the community: a zoonotic disease? Clinical microbiology and infection (2012) 18:635-645. doi: 10.1111/j.1469-0691.2012.03853.x</w:t>
      </w:r>
    </w:p>
    <w:p w14:paraId="5B5C21F8" w14:textId="77777777" w:rsidR="00643204" w:rsidRPr="009125C1" w:rsidRDefault="00643204" w:rsidP="00643204">
      <w:pPr>
        <w:spacing w:before="0"/>
        <w:rPr>
          <w:sz w:val="20"/>
        </w:rPr>
      </w:pPr>
      <w:r w:rsidRPr="00442EBF">
        <w:rPr>
          <w:sz w:val="20"/>
        </w:rPr>
        <w:t>107.</w:t>
      </w:r>
      <w:r>
        <w:rPr>
          <w:sz w:val="20"/>
        </w:rPr>
        <w:t xml:space="preserve"> </w:t>
      </w:r>
      <w:r w:rsidRPr="00442EBF">
        <w:rPr>
          <w:sz w:val="20"/>
        </w:rPr>
        <w:t>Baumgardner DJ. Soil-related bacterial and fungal infections. JABFM (2012) 25:734–44. doi: 10.3122/jabfm.2012.05.110226</w:t>
      </w:r>
    </w:p>
    <w:p w14:paraId="7AE7F19A" w14:textId="77777777" w:rsidR="00D15798" w:rsidRDefault="00D15798" w:rsidP="005416D4">
      <w:pPr>
        <w:spacing w:after="0"/>
      </w:pPr>
    </w:p>
    <w:sectPr w:rsidR="00D15798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5AD6" w14:textId="77777777" w:rsidR="000D16DB" w:rsidRDefault="000D16DB" w:rsidP="00117666">
      <w:pPr>
        <w:spacing w:after="0"/>
      </w:pPr>
      <w:r>
        <w:separator/>
      </w:r>
    </w:p>
  </w:endnote>
  <w:endnote w:type="continuationSeparator" w:id="0">
    <w:p w14:paraId="2B43B5BC" w14:textId="77777777" w:rsidR="000D16DB" w:rsidRDefault="000D16D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53FCD6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32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53FCD6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3204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697AE4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32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697AE4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320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EB05" w14:textId="77777777" w:rsidR="000D16DB" w:rsidRDefault="000D16DB" w:rsidP="00117666">
      <w:pPr>
        <w:spacing w:after="0"/>
      </w:pPr>
      <w:r>
        <w:separator/>
      </w:r>
    </w:p>
  </w:footnote>
  <w:footnote w:type="continuationSeparator" w:id="0">
    <w:p w14:paraId="3D6E88ED" w14:textId="77777777" w:rsidR="000D16DB" w:rsidRDefault="000D16D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BE" w:eastAsia="nl-B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16D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16D4"/>
    <w:rsid w:val="00593EEA"/>
    <w:rsid w:val="005A5EEE"/>
    <w:rsid w:val="006375C7"/>
    <w:rsid w:val="00643204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6881"/>
    <w:rsid w:val="00790BB3"/>
    <w:rsid w:val="007C206C"/>
    <w:rsid w:val="007E508A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15798"/>
    <w:rsid w:val="00DB59C3"/>
    <w:rsid w:val="00DC259A"/>
    <w:rsid w:val="00DC52A0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styleId="Tabelrasterlicht">
    <w:name w:val="Grid Table Light"/>
    <w:basedOn w:val="Standaardtabel"/>
    <w:uiPriority w:val="40"/>
    <w:rsid w:val="005416D4"/>
    <w:pPr>
      <w:spacing w:after="0" w:line="240" w:lineRule="auto"/>
    </w:pPr>
    <w:rPr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59EF85EC76C4B9DCBAB80A78073D6" ma:contentTypeVersion="10" ma:contentTypeDescription="Een nieuw document maken." ma:contentTypeScope="" ma:versionID="65ee9a888e9be4975236acd5265cb33e">
  <xsd:schema xmlns:xsd="http://www.w3.org/2001/XMLSchema" xmlns:xs="http://www.w3.org/2001/XMLSchema" xmlns:p="http://schemas.microsoft.com/office/2006/metadata/properties" xmlns:ns2="7cc9099e-c192-477e-b1e9-0c7f6fe2479d" targetNamespace="http://schemas.microsoft.com/office/2006/metadata/properties" ma:root="true" ma:fieldsID="66428e74beca0d1ba5c260b6c34bd932" ns2:_="">
    <xsd:import namespace="7cc9099e-c192-477e-b1e9-0c7f6fe24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099e-c192-477e-b1e9-0c7f6fe24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38BC76-BE7D-43FB-98CF-2EE7302F5869}">
  <ds:schemaRefs>
    <ds:schemaRef ds:uri="http://schemas.microsoft.com/office/2006/documentManagement/types"/>
    <ds:schemaRef ds:uri="http://schemas.microsoft.com/office/infopath/2007/PartnerControls"/>
    <ds:schemaRef ds:uri="7cc9099e-c192-477e-b1e9-0c7f6fe247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3DB689-633D-4DF9-B6A7-6EB9DBA0B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4ED7B-FAED-4571-AD7C-C58BFC5A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099e-c192-477e-b1e9-0c7f6fe24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57E9A-CF7D-45F8-AC21-C2D83DE1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1735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Laura Lauwers</cp:lastModifiedBy>
  <cp:revision>2</cp:revision>
  <cp:lastPrinted>2013-10-03T12:51:00Z</cp:lastPrinted>
  <dcterms:created xsi:type="dcterms:W3CDTF">2020-03-07T20:33:00Z</dcterms:created>
  <dcterms:modified xsi:type="dcterms:W3CDTF">2020-03-07T20:33:00Z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0x010100ED059EF85EC76C4B9DCBAB80A78073D6</vt:lpwstr>
  </property>
</Properties>
</file>