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b w:val="0"/>
        </w:rPr>
      </w:pPr>
      <w:r>
        <w:t>Supplementary Material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Supplementary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Table S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. Early-stage gastric cancer-related serum exosomal miRNAs (stage I and stage II compared with normal controls).</w:t>
      </w:r>
    </w:p>
    <w:tbl>
      <w:tblPr>
        <w:tblStyle w:val="20"/>
        <w:tblW w:w="9631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6"/>
        <w:gridCol w:w="1140"/>
        <w:gridCol w:w="1245"/>
        <w:gridCol w:w="1110"/>
        <w:gridCol w:w="1260"/>
        <w:gridCol w:w="1395"/>
        <w:gridCol w:w="142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5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Column ID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P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Mean(GC)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Mean(N)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MeanRatio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(GC/N)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Fold Change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(GC/N)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Description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hsa-miR-3615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0.0268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10.639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10.990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0.784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-1.277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hsa-miR-3184-3p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0.0161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16.469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16.796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0.799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-1.256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hsa-miR-151a-3p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0.0179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11.805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12.124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0.801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-1.248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hsa-miR-423-5p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0.0190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16.527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16.796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0.830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-1.204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hsa-let-7b-5p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0.0255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15.144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14.807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1.264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1.264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hsa-miR-873-3p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0.0373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8.5890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8.2412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1.273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1.273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hsa-miR-27b-3p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0.0237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10.006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9.589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1.335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1.335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hsa-miR-139-5p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0.0213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10.007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9.568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1.357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1.357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hsa-miR-432-5p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0.0212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9.399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8.929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1.385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1.385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hsa-miR-127-3p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0.0124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10.868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10.391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1.394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1.394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hsa-miR-221-3p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0.0203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8.098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7.504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1.512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1.512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hsa-let-7a-5p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0.0213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14.465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13.867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1.514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1.514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hsa-let-7c-5p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12.430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11.730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1.625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1.625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hsa-miR-7641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0.0292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6.180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5.450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1.661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1.661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hsa-let-7f-5p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0.0095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13.815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13.076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1.674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1.674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hsa-miR-30e-3p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0.0148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8.599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7.846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1.689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1.688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hsa-miR-146b-5p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0.0048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9.073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8.300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1.715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1.715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hsa-let-7i-5p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0.0084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14.608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13.838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1.725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1.725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hsa-let-7g-5p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0.0005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11.791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11.004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1.735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1.735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hsa-miR-98-5p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0.0098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8.438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7.505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1.940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1.940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hsa-miR-9-5p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11.838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10.804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2.050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2.050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hsa-miR-1291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0.0196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5.225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3.409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3.523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3.523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6" w:type="dxa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hsa-miR-138-5p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0.0154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5.444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2.866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5.973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5.973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>GC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, g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 xml:space="preserve">astric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>ancer; N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, n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 xml:space="preserve">ormal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>ontrol.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 xml:space="preserve"> * The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expression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levels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of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miRNAs were calculated by comparing early-stage gastric cancer patients to n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ormal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ontrol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s.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Supplementary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Table S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. Comparison of serum exosomal miR-92b-3p, let-7g-5p, miR-146b-5p and miR-9-5p between the early-stage gastric cancer patients and the controls.</w:t>
      </w:r>
    </w:p>
    <w:tbl>
      <w:tblPr>
        <w:tblStyle w:val="21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2535"/>
        <w:gridCol w:w="2370"/>
        <w:gridCol w:w="115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Symbol" w:cs="Times New Roman"/>
                <w:kern w:val="0"/>
                <w:sz w:val="24"/>
                <w:szCs w:val="24"/>
              </w:rPr>
              <w:t>Δ</w:t>
            </w:r>
            <w:r>
              <w:rPr>
                <w:rFonts w:hint="default" w:ascii="Times New Roman" w:hAnsi="Times New Roman" w:eastAsia="GillSansMT-Bold" w:cs="Times New Roman"/>
                <w:b/>
                <w:bCs/>
                <w:kern w:val="0"/>
                <w:sz w:val="24"/>
                <w:szCs w:val="24"/>
              </w:rPr>
              <w:t>Ct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GillSansMT-Bold" w:cs="Times New Roman"/>
                <w:b/>
                <w:bCs/>
                <w:kern w:val="0"/>
                <w:sz w:val="24"/>
                <w:szCs w:val="24"/>
              </w:rPr>
              <w:t>of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 miRNA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GillSansMT-Bold" w:cs="Times New Roman"/>
                <w:b/>
                <w:bCs/>
                <w:kern w:val="0"/>
                <w:sz w:val="24"/>
                <w:szCs w:val="24"/>
              </w:rPr>
              <w:t xml:space="preserve">Controls (mean </w:t>
            </w:r>
            <w:r>
              <w:rPr>
                <w:rFonts w:hint="default" w:ascii="Times New Roman" w:hAnsi="Times New Roman" w:eastAsia="Symbol-Bold" w:cs="Times New Roman"/>
                <w:b/>
                <w:bCs/>
                <w:kern w:val="0"/>
                <w:sz w:val="24"/>
                <w:szCs w:val="24"/>
              </w:rPr>
              <w:t xml:space="preserve">± </w:t>
            </w:r>
            <w:r>
              <w:rPr>
                <w:rFonts w:hint="default" w:ascii="Times New Roman" w:hAnsi="Times New Roman" w:eastAsia="GillSansMT-Bold" w:cs="Times New Roman"/>
                <w:b/>
                <w:bCs/>
                <w:kern w:val="0"/>
                <w:sz w:val="24"/>
                <w:szCs w:val="24"/>
              </w:rPr>
              <w:t>SD)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GillSansMT-Bold" w:cs="Times New Roman"/>
                <w:b/>
                <w:bCs/>
                <w:kern w:val="0"/>
                <w:sz w:val="24"/>
                <w:szCs w:val="24"/>
              </w:rPr>
              <w:t xml:space="preserve">Cases (mean </w:t>
            </w:r>
            <w:r>
              <w:rPr>
                <w:rFonts w:hint="default" w:ascii="Times New Roman" w:hAnsi="Times New Roman" w:eastAsia="Symbol-Bold" w:cs="Times New Roman"/>
                <w:b/>
                <w:bCs/>
                <w:kern w:val="0"/>
                <w:sz w:val="24"/>
                <w:szCs w:val="24"/>
              </w:rPr>
              <w:t xml:space="preserve">± </w:t>
            </w:r>
            <w:r>
              <w:rPr>
                <w:rFonts w:hint="default" w:ascii="Times New Roman" w:hAnsi="Times New Roman" w:eastAsia="GillSansMT-Bold" w:cs="Times New Roman"/>
                <w:b/>
                <w:bCs/>
                <w:kern w:val="0"/>
                <w:sz w:val="24"/>
                <w:szCs w:val="24"/>
              </w:rPr>
              <w:t>SD)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eastAsia="GillSansMT-BoldItalic" w:cs="Times New Roman"/>
                <w:b/>
                <w:bCs/>
                <w:i/>
                <w:iCs/>
                <w:kern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GillSansMT-Bold" w:cs="Times New Roman"/>
                <w:b/>
                <w:bCs/>
                <w:kern w:val="0"/>
                <w:sz w:val="24"/>
                <w:szCs w:val="24"/>
              </w:rPr>
              <w:t>value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GillSansMT-Bold" w:cs="Times New Roman"/>
                <w:b/>
                <w:bCs/>
                <w:kern w:val="0"/>
                <w:sz w:val="24"/>
                <w:szCs w:val="24"/>
              </w:rPr>
              <w:t>Fold change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  <w:t>miR-92b-3p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MT" w:cs="Times New Roman"/>
                <w:kern w:val="0"/>
                <w:sz w:val="24"/>
                <w:szCs w:val="24"/>
              </w:rPr>
              <w:t>2.334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1.062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MT" w:cs="Times New Roman"/>
                <w:kern w:val="0"/>
                <w:sz w:val="24"/>
                <w:szCs w:val="24"/>
              </w:rPr>
              <w:t>1.321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1.380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0.0002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Symbol" w:cs="Times New Roman"/>
                <w:kern w:val="0"/>
                <w:sz w:val="24"/>
                <w:szCs w:val="24"/>
              </w:rPr>
              <w:t>↑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ymbol" w:cs="Times New Roman"/>
                <w:kern w:val="0"/>
                <w:sz w:val="24"/>
                <w:szCs w:val="24"/>
              </w:rPr>
              <w:t>2.01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  <w:t>Let-7g-5p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MT" w:cs="Times New Roman"/>
                <w:kern w:val="0"/>
                <w:sz w:val="24"/>
                <w:szCs w:val="24"/>
              </w:rPr>
              <w:t>5.409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1.322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TimesNewRomanPSMT" w:cs="Times New Roman"/>
                <w:kern w:val="0"/>
                <w:sz w:val="24"/>
                <w:szCs w:val="24"/>
              </w:rPr>
              <w:t>436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2.966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0.0001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Symbol" w:cs="Times New Roman"/>
                <w:kern w:val="0"/>
                <w:sz w:val="24"/>
                <w:szCs w:val="24"/>
              </w:rPr>
              <w:t>↑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3.926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  <w:t>miR-146b-5p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4.466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1.136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3.631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1.339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0.0028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Symbol" w:cs="Times New Roman"/>
                <w:kern w:val="0"/>
                <w:sz w:val="24"/>
                <w:szCs w:val="24"/>
              </w:rPr>
              <w:t>↑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ymbol" w:cs="Times New Roman"/>
                <w:kern w:val="0"/>
                <w:sz w:val="24"/>
                <w:szCs w:val="24"/>
              </w:rPr>
              <w:t>1.784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  <w:t>miR-9-5p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5.600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1.360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textAlignment w:val="center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5.260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0.967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eastAsia="GillSansMT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0.0299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240" w:line="24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Symbol" w:cs="Times New Roman"/>
                <w:kern w:val="0"/>
                <w:sz w:val="24"/>
                <w:szCs w:val="24"/>
              </w:rPr>
              <w:t>↑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ymbol" w:cs="Times New Roman"/>
                <w:kern w:val="0"/>
                <w:sz w:val="24"/>
                <w:szCs w:val="24"/>
              </w:rPr>
              <w:t>1.26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b/>
          <w:bCs/>
          <w:color w:val="FF0000"/>
          <w:sz w:val="24"/>
          <w:szCs w:val="24"/>
          <w:lang w:val="en-US" w:eastAsia="zh-CN"/>
        </w:rPr>
        <w:t>Figure Legends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</w:rPr>
        <w:t>Supplementary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Figure </w:t>
      </w:r>
      <w:r>
        <w:rPr>
          <w:rFonts w:hint="eastAsia" w:ascii="Times New Roman" w:hAnsi="Times New Roman" w:cs="Times New Roman"/>
          <w:b/>
          <w:bCs/>
          <w:color w:val="FF0000"/>
          <w:sz w:val="24"/>
          <w:szCs w:val="24"/>
          <w:lang w:val="en-US" w:eastAsia="zh-CN"/>
        </w:rPr>
        <w:t>S1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  <w:r>
        <w:rPr>
          <w:rFonts w:hint="default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eastAsia="zh-CN"/>
        </w:rPr>
        <w:t xml:space="preserve"> Expression of the </w:t>
      </w:r>
      <w:r>
        <w:rPr>
          <w:rFonts w:hint="eastAsia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val="en-US" w:eastAsia="zh-CN"/>
        </w:rPr>
        <w:t>four</w:t>
      </w:r>
      <w:r>
        <w:rPr>
          <w:rFonts w:hint="default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eastAsia="zh-CN"/>
        </w:rPr>
        <w:t xml:space="preserve"> miRNAs in tumor tissues of </w:t>
      </w:r>
      <w:r>
        <w:rPr>
          <w:rFonts w:hint="eastAsia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val="en-US" w:eastAsia="zh-CN"/>
        </w:rPr>
        <w:t>gastric cancer</w:t>
      </w:r>
      <w:r>
        <w:rPr>
          <w:rFonts w:hint="default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eastAsia="zh-CN"/>
        </w:rPr>
        <w:t xml:space="preserve"> </w:t>
      </w:r>
      <w:r>
        <w:rPr>
          <w:rFonts w:hint="eastAsia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val="en-US" w:eastAsia="zh-CN"/>
        </w:rPr>
        <w:t xml:space="preserve">based on TCGA data. </w:t>
      </w:r>
      <w:r>
        <w:rPr>
          <w:rFonts w:hint="default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eastAsia="zh-CN"/>
        </w:rPr>
        <w:t>Boxplot diagram showing differential expression of miR-92b-3p (A), miR-146b-5p (</w:t>
      </w:r>
      <w:r>
        <w:rPr>
          <w:rFonts w:hint="eastAsia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val="en-US" w:eastAsia="zh-CN"/>
        </w:rPr>
        <w:t>B</w:t>
      </w:r>
      <w:r>
        <w:rPr>
          <w:rFonts w:hint="default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eastAsia="zh-CN"/>
        </w:rPr>
        <w:t>), let-7g-5p (</w:t>
      </w:r>
      <w:r>
        <w:rPr>
          <w:rFonts w:hint="eastAsia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eastAsia="zh-CN"/>
        </w:rPr>
        <w:t>), and miR-9-5p</w:t>
      </w:r>
      <w:r>
        <w:rPr>
          <w:rFonts w:hint="eastAsia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eastAsia="zh-CN"/>
        </w:rPr>
        <w:t>(</w:t>
      </w:r>
      <w:r>
        <w:rPr>
          <w:rFonts w:hint="eastAsia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val="en-US" w:eastAsia="zh-CN"/>
        </w:rPr>
        <w:t>D</w:t>
      </w:r>
      <w:r>
        <w:rPr>
          <w:rFonts w:hint="default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eastAsia="zh-CN"/>
        </w:rPr>
        <w:t xml:space="preserve">) </w:t>
      </w:r>
      <w:r>
        <w:rPr>
          <w:rFonts w:hint="eastAsia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val="en-US" w:eastAsia="zh-CN"/>
        </w:rPr>
        <w:t xml:space="preserve">in gastric cancer </w:t>
      </w:r>
      <w:r>
        <w:rPr>
          <w:rFonts w:hint="default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eastAsia="zh-CN"/>
        </w:rPr>
        <w:t xml:space="preserve">tissues and normal </w:t>
      </w:r>
      <w:r>
        <w:rPr>
          <w:rFonts w:hint="eastAsia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val="en-US" w:eastAsia="zh-CN"/>
        </w:rPr>
        <w:t xml:space="preserve">gastric </w:t>
      </w:r>
      <w:r>
        <w:rPr>
          <w:rFonts w:hint="default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eastAsia="zh-CN"/>
        </w:rPr>
        <w:t>tissue</w:t>
      </w:r>
      <w:r>
        <w:rPr>
          <w:rFonts w:hint="eastAsia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eastAsia="CharisSIL" w:cs="Times New Roman"/>
          <w:b w:val="0"/>
          <w:i w:val="0"/>
          <w:color w:val="FF0000"/>
          <w:sz w:val="24"/>
          <w:szCs w:val="24"/>
          <w:highlight w:val="none"/>
          <w:lang w:eastAsia="zh-CN"/>
        </w:rPr>
        <w:t xml:space="preserve">. 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/>
        <w:rPr>
          <w:rFonts w:cs="Times New Roman"/>
          <w:szCs w:val="24"/>
        </w:rPr>
      </w:pPr>
    </w:p>
    <w:p>
      <w:pPr>
        <w:keepNext/>
        <w:jc w:val="center"/>
        <w:rPr>
          <w:rFonts w:cs="Times New Roman"/>
          <w:szCs w:val="24"/>
        </w:rPr>
      </w:pPr>
      <w:r>
        <w:rPr>
          <w:b/>
          <w:lang w:val="en-GB" w:eastAsia="en-GB"/>
        </w:rPr>
        <w:drawing>
          <wp:inline distT="0" distB="0" distL="0" distR="0">
            <wp:extent cx="4050665" cy="1456055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40"/>
      </w:pPr>
    </w:p>
    <w:sectPr>
      <w:headerReference r:id="rId4" w:type="first"/>
      <w:footerReference r:id="rId5" w:type="default"/>
      <w:headerReference r:id="rId3" w:type="even"/>
      <w:footerReference r:id="rId6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illSansMT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Sans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SansMT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arisSI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434.15pt;margin-top:735.1pt;height:31.15pt;width:118.8pt;mso-position-horizontal-relative:page;mso-position-vertical-relative:page;z-index:251646976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XLnphhUCAAAn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34.15pt;margin-top:735.1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knen5xUCAAAl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  <w:color w:val="A6A6A6" w:themeColor="background1" w:themeShade="A6"/>
        <w:lang w:val="en-GB" w:eastAsia="en-GB"/>
      </w:rPr>
      <w:drawing>
        <wp:inline distT="0" distB="0" distL="0" distR="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720"/>
  <w:evenAndOddHeaders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2DC70E45"/>
    <w:rsid w:val="491D3275"/>
    <w:rsid w:val="641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1">
    <w:name w:val="endnote text"/>
    <w:basedOn w:val="1"/>
    <w:link w:val="39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5"/>
    <w:semiHidden/>
    <w:unhideWhenUsed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0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41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8"/>
    <w:semiHidden/>
    <w:unhideWhenUsed/>
    <w:qFormat/>
    <w:uiPriority w:val="99"/>
    <w:rPr>
      <w:b/>
      <w:bCs/>
    </w:rPr>
  </w:style>
  <w:style w:type="table" w:styleId="21">
    <w:name w:val="Table Grid"/>
    <w:basedOn w:val="20"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uiPriority w:val="99"/>
    <w:rPr>
      <w:vertAlign w:val="superscript"/>
    </w:rPr>
  </w:style>
  <w:style w:type="character" w:styleId="25">
    <w:name w:val="FollowedHyperlink"/>
    <w:basedOn w:val="2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uiPriority w:val="99"/>
  </w:style>
  <w:style w:type="character" w:styleId="28">
    <w:name w:val="Hyperlink"/>
    <w:basedOn w:val="22"/>
    <w:unhideWhenUsed/>
    <w:qFormat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uiPriority w:val="99"/>
    <w:rPr>
      <w:vertAlign w:val="superscript"/>
    </w:rPr>
  </w:style>
  <w:style w:type="character" w:customStyle="1" w:styleId="31">
    <w:name w:val="Heading 1 Char"/>
    <w:basedOn w:val="22"/>
    <w:link w:val="2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Heading 2 Char"/>
    <w:basedOn w:val="22"/>
    <w:link w:val="4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Subtitle Char"/>
    <w:basedOn w:val="22"/>
    <w:link w:val="15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5"/>
    <w:next w:val="1"/>
    <w:qFormat/>
    <w:uiPriority w:val="1"/>
  </w:style>
  <w:style w:type="character" w:customStyle="1" w:styleId="35">
    <w:name w:val="Balloon Text Char"/>
    <w:basedOn w:val="22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Comment Text Char"/>
    <w:basedOn w:val="22"/>
    <w:link w:val="10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Comment Subject Char"/>
    <w:basedOn w:val="37"/>
    <w:link w:val="19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Endnote Text Char"/>
    <w:basedOn w:val="22"/>
    <w:link w:val="11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0">
    <w:name w:val="Footer Char"/>
    <w:basedOn w:val="22"/>
    <w:link w:val="13"/>
    <w:qFormat/>
    <w:uiPriority w:val="99"/>
    <w:rPr>
      <w:rFonts w:ascii="Times New Roman" w:hAnsi="Times New Roman"/>
      <w:sz w:val="24"/>
    </w:rPr>
  </w:style>
  <w:style w:type="character" w:customStyle="1" w:styleId="41">
    <w:name w:val="Footnote Text Char"/>
    <w:basedOn w:val="22"/>
    <w:link w:val="16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2">
    <w:name w:val="Header Char"/>
    <w:basedOn w:val="22"/>
    <w:link w:val="14"/>
    <w:qFormat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2"/>
    <w:unhideWhenUsed/>
    <w:qFormat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Heading 3 Char"/>
    <w:basedOn w:val="22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Heading 4 Char"/>
    <w:basedOn w:val="22"/>
    <w:link w:val="6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Heading 5 Char"/>
    <w:basedOn w:val="22"/>
    <w:link w:val="7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Quote Char"/>
    <w:basedOn w:val="22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Title Char"/>
    <w:basedOn w:val="22"/>
    <w:link w:val="18"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8"/>
    <w:next w:val="18"/>
    <w:qFormat/>
    <w:uiPriority w:val="0"/>
    <w:pPr>
      <w:spacing w:after="120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95B22-B4E8-4C8E-ABCB-1E2B9143F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1</Pages>
  <Words>247</Words>
  <Characters>1410</Characters>
  <Lines>11</Lines>
  <Paragraphs>3</Paragraphs>
  <TotalTime>1</TotalTime>
  <ScaleCrop>false</ScaleCrop>
  <LinksUpToDate>false</LinksUpToDate>
  <CharactersWithSpaces>1654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Frontiers Media SA</dc:creator>
  <cp:lastModifiedBy>唐叔黎</cp:lastModifiedBy>
  <cp:lastPrinted>2013-10-03T12:51:00Z</cp:lastPrinted>
  <dcterms:modified xsi:type="dcterms:W3CDTF">2020-02-08T10:48:43Z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