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10" w:rsidRPr="00D65DE4" w:rsidRDefault="003C1810" w:rsidP="003C1810">
      <w:pPr>
        <w:spacing w:line="360" w:lineRule="auto"/>
        <w:ind w:leftChars="59" w:left="142" w:rightChars="57" w:right="137"/>
        <w:jc w:val="both"/>
        <w:rPr>
          <w:rFonts w:cs="Times New Roman"/>
          <w:szCs w:val="24"/>
        </w:rPr>
      </w:pPr>
      <w:r w:rsidRPr="00D65DE4">
        <w:rPr>
          <w:rFonts w:cs="Times New Roman"/>
          <w:b/>
          <w:bCs/>
          <w:szCs w:val="24"/>
        </w:rPr>
        <w:t xml:space="preserve">Supplementary Table </w:t>
      </w:r>
      <w:r>
        <w:rPr>
          <w:rFonts w:cs="Times New Roman"/>
          <w:b/>
          <w:bCs/>
          <w:szCs w:val="24"/>
        </w:rPr>
        <w:t>1</w:t>
      </w:r>
      <w:r w:rsidRPr="00D65DE4">
        <w:rPr>
          <w:rFonts w:cs="Times New Roman"/>
          <w:b/>
          <w:bCs/>
          <w:szCs w:val="24"/>
        </w:rPr>
        <w:t>.</w:t>
      </w:r>
      <w:r w:rsidRPr="00D65DE4">
        <w:rPr>
          <w:rFonts w:cs="Times New Roman"/>
          <w:szCs w:val="24"/>
        </w:rPr>
        <w:t xml:space="preserve"> Determination of five components in EZP samples (</w:t>
      </w:r>
      <m:oMath>
        <m:acc>
          <m:accPr>
            <m:chr m:val="̅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 w:rsidRPr="00D65DE4">
        <w:rPr>
          <w:rFonts w:cs="Times New Roman"/>
          <w:szCs w:val="24"/>
        </w:rPr>
        <w:t>, n=2, mg/g)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2015"/>
        <w:gridCol w:w="1535"/>
        <w:gridCol w:w="1162"/>
        <w:gridCol w:w="1229"/>
        <w:gridCol w:w="1881"/>
      </w:tblGrid>
      <w:tr w:rsidR="003C1810" w:rsidRPr="00D65DE4" w:rsidTr="00FB4870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both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both"/>
              <w:rPr>
                <w:rFonts w:eastAsia="SimSun" w:cs="Times New Roman"/>
                <w:color w:val="000000"/>
                <w:szCs w:val="24"/>
              </w:rPr>
            </w:pPr>
            <w:proofErr w:type="spellStart"/>
            <w:r w:rsidRPr="00D65DE4">
              <w:rPr>
                <w:rFonts w:eastAsia="SimSun" w:cs="Times New Roman"/>
                <w:color w:val="000000"/>
                <w:szCs w:val="24"/>
              </w:rPr>
              <w:t>specnuezhenide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both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salidroside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both"/>
              <w:rPr>
                <w:rFonts w:eastAsia="SimSun" w:cs="Times New Roman"/>
                <w:color w:val="000000"/>
                <w:szCs w:val="24"/>
              </w:rPr>
            </w:pPr>
            <w:proofErr w:type="spellStart"/>
            <w:r w:rsidRPr="00D65DE4">
              <w:rPr>
                <w:rFonts w:eastAsia="SimSun" w:cs="Times New Roman"/>
                <w:color w:val="000000"/>
                <w:szCs w:val="24"/>
              </w:rPr>
              <w:t>tyrosol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both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luteolin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both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wedelolactone</w:t>
            </w:r>
          </w:p>
        </w:tc>
      </w:tr>
      <w:tr w:rsidR="003C1810" w:rsidRPr="00D65DE4" w:rsidTr="00FB4870">
        <w:trPr>
          <w:trHeight w:val="47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both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cs="Times New Roman"/>
                <w:szCs w:val="24"/>
              </w:rPr>
              <w:t xml:space="preserve">Batch </w:t>
            </w:r>
            <w:r w:rsidRPr="00D65DE4">
              <w:rPr>
                <w:rFonts w:eastAsia="SimSu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22.36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5.61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0.604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0.301</w:t>
            </w:r>
          </w:p>
        </w:tc>
      </w:tr>
      <w:tr w:rsidR="003C1810" w:rsidRPr="00D65DE4" w:rsidTr="00FB4870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both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cs="Times New Roman"/>
                <w:szCs w:val="24"/>
              </w:rPr>
              <w:t>Batch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22.37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0.616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0.319</w:t>
            </w:r>
          </w:p>
        </w:tc>
      </w:tr>
      <w:tr w:rsidR="003C1810" w:rsidRPr="00D65DE4" w:rsidTr="00FB4870">
        <w:trPr>
          <w:trHeight w:val="28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both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cs="Times New Roman"/>
                <w:szCs w:val="24"/>
              </w:rPr>
              <w:t>Batch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22.34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5.47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1.49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0.588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10" w:rsidRPr="00D65DE4" w:rsidRDefault="003C1810" w:rsidP="00FB4870">
            <w:pPr>
              <w:spacing w:line="360" w:lineRule="auto"/>
              <w:ind w:leftChars="59" w:left="142" w:rightChars="57" w:right="137"/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D65DE4">
              <w:rPr>
                <w:rFonts w:eastAsia="SimSun" w:cs="Times New Roman"/>
                <w:color w:val="000000"/>
                <w:szCs w:val="24"/>
              </w:rPr>
              <w:t>0.305</w:t>
            </w:r>
          </w:p>
        </w:tc>
      </w:tr>
    </w:tbl>
    <w:p w:rsidR="003C1810" w:rsidRPr="00D65DE4" w:rsidRDefault="003C1810" w:rsidP="003C1810">
      <w:pPr>
        <w:widowControl w:val="0"/>
        <w:autoSpaceDE w:val="0"/>
        <w:autoSpaceDN w:val="0"/>
        <w:adjustRightInd w:val="0"/>
        <w:spacing w:before="0" w:after="0"/>
        <w:jc w:val="both"/>
        <w:rPr>
          <w:rFonts w:cs="Times New Roman"/>
          <w:b/>
        </w:rPr>
      </w:pPr>
    </w:p>
    <w:p w:rsidR="003C1810" w:rsidRPr="00D65DE4" w:rsidRDefault="003C1810" w:rsidP="003C1810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2"/>
        </w:rPr>
      </w:pPr>
      <w:r w:rsidRPr="00D65DE4">
        <w:rPr>
          <w:rFonts w:cs="Times New Roman"/>
          <w:b/>
          <w:sz w:val="22"/>
        </w:rPr>
        <w:t xml:space="preserve">References </w:t>
      </w:r>
    </w:p>
    <w:p w:rsidR="003C1810" w:rsidRPr="00D65DE4" w:rsidRDefault="003C1810" w:rsidP="003C1810">
      <w:pPr>
        <w:widowControl w:val="0"/>
        <w:autoSpaceDE w:val="0"/>
        <w:autoSpaceDN w:val="0"/>
        <w:adjustRightInd w:val="0"/>
        <w:spacing w:before="0" w:after="0"/>
        <w:ind w:left="240" w:hanging="240"/>
        <w:jc w:val="both"/>
        <w:rPr>
          <w:rFonts w:cs="Times New Roman"/>
          <w:szCs w:val="24"/>
        </w:rPr>
      </w:pPr>
      <w:bookmarkStart w:id="0" w:name="_nebE0F24A9F_AC43_437A_B9CF_42D6BA1B9396"/>
      <w:r w:rsidRPr="00D65DE4">
        <w:rPr>
          <w:rFonts w:cs="Times New Roman"/>
          <w:color w:val="000000"/>
          <w:sz w:val="20"/>
          <w:szCs w:val="20"/>
        </w:rPr>
        <w:t xml:space="preserve">1. Zhao HM, Zhang XY, Lu XY, Yu SR, Wang X, Zou Y et al.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Erzhi</w:t>
      </w:r>
      <w:proofErr w:type="spellEnd"/>
      <w:r w:rsidRPr="00D65DE4">
        <w:rPr>
          <w:rFonts w:cs="Times New Roman"/>
          <w:color w:val="000000"/>
          <w:sz w:val="20"/>
          <w:szCs w:val="20"/>
        </w:rPr>
        <w:t xml:space="preserve"> Pill((R)) Protected Experimental Liver Injury Against Apoptosis via the PI3K/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Akt</w:t>
      </w:r>
      <w:proofErr w:type="spellEnd"/>
      <w:r w:rsidRPr="00D65DE4">
        <w:rPr>
          <w:rFonts w:cs="Times New Roman"/>
          <w:color w:val="000000"/>
          <w:sz w:val="20"/>
          <w:szCs w:val="20"/>
        </w:rPr>
        <w:t>/Raptor/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Rictor</w:t>
      </w:r>
      <w:proofErr w:type="spellEnd"/>
      <w:r w:rsidRPr="00D65DE4">
        <w:rPr>
          <w:rFonts w:cs="Times New Roman"/>
          <w:color w:val="000000"/>
          <w:sz w:val="20"/>
          <w:szCs w:val="20"/>
        </w:rPr>
        <w:t xml:space="preserve"> Pathway. Front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Pharmacol</w:t>
      </w:r>
      <w:proofErr w:type="spellEnd"/>
      <w:r w:rsidRPr="00D65DE4">
        <w:rPr>
          <w:rFonts w:cs="Times New Roman"/>
          <w:color w:val="000000"/>
          <w:sz w:val="20"/>
          <w:szCs w:val="20"/>
        </w:rPr>
        <w:t xml:space="preserve"> (2018) 9:283.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doi</w:t>
      </w:r>
      <w:proofErr w:type="spellEnd"/>
      <w:r w:rsidRPr="00D65DE4">
        <w:rPr>
          <w:rFonts w:cs="Times New Roman"/>
          <w:color w:val="000000"/>
          <w:sz w:val="20"/>
          <w:szCs w:val="20"/>
        </w:rPr>
        <w:t>: 10.3389/fphar.2018.00283</w:t>
      </w:r>
      <w:bookmarkEnd w:id="0"/>
      <w:r w:rsidRPr="00D65DE4">
        <w:rPr>
          <w:rFonts w:cs="Times New Roman"/>
          <w:color w:val="000000"/>
          <w:sz w:val="20"/>
          <w:szCs w:val="20"/>
        </w:rPr>
        <w:t>.</w:t>
      </w:r>
    </w:p>
    <w:p w:rsidR="003C1810" w:rsidRPr="00D65DE4" w:rsidRDefault="003C1810" w:rsidP="003C1810">
      <w:pPr>
        <w:widowControl w:val="0"/>
        <w:autoSpaceDE w:val="0"/>
        <w:autoSpaceDN w:val="0"/>
        <w:adjustRightInd w:val="0"/>
        <w:spacing w:before="0" w:after="0"/>
        <w:ind w:left="240" w:hanging="240"/>
        <w:jc w:val="both"/>
        <w:rPr>
          <w:rFonts w:cs="Times New Roman"/>
          <w:szCs w:val="24"/>
        </w:rPr>
      </w:pPr>
      <w:r w:rsidRPr="00D65DE4">
        <w:rPr>
          <w:rFonts w:cs="Times New Roman"/>
          <w:color w:val="000000"/>
          <w:sz w:val="20"/>
          <w:szCs w:val="20"/>
        </w:rPr>
        <w:t xml:space="preserve">2. Yao W, Gu H, Zhu J, Barding G, Cheng H, Bao B et al. Integrated plasma and urine metabolomics coupled with HPLC/QTOF-MS and chemometric analysis on potential biomarkers in liver injury and hepatoprotective effects of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Er</w:t>
      </w:r>
      <w:proofErr w:type="spellEnd"/>
      <w:r w:rsidRPr="00D65DE4">
        <w:rPr>
          <w:rFonts w:cs="Times New Roman"/>
          <w:color w:val="000000"/>
          <w:sz w:val="20"/>
          <w:szCs w:val="20"/>
        </w:rPr>
        <w:t>-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Zhi</w:t>
      </w:r>
      <w:proofErr w:type="spellEnd"/>
      <w:r w:rsidRPr="00D65DE4">
        <w:rPr>
          <w:rFonts w:cs="Times New Roman"/>
          <w:color w:val="000000"/>
          <w:sz w:val="20"/>
          <w:szCs w:val="20"/>
        </w:rPr>
        <w:t xml:space="preserve">-Wan. Anal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Bioanal</w:t>
      </w:r>
      <w:proofErr w:type="spellEnd"/>
      <w:r w:rsidRPr="00D65DE4">
        <w:rPr>
          <w:rFonts w:cs="Times New Roman"/>
          <w:color w:val="000000"/>
          <w:sz w:val="20"/>
          <w:szCs w:val="20"/>
        </w:rPr>
        <w:t xml:space="preserve"> Chem (2014) 406:7367-78.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doi</w:t>
      </w:r>
      <w:proofErr w:type="spellEnd"/>
      <w:r w:rsidRPr="00D65DE4">
        <w:rPr>
          <w:rFonts w:cs="Times New Roman"/>
          <w:color w:val="000000"/>
          <w:sz w:val="20"/>
          <w:szCs w:val="20"/>
        </w:rPr>
        <w:t>: 10.1007/s00216-014-8169-x.</w:t>
      </w:r>
    </w:p>
    <w:p w:rsidR="003C1810" w:rsidRPr="00D65DE4" w:rsidRDefault="003C1810" w:rsidP="003C1810">
      <w:pPr>
        <w:widowControl w:val="0"/>
        <w:autoSpaceDE w:val="0"/>
        <w:autoSpaceDN w:val="0"/>
        <w:adjustRightInd w:val="0"/>
        <w:spacing w:before="0" w:after="0"/>
        <w:ind w:left="240" w:hanging="240"/>
        <w:jc w:val="both"/>
        <w:rPr>
          <w:rFonts w:cs="Times New Roman"/>
          <w:szCs w:val="24"/>
        </w:rPr>
      </w:pPr>
      <w:r w:rsidRPr="00D65DE4">
        <w:rPr>
          <w:rFonts w:cs="Times New Roman"/>
          <w:color w:val="000000"/>
          <w:sz w:val="20"/>
          <w:szCs w:val="20"/>
        </w:rPr>
        <w:t xml:space="preserve">3. Gao L, Li C, Wang Z, Liu X, You Y, Wei H et al.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Ligustri</w:t>
      </w:r>
      <w:proofErr w:type="spellEnd"/>
      <w:r w:rsidRPr="00D65DE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lucidi</w:t>
      </w:r>
      <w:proofErr w:type="spellEnd"/>
      <w:r w:rsidRPr="00D65DE4">
        <w:rPr>
          <w:rFonts w:cs="Times New Roman"/>
          <w:color w:val="000000"/>
          <w:sz w:val="20"/>
          <w:szCs w:val="20"/>
        </w:rPr>
        <w:t xml:space="preserve"> fructus as a traditional Chinese medicine: a review of its phytochemistry and pharmacology. Nat Prod Res (2015) 29:493-510.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doi</w:t>
      </w:r>
      <w:proofErr w:type="spellEnd"/>
      <w:r w:rsidRPr="00D65DE4">
        <w:rPr>
          <w:rFonts w:cs="Times New Roman"/>
          <w:color w:val="000000"/>
          <w:sz w:val="20"/>
          <w:szCs w:val="20"/>
        </w:rPr>
        <w:t>: 10.1080/14786419.2014.954114.</w:t>
      </w:r>
    </w:p>
    <w:p w:rsidR="003C1810" w:rsidRPr="00D65DE4" w:rsidRDefault="003C1810" w:rsidP="003C1810">
      <w:pPr>
        <w:widowControl w:val="0"/>
        <w:autoSpaceDE w:val="0"/>
        <w:autoSpaceDN w:val="0"/>
        <w:adjustRightInd w:val="0"/>
        <w:spacing w:before="0" w:after="0"/>
        <w:ind w:left="240" w:hanging="240"/>
        <w:jc w:val="both"/>
        <w:rPr>
          <w:rFonts w:cs="Times New Roman"/>
          <w:szCs w:val="24"/>
        </w:rPr>
      </w:pPr>
      <w:r w:rsidRPr="00D65DE4">
        <w:rPr>
          <w:rFonts w:cs="Times New Roman"/>
          <w:color w:val="000000"/>
          <w:sz w:val="20"/>
          <w:szCs w:val="20"/>
        </w:rPr>
        <w:t xml:space="preserve">4. Feng L,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Zhai</w:t>
      </w:r>
      <w:proofErr w:type="spellEnd"/>
      <w:r w:rsidRPr="00D65DE4">
        <w:rPr>
          <w:rFonts w:cs="Times New Roman"/>
          <w:color w:val="000000"/>
          <w:sz w:val="20"/>
          <w:szCs w:val="20"/>
        </w:rPr>
        <w:t xml:space="preserve"> YY, Xu J, Yao WF, Cao YD, Cheng FF et al. A review on traditional uses, phytochemistry and pharmacology of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Eclipta</w:t>
      </w:r>
      <w:proofErr w:type="spellEnd"/>
      <w:r w:rsidRPr="00D65DE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prostrata</w:t>
      </w:r>
      <w:proofErr w:type="spellEnd"/>
      <w:r w:rsidRPr="00D65DE4">
        <w:rPr>
          <w:rFonts w:cs="Times New Roman"/>
          <w:color w:val="000000"/>
          <w:sz w:val="20"/>
          <w:szCs w:val="20"/>
        </w:rPr>
        <w:t xml:space="preserve"> (L.) L. J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Ethnopharmacol</w:t>
      </w:r>
      <w:proofErr w:type="spellEnd"/>
      <w:r w:rsidRPr="00D65DE4">
        <w:rPr>
          <w:rFonts w:cs="Times New Roman"/>
          <w:color w:val="000000"/>
          <w:sz w:val="20"/>
          <w:szCs w:val="20"/>
        </w:rPr>
        <w:t xml:space="preserve"> (2019) 245:112109. </w:t>
      </w:r>
      <w:proofErr w:type="spellStart"/>
      <w:r w:rsidRPr="00D65DE4">
        <w:rPr>
          <w:rFonts w:cs="Times New Roman"/>
          <w:color w:val="000000"/>
          <w:sz w:val="20"/>
          <w:szCs w:val="20"/>
        </w:rPr>
        <w:t>doi</w:t>
      </w:r>
      <w:proofErr w:type="spellEnd"/>
      <w:r w:rsidRPr="00D65DE4">
        <w:rPr>
          <w:rFonts w:cs="Times New Roman"/>
          <w:color w:val="000000"/>
          <w:sz w:val="20"/>
          <w:szCs w:val="20"/>
        </w:rPr>
        <w:t>: 10.1016/j.jep.2019.112109</w:t>
      </w:r>
    </w:p>
    <w:p w:rsidR="003C1810" w:rsidRPr="00D65DE4" w:rsidRDefault="003C1810" w:rsidP="003C1810">
      <w:pPr>
        <w:spacing w:before="0" w:after="0"/>
        <w:ind w:leftChars="5" w:left="284" w:rightChars="57" w:right="137" w:hangingChars="136" w:hanging="272"/>
        <w:jc w:val="both"/>
        <w:rPr>
          <w:rFonts w:cs="Times New Roman"/>
          <w:sz w:val="20"/>
          <w:szCs w:val="21"/>
        </w:rPr>
      </w:pPr>
      <w:r w:rsidRPr="00D65DE4">
        <w:rPr>
          <w:rFonts w:cs="Times New Roman"/>
          <w:sz w:val="20"/>
          <w:szCs w:val="21"/>
        </w:rPr>
        <w:t>5. Fan MX</w:t>
      </w:r>
      <w:r w:rsidRPr="00D65DE4">
        <w:rPr>
          <w:rFonts w:cs="Times New Roman"/>
          <w:sz w:val="20"/>
          <w:szCs w:val="21"/>
          <w:lang w:bidi="en-US"/>
        </w:rPr>
        <w:t xml:space="preserve">, </w:t>
      </w:r>
      <w:r w:rsidRPr="00D65DE4">
        <w:rPr>
          <w:rFonts w:cs="Times New Roman"/>
          <w:sz w:val="20"/>
          <w:szCs w:val="21"/>
        </w:rPr>
        <w:t>Tan C</w:t>
      </w:r>
      <w:r w:rsidRPr="00D65DE4">
        <w:rPr>
          <w:rFonts w:cs="Times New Roman"/>
          <w:sz w:val="20"/>
          <w:szCs w:val="21"/>
          <w:lang w:bidi="en-US"/>
        </w:rPr>
        <w:t xml:space="preserve">, </w:t>
      </w:r>
      <w:r w:rsidRPr="00D65DE4">
        <w:rPr>
          <w:rFonts w:cs="Times New Roman"/>
          <w:sz w:val="20"/>
          <w:szCs w:val="21"/>
        </w:rPr>
        <w:t>Wang MM</w:t>
      </w:r>
      <w:r w:rsidRPr="00D65DE4">
        <w:rPr>
          <w:rFonts w:cs="Times New Roman"/>
          <w:sz w:val="20"/>
          <w:szCs w:val="21"/>
          <w:lang w:bidi="en-US"/>
        </w:rPr>
        <w:t xml:space="preserve">, </w:t>
      </w:r>
      <w:r w:rsidRPr="00D65DE4">
        <w:rPr>
          <w:rFonts w:cs="Times New Roman"/>
          <w:sz w:val="20"/>
          <w:szCs w:val="21"/>
        </w:rPr>
        <w:t>Du XW</w:t>
      </w:r>
      <w:r w:rsidRPr="00D65DE4">
        <w:rPr>
          <w:rFonts w:cs="Times New Roman"/>
          <w:sz w:val="20"/>
          <w:szCs w:val="21"/>
          <w:lang w:bidi="en-US"/>
        </w:rPr>
        <w:t xml:space="preserve">, </w:t>
      </w:r>
      <w:r w:rsidRPr="00D65DE4">
        <w:rPr>
          <w:rFonts w:cs="Times New Roman"/>
          <w:sz w:val="20"/>
          <w:szCs w:val="21"/>
        </w:rPr>
        <w:t>Liu Y</w:t>
      </w:r>
      <w:r w:rsidRPr="00D65DE4">
        <w:rPr>
          <w:rFonts w:cs="Times New Roman"/>
          <w:sz w:val="20"/>
          <w:szCs w:val="21"/>
          <w:lang w:bidi="en-US"/>
        </w:rPr>
        <w:t xml:space="preserve">, </w:t>
      </w:r>
      <w:r w:rsidRPr="00D65DE4">
        <w:rPr>
          <w:rFonts w:cs="Times New Roman"/>
          <w:sz w:val="20"/>
          <w:szCs w:val="21"/>
        </w:rPr>
        <w:t xml:space="preserve">Wang JH et al. Comprehensive evaluation of quality of </w:t>
      </w:r>
      <w:proofErr w:type="spellStart"/>
      <w:r w:rsidRPr="00D65DE4">
        <w:rPr>
          <w:rFonts w:cs="Times New Roman"/>
          <w:sz w:val="20"/>
          <w:szCs w:val="21"/>
        </w:rPr>
        <w:t>Erzhiwan</w:t>
      </w:r>
      <w:proofErr w:type="spellEnd"/>
      <w:r w:rsidRPr="00D65DE4">
        <w:rPr>
          <w:rFonts w:cs="Times New Roman"/>
          <w:sz w:val="20"/>
          <w:szCs w:val="21"/>
        </w:rPr>
        <w:t xml:space="preserve"> based on five characteristic components. Chinese Journal of Experimental Traditional Medical Formulae (article in Chinese) (2018) 24:88-92. </w:t>
      </w:r>
      <w:proofErr w:type="spellStart"/>
      <w:r w:rsidRPr="00D65DE4">
        <w:rPr>
          <w:rFonts w:cs="Times New Roman"/>
          <w:sz w:val="20"/>
          <w:szCs w:val="21"/>
        </w:rPr>
        <w:t>doi</w:t>
      </w:r>
      <w:proofErr w:type="spellEnd"/>
      <w:r w:rsidRPr="00D65DE4">
        <w:rPr>
          <w:rFonts w:cs="Times New Roman"/>
          <w:sz w:val="20"/>
          <w:szCs w:val="21"/>
        </w:rPr>
        <w:t>: 10.13422/</w:t>
      </w:r>
      <w:proofErr w:type="spellStart"/>
      <w:r w:rsidRPr="00D65DE4">
        <w:rPr>
          <w:rFonts w:cs="Times New Roman"/>
          <w:sz w:val="20"/>
          <w:szCs w:val="21"/>
        </w:rPr>
        <w:t>j.cnki</w:t>
      </w:r>
      <w:proofErr w:type="spellEnd"/>
      <w:r w:rsidRPr="00D65DE4">
        <w:rPr>
          <w:rFonts w:cs="Times New Roman"/>
          <w:sz w:val="20"/>
          <w:szCs w:val="21"/>
        </w:rPr>
        <w:t>. Syfjx.20181607.</w:t>
      </w:r>
    </w:p>
    <w:p w:rsidR="003C1810" w:rsidRPr="00D65DE4" w:rsidRDefault="003C1810" w:rsidP="003C1810">
      <w:pPr>
        <w:spacing w:before="0"/>
        <w:ind w:leftChars="5" w:left="278" w:rightChars="57" w:right="137" w:hangingChars="133" w:hanging="266"/>
        <w:jc w:val="both"/>
        <w:rPr>
          <w:rFonts w:cs="Times New Roman"/>
          <w:sz w:val="20"/>
          <w:szCs w:val="21"/>
          <w:lang w:bidi="en-US"/>
        </w:rPr>
      </w:pPr>
      <w:r w:rsidRPr="00D65DE4">
        <w:rPr>
          <w:rFonts w:cs="Times New Roman"/>
          <w:sz w:val="20"/>
          <w:szCs w:val="21"/>
          <w:lang w:bidi="en-US"/>
        </w:rPr>
        <w:t xml:space="preserve">6. Committee for the pharmacopoeia of China, Pharmacopoeia of China, Part I; China Medical Science and Technology Press, Beijing, China, </w:t>
      </w:r>
      <w:r w:rsidRPr="00D65DE4">
        <w:rPr>
          <w:rFonts w:cs="Times New Roman"/>
          <w:sz w:val="20"/>
          <w:szCs w:val="21"/>
        </w:rPr>
        <w:t>(</w:t>
      </w:r>
      <w:r w:rsidRPr="00D65DE4">
        <w:rPr>
          <w:rFonts w:cs="Times New Roman"/>
          <w:sz w:val="20"/>
          <w:szCs w:val="21"/>
          <w:lang w:bidi="en-US"/>
        </w:rPr>
        <w:t>2015</w:t>
      </w:r>
      <w:r w:rsidRPr="00D65DE4">
        <w:rPr>
          <w:rFonts w:cs="Times New Roman"/>
          <w:sz w:val="20"/>
          <w:szCs w:val="21"/>
        </w:rPr>
        <w:t>):</w:t>
      </w:r>
      <w:r w:rsidRPr="00D65DE4">
        <w:rPr>
          <w:rFonts w:cs="Times New Roman"/>
          <w:sz w:val="20"/>
          <w:szCs w:val="21"/>
          <w:lang w:bidi="en-US"/>
        </w:rPr>
        <w:t xml:space="preserve"> 437.</w:t>
      </w:r>
    </w:p>
    <w:p w:rsidR="0050429A" w:rsidRDefault="0050429A">
      <w:bookmarkStart w:id="1" w:name="_GoBack"/>
      <w:bookmarkEnd w:id="1"/>
    </w:p>
    <w:sectPr w:rsidR="0050429A" w:rsidSect="0093429D">
      <w:headerReference w:type="even" r:id="rId4"/>
      <w:footerReference w:type="even" r:id="rId5"/>
      <w:footerReference w:type="default" r:id="rId6"/>
      <w:headerReference w:type="first" r:id="rId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3C1810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FB31F2" wp14:editId="53B7C7C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3C181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3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3C181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3C1810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75C2E" wp14:editId="1A18307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3C181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75C2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3C181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3C181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3C1810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2D084AAE" wp14:editId="3225BBF2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10"/>
    <w:rsid w:val="003C1810"/>
    <w:rsid w:val="005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0F570-2796-4B02-BCA3-84FF853B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10"/>
    <w:pPr>
      <w:spacing w:before="120" w:after="240" w:line="240" w:lineRule="auto"/>
    </w:pPr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Lièvre</dc:creator>
  <cp:keywords/>
  <dc:description/>
  <cp:lastModifiedBy>Florine Lièvre</cp:lastModifiedBy>
  <cp:revision>1</cp:revision>
  <dcterms:created xsi:type="dcterms:W3CDTF">2020-03-04T08:53:00Z</dcterms:created>
  <dcterms:modified xsi:type="dcterms:W3CDTF">2020-03-04T08:53:00Z</dcterms:modified>
</cp:coreProperties>
</file>