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8084D" w14:textId="68064864" w:rsidR="00C56351" w:rsidRDefault="00654E8F" w:rsidP="0001436A">
      <w:pPr>
        <w:pStyle w:val="SupplementaryMaterial"/>
      </w:pPr>
      <w:r w:rsidRPr="001549D3">
        <w:t>Supplementary Material</w:t>
      </w:r>
      <w:r w:rsidR="00891483">
        <w:t xml:space="preserve"> 3</w:t>
      </w:r>
      <w:r w:rsidR="00C56351">
        <w:t xml:space="preserve">: </w:t>
      </w:r>
    </w:p>
    <w:p w14:paraId="4227EEE6" w14:textId="66BA6741" w:rsidR="00654E8F" w:rsidRDefault="00C56351" w:rsidP="0001436A">
      <w:pPr>
        <w:pStyle w:val="SupplementaryMaterial"/>
      </w:pPr>
      <w:r w:rsidRPr="00C56351">
        <w:t>Supplementary Figures</w:t>
      </w:r>
    </w:p>
    <w:p w14:paraId="698FB0C0" w14:textId="77777777" w:rsidR="00D6041F" w:rsidRPr="00D6041F" w:rsidRDefault="00D6041F" w:rsidP="00D6041F">
      <w:pPr>
        <w:pStyle w:val="Titel"/>
      </w:pPr>
    </w:p>
    <w:p w14:paraId="1E4E3723" w14:textId="125319AB" w:rsidR="00A50A0A" w:rsidRPr="00A50A0A" w:rsidRDefault="00A50A0A" w:rsidP="00A50A0A">
      <w:pPr>
        <w:pStyle w:val="berschrift1"/>
        <w:numPr>
          <w:ilvl w:val="0"/>
          <w:numId w:val="0"/>
        </w:numPr>
        <w:rPr>
          <w:b w:val="0"/>
        </w:rPr>
      </w:pPr>
      <w:r w:rsidRPr="00A50A0A">
        <w:t xml:space="preserve">Figure </w:t>
      </w:r>
      <w:r>
        <w:t>S</w:t>
      </w:r>
      <w:r w:rsidRPr="00A50A0A">
        <w:t>1.</w:t>
      </w:r>
      <w:r>
        <w:t xml:space="preserve"> </w:t>
      </w:r>
      <w:r>
        <w:rPr>
          <w:b w:val="0"/>
        </w:rPr>
        <w:t xml:space="preserve">Boxplots of </w:t>
      </w:r>
      <w:r w:rsidR="008D03A5">
        <w:rPr>
          <w:b w:val="0"/>
        </w:rPr>
        <w:t xml:space="preserve">diameter at breast height (DBH in cm) </w:t>
      </w:r>
      <w:r>
        <w:rPr>
          <w:b w:val="0"/>
        </w:rPr>
        <w:t xml:space="preserve">(top) and </w:t>
      </w:r>
      <w:r w:rsidRPr="00A50A0A">
        <w:rPr>
          <w:b w:val="0"/>
        </w:rPr>
        <w:t xml:space="preserve">competition index </w:t>
      </w:r>
      <w:r w:rsidRPr="008D03A5">
        <w:rPr>
          <w:b w:val="0"/>
          <w:i/>
        </w:rPr>
        <w:t xml:space="preserve">Hegyi </w:t>
      </w:r>
      <w:r w:rsidR="008D03A5">
        <w:rPr>
          <w:b w:val="0"/>
        </w:rPr>
        <w:t xml:space="preserve">(bottom) separately for </w:t>
      </w:r>
      <w:r w:rsidRPr="00A50A0A">
        <w:rPr>
          <w:b w:val="0"/>
        </w:rPr>
        <w:t>Beech (</w:t>
      </w:r>
      <w:r>
        <w:rPr>
          <w:b w:val="0"/>
        </w:rPr>
        <w:t>grey</w:t>
      </w:r>
      <w:r w:rsidRPr="00A50A0A">
        <w:rPr>
          <w:b w:val="0"/>
        </w:rPr>
        <w:t>) and fir (</w:t>
      </w:r>
      <w:r>
        <w:rPr>
          <w:b w:val="0"/>
        </w:rPr>
        <w:t>blue</w:t>
      </w:r>
      <w:r w:rsidRPr="00A50A0A">
        <w:rPr>
          <w:b w:val="0"/>
        </w:rPr>
        <w:t xml:space="preserve">) trees. Data refers to measurements in 2016 </w:t>
      </w:r>
      <w:r w:rsidR="008D03A5" w:rsidRPr="00A50A0A">
        <w:rPr>
          <w:b w:val="0"/>
        </w:rPr>
        <w:t xml:space="preserve">at </w:t>
      </w:r>
      <w:r w:rsidR="008D03A5">
        <w:rPr>
          <w:b w:val="0"/>
        </w:rPr>
        <w:t>four</w:t>
      </w:r>
      <w:r w:rsidRPr="00A50A0A">
        <w:rPr>
          <w:b w:val="0"/>
        </w:rPr>
        <w:t xml:space="preserve"> sites (</w:t>
      </w:r>
      <w:r>
        <w:rPr>
          <w:b w:val="0"/>
        </w:rPr>
        <w:t xml:space="preserve">see </w:t>
      </w:r>
      <w:r w:rsidRPr="00A50A0A">
        <w:rPr>
          <w:b w:val="0"/>
        </w:rPr>
        <w:t>x-axis</w:t>
      </w:r>
      <w:r>
        <w:rPr>
          <w:b w:val="0"/>
        </w:rPr>
        <w:t>)</w:t>
      </w:r>
      <w:r w:rsidRPr="00A50A0A">
        <w:rPr>
          <w:b w:val="0"/>
        </w:rPr>
        <w:t xml:space="preserve">. Stars are inserted to indicate differences between the </w:t>
      </w:r>
      <w:r>
        <w:rPr>
          <w:b w:val="0"/>
        </w:rPr>
        <w:t xml:space="preserve">two </w:t>
      </w:r>
      <w:r w:rsidRPr="00A50A0A">
        <w:rPr>
          <w:b w:val="0"/>
        </w:rPr>
        <w:t xml:space="preserve">species </w:t>
      </w:r>
      <w:r>
        <w:rPr>
          <w:b w:val="0"/>
        </w:rPr>
        <w:t xml:space="preserve">separately </w:t>
      </w:r>
      <w:r w:rsidRPr="00A50A0A">
        <w:rPr>
          <w:b w:val="0"/>
        </w:rPr>
        <w:t xml:space="preserve">for each site (Wilcoxon tests, ****&lt;0.0001, ns= not significant). </w:t>
      </w:r>
    </w:p>
    <w:p w14:paraId="5A89B817" w14:textId="73F1DB89" w:rsidR="00A50A0A" w:rsidRDefault="000232B8" w:rsidP="00A50A0A">
      <w:pPr>
        <w:pStyle w:val="Titel"/>
        <w:jc w:val="left"/>
        <w:rPr>
          <w:rFonts w:asciiTheme="minorHAnsi" w:hAnsiTheme="minorHAnsi" w:cstheme="minorHAnsi"/>
          <w:b w:val="0"/>
          <w:sz w:val="36"/>
          <w:lang w:val="en-GB"/>
        </w:rPr>
      </w:pPr>
      <w:r w:rsidRPr="000232B8">
        <w:rPr>
          <w:noProof/>
        </w:rPr>
        <w:drawing>
          <wp:inline distT="0" distB="0" distL="0" distR="0" wp14:anchorId="4C56D6EA" wp14:editId="113CFC13">
            <wp:extent cx="5168900" cy="2432050"/>
            <wp:effectExtent l="0" t="0" r="0" b="6350"/>
            <wp:docPr id="20" name="Grafik 20" descr="D:\Downlo\Projekte\Waldklimafonds- BuTaKli\analysis and write-up\R-code\Fi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Projekte\Waldklimafonds- BuTaKli\analysis and write-up\R-code\Fig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2406" cy="2438405"/>
                    </a:xfrm>
                    <a:prstGeom prst="rect">
                      <a:avLst/>
                    </a:prstGeom>
                    <a:noFill/>
                    <a:ln>
                      <a:noFill/>
                    </a:ln>
                  </pic:spPr>
                </pic:pic>
              </a:graphicData>
            </a:graphic>
          </wp:inline>
        </w:drawing>
      </w:r>
      <w:r w:rsidRPr="000232B8">
        <w:t xml:space="preserve"> </w:t>
      </w:r>
      <w:r w:rsidRPr="000232B8">
        <w:rPr>
          <w:noProof/>
        </w:rPr>
        <w:drawing>
          <wp:inline distT="0" distB="0" distL="0" distR="0" wp14:anchorId="57F67320" wp14:editId="6641B348">
            <wp:extent cx="5364916" cy="2087880"/>
            <wp:effectExtent l="0" t="0" r="762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553"/>
                    <a:stretch/>
                  </pic:blipFill>
                  <pic:spPr bwMode="auto">
                    <a:xfrm>
                      <a:off x="0" y="0"/>
                      <a:ext cx="5369401" cy="2089625"/>
                    </a:xfrm>
                    <a:prstGeom prst="rect">
                      <a:avLst/>
                    </a:prstGeom>
                    <a:ln>
                      <a:noFill/>
                    </a:ln>
                    <a:extLst>
                      <a:ext uri="{53640926-AAD7-44D8-BBD7-CCE9431645EC}">
                        <a14:shadowObscured xmlns:a14="http://schemas.microsoft.com/office/drawing/2010/main"/>
                      </a:ext>
                    </a:extLst>
                  </pic:spPr>
                </pic:pic>
              </a:graphicData>
            </a:graphic>
          </wp:inline>
        </w:drawing>
      </w:r>
    </w:p>
    <w:p w14:paraId="70682AC9" w14:textId="64135356" w:rsidR="00A50A0A" w:rsidRDefault="00A50A0A" w:rsidP="00A50A0A">
      <w:pPr>
        <w:rPr>
          <w:lang w:val="en-GB"/>
        </w:rPr>
      </w:pPr>
    </w:p>
    <w:p w14:paraId="547106B2" w14:textId="6BA4F878" w:rsidR="008D03A5" w:rsidRDefault="008D03A5" w:rsidP="00A50A0A">
      <w:pPr>
        <w:rPr>
          <w:lang w:val="en-GB"/>
        </w:rPr>
      </w:pPr>
    </w:p>
    <w:p w14:paraId="32DCFE25" w14:textId="692F1E42" w:rsidR="008D03A5" w:rsidRDefault="008D03A5" w:rsidP="00A50A0A">
      <w:pPr>
        <w:rPr>
          <w:lang w:val="en-GB"/>
        </w:rPr>
      </w:pPr>
    </w:p>
    <w:p w14:paraId="7C3E6519" w14:textId="7DBBFBD2" w:rsidR="00BB415D" w:rsidRPr="00BB415D" w:rsidRDefault="00891483" w:rsidP="00BB415D">
      <w:pPr>
        <w:rPr>
          <w:lang w:val="en-GB"/>
        </w:rPr>
      </w:pPr>
      <w:r>
        <w:rPr>
          <w:b/>
          <w:lang w:val="en-GB"/>
        </w:rPr>
        <w:lastRenderedPageBreak/>
        <w:t>Figure S</w:t>
      </w:r>
      <w:r w:rsidR="008D03A5">
        <w:rPr>
          <w:b/>
          <w:lang w:val="en-GB"/>
        </w:rPr>
        <w:t>2</w:t>
      </w:r>
      <w:r w:rsidR="00BB415D" w:rsidRPr="00BB415D">
        <w:rPr>
          <w:lang w:val="en-GB"/>
        </w:rPr>
        <w:t>. Boxplot of mean complementarity (%) of basal area increments (BAI) of the 2 species beech (grey) and fir (blue) at 4 sites (</w:t>
      </w:r>
      <w:r w:rsidR="00BB415D">
        <w:rPr>
          <w:lang w:val="en-GB"/>
        </w:rPr>
        <w:t xml:space="preserve">see </w:t>
      </w:r>
      <w:r w:rsidR="00BB415D" w:rsidRPr="00BB415D">
        <w:rPr>
          <w:lang w:val="en-GB"/>
        </w:rPr>
        <w:t>x-axis</w:t>
      </w:r>
      <w:r w:rsidR="00BB415D">
        <w:rPr>
          <w:lang w:val="en-GB"/>
        </w:rPr>
        <w:t xml:space="preserve">) </w:t>
      </w:r>
      <w:r w:rsidR="00BB415D" w:rsidRPr="00BB415D">
        <w:rPr>
          <w:lang w:val="en-GB"/>
        </w:rPr>
        <w:t>Data refers to years 2000-2016. Complementarity of BAI reflects the average BAI of trees experiencing interspecific interactions compared to that of trees which are subjected to intraspecific interactions (se eq. 8 for calculation). Stars are inserted to indicate differences between the species for each site (Wilcoxon tests, **= p &lt; 0.01, ****&lt;0.001, ns= not significant).</w:t>
      </w:r>
      <w:r w:rsidR="000232B8" w:rsidRPr="000232B8">
        <w:rPr>
          <w:noProof/>
        </w:rPr>
        <w:t xml:space="preserve"> </w:t>
      </w:r>
    </w:p>
    <w:p w14:paraId="673E5874" w14:textId="76AD6FC7" w:rsidR="00A50A0A" w:rsidRDefault="000232B8" w:rsidP="00A50A0A">
      <w:pPr>
        <w:rPr>
          <w:rFonts w:ascii="Lucida Console" w:eastAsia="Times New Roman" w:hAnsi="Lucida Console" w:cs="Courier New"/>
          <w:color w:val="000000"/>
          <w:sz w:val="14"/>
          <w:szCs w:val="20"/>
          <w:lang w:val="en-GB" w:eastAsia="de-DE"/>
        </w:rPr>
      </w:pPr>
      <w:r w:rsidRPr="000232B8">
        <w:rPr>
          <w:rFonts w:ascii="Lucida Console" w:eastAsia="Times New Roman" w:hAnsi="Lucida Console" w:cs="Courier New"/>
          <w:noProof/>
          <w:color w:val="000000"/>
          <w:sz w:val="14"/>
          <w:szCs w:val="20"/>
        </w:rPr>
        <w:drawing>
          <wp:inline distT="0" distB="0" distL="0" distR="0" wp14:anchorId="4D08F0BD" wp14:editId="182631E1">
            <wp:extent cx="6208395" cy="2927684"/>
            <wp:effectExtent l="0" t="0" r="1905" b="6350"/>
            <wp:docPr id="25" name="Grafik 25" descr="D:\Downlo\Projekte\Waldklimafonds- BuTaKli\analysis and write-up\R-code\Fi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Projekte\Waldklimafonds- BuTaKli\analysis and write-up\R-code\FigS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2927684"/>
                    </a:xfrm>
                    <a:prstGeom prst="rect">
                      <a:avLst/>
                    </a:prstGeom>
                    <a:noFill/>
                    <a:ln>
                      <a:noFill/>
                    </a:ln>
                  </pic:spPr>
                </pic:pic>
              </a:graphicData>
            </a:graphic>
          </wp:inline>
        </w:drawing>
      </w:r>
    </w:p>
    <w:p w14:paraId="76A61F20" w14:textId="77777777" w:rsidR="000C5775" w:rsidRDefault="000C5775" w:rsidP="00A50A0A">
      <w:pPr>
        <w:rPr>
          <w:rFonts w:ascii="Lucida Console" w:eastAsia="Times New Roman" w:hAnsi="Lucida Console" w:cs="Courier New"/>
          <w:color w:val="000000"/>
          <w:sz w:val="14"/>
          <w:szCs w:val="20"/>
          <w:lang w:val="en-GB" w:eastAsia="de-DE"/>
        </w:rPr>
      </w:pPr>
    </w:p>
    <w:p w14:paraId="5DD448A9" w14:textId="77777777" w:rsidR="00A50A0A" w:rsidRDefault="00A50A0A" w:rsidP="00A50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70" w:lineRule="atLeast"/>
        <w:rPr>
          <w:rFonts w:ascii="Lucida Console" w:eastAsia="Times New Roman" w:hAnsi="Lucida Console" w:cs="Courier New"/>
          <w:color w:val="000000"/>
          <w:sz w:val="14"/>
          <w:szCs w:val="20"/>
          <w:lang w:val="en-GB" w:eastAsia="de-DE"/>
        </w:rPr>
      </w:pPr>
    </w:p>
    <w:p w14:paraId="1E15CF78" w14:textId="2C9F54AC" w:rsidR="00A50A0A" w:rsidRDefault="00BB415D" w:rsidP="000C5775">
      <w:pPr>
        <w:rPr>
          <w:lang w:val="en-GB"/>
        </w:rPr>
      </w:pPr>
      <w:r w:rsidRPr="00BB415D">
        <w:rPr>
          <w:b/>
          <w:lang w:val="en-GB"/>
        </w:rPr>
        <w:t>Figure S3</w:t>
      </w:r>
      <w:r w:rsidRPr="00BB415D">
        <w:rPr>
          <w:lang w:val="en-GB"/>
        </w:rPr>
        <w:t xml:space="preserve">. Relationship of DBH and Hegyi for 160 trees of Beech (grey) and fir (blue) of all 4 sites jointly. </w:t>
      </w:r>
      <w:r w:rsidR="000232B8" w:rsidRPr="000232B8">
        <w:rPr>
          <w:noProof/>
        </w:rPr>
        <w:drawing>
          <wp:inline distT="0" distB="0" distL="0" distR="0" wp14:anchorId="0F527CC5" wp14:editId="4AED52D1">
            <wp:extent cx="6208395" cy="2927684"/>
            <wp:effectExtent l="0" t="0" r="1905" b="6350"/>
            <wp:docPr id="21" name="Grafik 21" descr="D:\Downlo\Projekte\Waldklimafonds- BuTaKli\analysis and write-up\R-code\Fi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Projekte\Waldklimafonds- BuTaKli\analysis and write-up\R-code\FigS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2927684"/>
                    </a:xfrm>
                    <a:prstGeom prst="rect">
                      <a:avLst/>
                    </a:prstGeom>
                    <a:noFill/>
                    <a:ln>
                      <a:noFill/>
                    </a:ln>
                  </pic:spPr>
                </pic:pic>
              </a:graphicData>
            </a:graphic>
          </wp:inline>
        </w:drawing>
      </w:r>
    </w:p>
    <w:p w14:paraId="77800872" w14:textId="77777777" w:rsidR="000C5775" w:rsidRPr="00CA63C4" w:rsidRDefault="000C5775" w:rsidP="000C5775">
      <w:pPr>
        <w:rPr>
          <w:b/>
          <w:lang w:val="en-GB"/>
        </w:rPr>
      </w:pPr>
    </w:p>
    <w:p w14:paraId="36A8E585" w14:textId="026E8690" w:rsidR="008D03A5" w:rsidRDefault="00644F77" w:rsidP="00644F77">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F21612">
        <w:rPr>
          <w:b/>
          <w:lang w:val="en-GB"/>
        </w:rPr>
        <w:lastRenderedPageBreak/>
        <w:t>Figure S</w:t>
      </w:r>
      <w:r w:rsidR="008D03A5">
        <w:rPr>
          <w:b/>
          <w:lang w:val="en-GB"/>
        </w:rPr>
        <w:t>4</w:t>
      </w:r>
      <w:r w:rsidRPr="00644F77">
        <w:rPr>
          <w:lang w:val="en-GB"/>
        </w:rPr>
        <w:t xml:space="preserve"> Comparisons of mean (SE) of annual basal area increments (BAI) of Beech (left) and Fir (right) among years differing in climatic conditions (dry, normal and wet years). Data refers to 14-20 trees from four sites (Conventwald, Croatia, Freiamt, Hexental). Classification of years (2000-2016) into wet</w:t>
      </w:r>
      <w:r w:rsidR="008D03A5">
        <w:rPr>
          <w:lang w:val="en-GB"/>
        </w:rPr>
        <w:t>,</w:t>
      </w:r>
      <w:r w:rsidRPr="00644F77">
        <w:rPr>
          <w:lang w:val="en-GB"/>
        </w:rPr>
        <w:t xml:space="preserve"> normal and dry is based on SPEI values for a 3-months-long period ending in August</w:t>
      </w:r>
      <w:r w:rsidR="008D03A5" w:rsidRPr="00644F77">
        <w:rPr>
          <w:lang w:val="en-GB"/>
        </w:rPr>
        <w:t>:</w:t>
      </w:r>
      <w:r w:rsidRPr="00644F77">
        <w:rPr>
          <w:lang w:val="en-GB"/>
        </w:rPr>
        <w:t xml:space="preserve"> &lt;-1= dry, -1 to +1 = normal and &gt;1 = wet. P-values are based on pairwise-comparisons with Wilcoxon test separately for each species.</w:t>
      </w:r>
      <w:r w:rsidR="00875B63" w:rsidRPr="00875B6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E9EF8B0" w14:textId="2EDDB2BF" w:rsidR="00064249" w:rsidRDefault="00875B63" w:rsidP="00875B63">
      <w:pPr>
        <w:rPr>
          <w:lang w:val="en-GB"/>
        </w:rPr>
      </w:pPr>
      <w:r w:rsidRPr="00875B63">
        <w:rPr>
          <w:noProof/>
        </w:rPr>
        <w:drawing>
          <wp:inline distT="0" distB="0" distL="0" distR="0" wp14:anchorId="5F3CC1EE" wp14:editId="023CEA29">
            <wp:extent cx="6208395" cy="2927684"/>
            <wp:effectExtent l="0" t="0" r="1905" b="6350"/>
            <wp:docPr id="27" name="Grafik 27" descr="D:\Downlo\Projekte\Waldklimafonds- BuTaKli\analysis and write-up\R-code\Fi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Projekte\Waldklimafonds- BuTaKli\analysis and write-up\R-code\FigS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2927684"/>
                    </a:xfrm>
                    <a:prstGeom prst="rect">
                      <a:avLst/>
                    </a:prstGeom>
                    <a:noFill/>
                    <a:ln>
                      <a:noFill/>
                    </a:ln>
                  </pic:spPr>
                </pic:pic>
              </a:graphicData>
            </a:graphic>
          </wp:inline>
        </w:drawing>
      </w:r>
    </w:p>
    <w:p w14:paraId="0B95AFC0" w14:textId="7863F7EC" w:rsidR="00875B63" w:rsidRPr="00875B63" w:rsidRDefault="00875B63" w:rsidP="00644F77">
      <w:pPr>
        <w:rPr>
          <w:noProof/>
          <w:lang w:eastAsia="de-DE"/>
        </w:rPr>
      </w:pPr>
      <w:r w:rsidRPr="00F21612">
        <w:rPr>
          <w:b/>
          <w:lang w:val="en-GB"/>
        </w:rPr>
        <w:t xml:space="preserve">Figure </w:t>
      </w:r>
      <w:r w:rsidR="00F21612" w:rsidRPr="008D03A5">
        <w:rPr>
          <w:b/>
          <w:lang w:val="en-GB"/>
        </w:rPr>
        <w:t>S</w:t>
      </w:r>
      <w:r w:rsidR="008D03A5" w:rsidRPr="008D03A5">
        <w:rPr>
          <w:b/>
          <w:lang w:val="en-GB"/>
        </w:rPr>
        <w:t>5</w:t>
      </w:r>
      <w:r w:rsidRPr="00875B63">
        <w:rPr>
          <w:lang w:val="en-GB"/>
        </w:rPr>
        <w:t xml:space="preserve"> Boxplots of mean basal area increments (BAI) of the 2 species beech (grey) and fir (blue) fir in dry, normal </w:t>
      </w:r>
      <w:r w:rsidRPr="00064249">
        <w:rPr>
          <w:lang w:val="en-GB"/>
        </w:rPr>
        <w:t xml:space="preserve">and wet years. Data refers to 14-20 trees from four sites (Conventwald, Croatia, Freiamt, Hexenta). </w:t>
      </w:r>
      <w:r w:rsidR="008D03A5" w:rsidRPr="00644F77">
        <w:rPr>
          <w:lang w:val="en-GB"/>
        </w:rPr>
        <w:t>Classification of years (2000-2016) into wet</w:t>
      </w:r>
      <w:r w:rsidR="008D03A5">
        <w:rPr>
          <w:lang w:val="en-GB"/>
        </w:rPr>
        <w:t>,</w:t>
      </w:r>
      <w:r w:rsidR="008D03A5" w:rsidRPr="00644F77">
        <w:rPr>
          <w:lang w:val="en-GB"/>
        </w:rPr>
        <w:t xml:space="preserve"> normal and dry is based on SPEI values for a 3-months-long period ending in August: &lt;-1= dry, -1 to +1 = normal and &gt;1 = wet. </w:t>
      </w:r>
      <w:r w:rsidRPr="00064249">
        <w:rPr>
          <w:lang w:val="en-GB"/>
        </w:rPr>
        <w:t xml:space="preserve"> Stars are inserted to indicate differences between the species for each climatic condition</w:t>
      </w:r>
      <w:r w:rsidR="008D03A5">
        <w:rPr>
          <w:lang w:val="en-GB"/>
        </w:rPr>
        <w:t xml:space="preserve"> </w:t>
      </w:r>
      <w:r w:rsidR="008A7104">
        <w:rPr>
          <w:lang w:val="en-GB"/>
        </w:rPr>
        <w:t xml:space="preserve">separately </w:t>
      </w:r>
      <w:r w:rsidR="008A7104" w:rsidRPr="00064249">
        <w:rPr>
          <w:lang w:val="en-GB"/>
        </w:rPr>
        <w:t>(</w:t>
      </w:r>
      <w:r w:rsidR="00064249">
        <w:rPr>
          <w:lang w:val="en-GB"/>
        </w:rPr>
        <w:t xml:space="preserve">Wilcoxon </w:t>
      </w:r>
      <w:r w:rsidR="00C56351">
        <w:rPr>
          <w:lang w:val="en-GB"/>
        </w:rPr>
        <w:t xml:space="preserve">tests, </w:t>
      </w:r>
      <w:r w:rsidR="00C56351" w:rsidRPr="00064249">
        <w:rPr>
          <w:lang w:val="en-GB"/>
        </w:rPr>
        <w:t>*</w:t>
      </w:r>
      <w:r w:rsidRPr="00064249">
        <w:rPr>
          <w:lang w:val="en-GB"/>
        </w:rPr>
        <w:t>***&lt;0.001.</w:t>
      </w:r>
      <w:r w:rsidRPr="00875B63">
        <w:rPr>
          <w:b/>
          <w:lang w:val="en-GB"/>
        </w:rPr>
        <w:t xml:space="preserve"> </w:t>
      </w:r>
    </w:p>
    <w:p w14:paraId="45C4ED75" w14:textId="1B31E089" w:rsidR="00A50A0A" w:rsidRDefault="00875B63" w:rsidP="00A50A0A">
      <w:pPr>
        <w:rPr>
          <w:noProof/>
          <w:lang w:val="en-GB" w:eastAsia="de-DE"/>
        </w:rPr>
      </w:pPr>
      <w:r w:rsidRPr="00875B63">
        <w:rPr>
          <w:noProof/>
        </w:rPr>
        <w:drawing>
          <wp:inline distT="0" distB="0" distL="0" distR="0" wp14:anchorId="1CC71FE0" wp14:editId="3C2E611F">
            <wp:extent cx="6208395" cy="2927684"/>
            <wp:effectExtent l="0" t="0" r="1905" b="6350"/>
            <wp:docPr id="29" name="Grafik 29" descr="D:\Downlo\Projekte\Waldklimafonds- BuTaKli\analysis and write-up\R-code\Fig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Projekte\Waldklimafonds- BuTaKli\analysis and write-up\R-code\FigS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2927684"/>
                    </a:xfrm>
                    <a:prstGeom prst="rect">
                      <a:avLst/>
                    </a:prstGeom>
                    <a:noFill/>
                    <a:ln>
                      <a:noFill/>
                    </a:ln>
                  </pic:spPr>
                </pic:pic>
              </a:graphicData>
            </a:graphic>
          </wp:inline>
        </w:drawing>
      </w:r>
    </w:p>
    <w:p w14:paraId="25C954C6" w14:textId="50BDBCFC" w:rsidR="00A50A0A" w:rsidRPr="008D03A5" w:rsidRDefault="00F21612" w:rsidP="00F21612">
      <w:pPr>
        <w:rPr>
          <w:sz w:val="22"/>
          <w:lang w:val="en-GB"/>
        </w:rPr>
      </w:pPr>
      <w:r w:rsidRPr="008A7104">
        <w:rPr>
          <w:b/>
          <w:lang w:val="en-GB"/>
        </w:rPr>
        <w:lastRenderedPageBreak/>
        <w:t>Figure S</w:t>
      </w:r>
      <w:r w:rsidR="008D03A5" w:rsidRPr="008A7104">
        <w:rPr>
          <w:b/>
          <w:lang w:val="en-GB"/>
        </w:rPr>
        <w:t>6</w:t>
      </w:r>
      <w:r w:rsidRPr="008A7104">
        <w:rPr>
          <w:lang w:val="en-GB"/>
        </w:rPr>
        <w:t xml:space="preserve"> Comparison of growth response to drought between Beech </w:t>
      </w:r>
      <w:r w:rsidR="008D03A5" w:rsidRPr="008A7104">
        <w:rPr>
          <w:lang w:val="en-GB"/>
        </w:rPr>
        <w:t xml:space="preserve">(grey) </w:t>
      </w:r>
      <w:r w:rsidRPr="008A7104">
        <w:rPr>
          <w:lang w:val="en-GB"/>
        </w:rPr>
        <w:t xml:space="preserve">and fir </w:t>
      </w:r>
      <w:r w:rsidR="008D03A5" w:rsidRPr="008A7104">
        <w:rPr>
          <w:lang w:val="en-GB"/>
        </w:rPr>
        <w:t xml:space="preserve">(blue) </w:t>
      </w:r>
      <w:r w:rsidR="008A7104">
        <w:rPr>
          <w:lang w:val="en-GB"/>
        </w:rPr>
        <w:t xml:space="preserve">trees growing at </w:t>
      </w:r>
      <w:r w:rsidRPr="008A7104">
        <w:rPr>
          <w:lang w:val="en-GB"/>
        </w:rPr>
        <w:t>4 sites (</w:t>
      </w:r>
      <w:r w:rsidR="00F67DAF" w:rsidRPr="008A7104">
        <w:rPr>
          <w:lang w:val="en-GB"/>
        </w:rPr>
        <w:t>see x-axis</w:t>
      </w:r>
      <w:r w:rsidRPr="008A7104">
        <w:rPr>
          <w:lang w:val="en-GB"/>
        </w:rPr>
        <w:t>). Growth resistance during drought (</w:t>
      </w:r>
      <w:r w:rsidR="0091674F">
        <w:rPr>
          <w:lang w:val="en-GB"/>
        </w:rPr>
        <w:t>a, b</w:t>
      </w:r>
      <w:r w:rsidRPr="008A7104">
        <w:rPr>
          <w:lang w:val="en-GB"/>
        </w:rPr>
        <w:t>), growth recovery following drought (</w:t>
      </w:r>
      <w:r w:rsidR="0091674F">
        <w:rPr>
          <w:lang w:val="en-GB"/>
        </w:rPr>
        <w:t>c, d</w:t>
      </w:r>
      <w:r w:rsidRPr="008A7104">
        <w:rPr>
          <w:lang w:val="en-GB"/>
        </w:rPr>
        <w:t>) and growth resilience to dro</w:t>
      </w:r>
      <w:r w:rsidR="008D03A5" w:rsidRPr="008A7104">
        <w:rPr>
          <w:lang w:val="en-GB"/>
        </w:rPr>
        <w:t>ught (</w:t>
      </w:r>
      <w:r w:rsidR="0091674F">
        <w:rPr>
          <w:lang w:val="en-GB"/>
        </w:rPr>
        <w:t>e, f)</w:t>
      </w:r>
      <w:r w:rsidR="008D03A5" w:rsidRPr="008A7104">
        <w:rPr>
          <w:lang w:val="en-GB"/>
        </w:rPr>
        <w:t xml:space="preserve"> according to eq. a-c in main text</w:t>
      </w:r>
      <w:r w:rsidRPr="008A7104">
        <w:rPr>
          <w:lang w:val="en-GB"/>
        </w:rPr>
        <w:t>. Stars are inserted to indicate differences between the species for each site and index</w:t>
      </w:r>
      <w:r w:rsidR="008D03A5" w:rsidRPr="008A7104">
        <w:rPr>
          <w:lang w:val="en-GB"/>
        </w:rPr>
        <w:t xml:space="preserve"> separately</w:t>
      </w:r>
      <w:r w:rsidRPr="008A7104">
        <w:rPr>
          <w:lang w:val="en-GB"/>
        </w:rPr>
        <w:t xml:space="preserve"> (t-tests</w:t>
      </w:r>
      <w:r w:rsidR="008D03A5" w:rsidRPr="008A7104">
        <w:rPr>
          <w:lang w:val="en-GB"/>
        </w:rPr>
        <w:t xml:space="preserve"> for r</w:t>
      </w:r>
      <w:r w:rsidR="00F67DAF" w:rsidRPr="008A7104">
        <w:rPr>
          <w:lang w:val="en-GB"/>
        </w:rPr>
        <w:t xml:space="preserve">esistance and </w:t>
      </w:r>
      <w:r w:rsidR="008D03A5" w:rsidRPr="008A7104">
        <w:rPr>
          <w:lang w:val="en-GB"/>
        </w:rPr>
        <w:t>resilience</w:t>
      </w:r>
      <w:r w:rsidR="00F67DAF" w:rsidRPr="008A7104">
        <w:rPr>
          <w:lang w:val="en-GB"/>
        </w:rPr>
        <w:t xml:space="preserve"> and </w:t>
      </w:r>
      <w:r w:rsidR="008D03A5" w:rsidRPr="008A7104">
        <w:rPr>
          <w:lang w:val="en-GB"/>
        </w:rPr>
        <w:t>Wilcoxon test</w:t>
      </w:r>
      <w:r w:rsidR="00F67DAF" w:rsidRPr="008A7104">
        <w:rPr>
          <w:lang w:val="en-GB"/>
        </w:rPr>
        <w:t xml:space="preserve"> for recovery</w:t>
      </w:r>
      <w:r w:rsidRPr="008A7104">
        <w:rPr>
          <w:lang w:val="en-GB"/>
        </w:rPr>
        <w:t xml:space="preserve">, **= p &lt; 0.01, ns= not significant). </w:t>
      </w:r>
      <w:r w:rsidR="0091674F">
        <w:rPr>
          <w:noProof/>
          <w:sz w:val="22"/>
        </w:rPr>
        <w:drawing>
          <wp:inline distT="0" distB="0" distL="0" distR="0" wp14:anchorId="1B052F81" wp14:editId="553E85EA">
            <wp:extent cx="6208395" cy="3636010"/>
            <wp:effectExtent l="0" t="0" r="190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6a-f_revis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3636010"/>
                    </a:xfrm>
                    <a:prstGeom prst="rect">
                      <a:avLst/>
                    </a:prstGeom>
                  </pic:spPr>
                </pic:pic>
              </a:graphicData>
            </a:graphic>
          </wp:inline>
        </w:drawing>
      </w:r>
    </w:p>
    <w:p w14:paraId="0F2A199B" w14:textId="7E3F4380" w:rsidR="00F67DAF" w:rsidRPr="00C56351" w:rsidRDefault="00C56351" w:rsidP="00C56351">
      <w:r w:rsidRPr="00C56351">
        <w:rPr>
          <w:b/>
        </w:rPr>
        <w:t xml:space="preserve">Figure </w:t>
      </w:r>
      <w:r>
        <w:rPr>
          <w:b/>
        </w:rPr>
        <w:t>S</w:t>
      </w:r>
      <w:r w:rsidRPr="00C56351">
        <w:rPr>
          <w:b/>
        </w:rPr>
        <w:t>7</w:t>
      </w:r>
      <w:r w:rsidRPr="00C56351">
        <w:t xml:space="preserve"> Boxplots of carbon isotope </w:t>
      </w:r>
      <w:r w:rsidR="00891483" w:rsidRPr="00C56351">
        <w:t>discrimination</w:t>
      </w:r>
      <w:r w:rsidR="00891483">
        <w:t xml:space="preserve"> </w:t>
      </w:r>
      <w:r w:rsidR="00891483">
        <w:rPr>
          <w:rFonts w:cs="Times New Roman"/>
        </w:rPr>
        <w:t>δ</w:t>
      </w:r>
      <w:r w:rsidR="00891483" w:rsidRPr="00891483">
        <w:rPr>
          <w:vertAlign w:val="superscript"/>
        </w:rPr>
        <w:t>13</w:t>
      </w:r>
      <w:r w:rsidR="00891483">
        <w:t>C</w:t>
      </w:r>
      <w:r w:rsidRPr="00C56351">
        <w:t xml:space="preserve"> in wood </w:t>
      </w:r>
      <w:r w:rsidR="00891483">
        <w:t>in</w:t>
      </w:r>
      <w:r w:rsidRPr="00C56351">
        <w:t xml:space="preserve"> years 2002, 2003 and </w:t>
      </w:r>
      <w:r w:rsidR="00C213A0" w:rsidRPr="00C56351">
        <w:t>2004 separately</w:t>
      </w:r>
      <w:r w:rsidRPr="00C56351">
        <w:t xml:space="preserve"> for Beech (left) and fir (right). Data refers to 14-20 trees from four sites (Conventwald, Croatia, Freiamt, Hexenta</w:t>
      </w:r>
      <w:r w:rsidR="00891483">
        <w:t>l</w:t>
      </w:r>
      <w:r w:rsidRPr="00C56351">
        <w:t xml:space="preserve">).  Stars are inserted to indicate significant differences between </w:t>
      </w:r>
      <w:r w:rsidR="00891483">
        <w:t xml:space="preserve">2 successive </w:t>
      </w:r>
      <w:r w:rsidRPr="00C56351">
        <w:t>years</w:t>
      </w:r>
      <w:r w:rsidR="009C0D21">
        <w:t xml:space="preserve">: </w:t>
      </w:r>
      <w:r w:rsidRPr="00C56351">
        <w:t xml:space="preserve"> **P&lt;0.01</w:t>
      </w:r>
      <w:r w:rsidR="009C0D21">
        <w:t>,  ****P&lt;0.0001 using t-tests.</w:t>
      </w:r>
    </w:p>
    <w:p w14:paraId="5128F332" w14:textId="2F103F48" w:rsidR="00A50A0A" w:rsidRPr="00C56351" w:rsidRDefault="00891483" w:rsidP="00A50A0A">
      <w:pPr>
        <w:pStyle w:val="StandardWeb"/>
        <w:spacing w:line="360" w:lineRule="auto"/>
        <w:jc w:val="both"/>
        <w:rPr>
          <w:noProof/>
          <w:lang w:eastAsia="de-DE"/>
        </w:rPr>
      </w:pPr>
      <w:r w:rsidRPr="00891483">
        <w:rPr>
          <w:noProof/>
        </w:rPr>
        <w:drawing>
          <wp:inline distT="0" distB="0" distL="0" distR="0" wp14:anchorId="2F293295" wp14:editId="0E783B12">
            <wp:extent cx="5276850" cy="2488397"/>
            <wp:effectExtent l="0" t="0" r="0" b="7620"/>
            <wp:docPr id="2" name="Grafik 2" descr="D:\Downlo\Projekte\Waldklimafonds- BuTaKli\analysis and write-up\R-code\Fig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Projekte\Waldklimafonds- BuTaKli\analysis and write-up\R-code\FigS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3438" cy="2491504"/>
                    </a:xfrm>
                    <a:prstGeom prst="rect">
                      <a:avLst/>
                    </a:prstGeom>
                    <a:noFill/>
                    <a:ln>
                      <a:noFill/>
                    </a:ln>
                  </pic:spPr>
                </pic:pic>
              </a:graphicData>
            </a:graphic>
          </wp:inline>
        </w:drawing>
      </w:r>
    </w:p>
    <w:p w14:paraId="4DD989AB" w14:textId="7B987B08" w:rsidR="00C56351" w:rsidRPr="00C56351" w:rsidRDefault="00C56351" w:rsidP="00C56351">
      <w:pPr>
        <w:pStyle w:val="StandardWeb"/>
        <w:jc w:val="both"/>
        <w:rPr>
          <w:rFonts w:eastAsiaTheme="minorHAnsi" w:cstheme="minorBidi"/>
          <w:szCs w:val="22"/>
        </w:rPr>
      </w:pPr>
      <w:r w:rsidRPr="00C56351">
        <w:rPr>
          <w:rFonts w:eastAsiaTheme="minorHAnsi" w:cstheme="minorBidi"/>
          <w:b/>
          <w:szCs w:val="22"/>
        </w:rPr>
        <w:lastRenderedPageBreak/>
        <w:t>Figure S8</w:t>
      </w:r>
      <w:r w:rsidRPr="00C56351">
        <w:rPr>
          <w:rFonts w:eastAsiaTheme="minorHAnsi" w:cstheme="minorBidi"/>
          <w:szCs w:val="22"/>
        </w:rPr>
        <w:t xml:space="preserve"> Boxplots of carbon isotope discrimination in wood for years 2002, 2003 and 2004</w:t>
      </w:r>
      <w:r w:rsidR="009C0D21" w:rsidRPr="009C0D21">
        <w:t xml:space="preserve"> </w:t>
      </w:r>
      <w:r w:rsidR="009C0D21" w:rsidRPr="00C56351">
        <w:t>separately for</w:t>
      </w:r>
      <w:r w:rsidR="009C0D21">
        <w:t xml:space="preserve"> the two species (</w:t>
      </w:r>
      <w:r w:rsidR="009C0D21" w:rsidRPr="00C56351">
        <w:t>Beech (</w:t>
      </w:r>
      <w:r w:rsidR="009C0D21">
        <w:t>grey</w:t>
      </w:r>
      <w:r w:rsidR="009C0D21" w:rsidRPr="00C56351">
        <w:t>) and fir (</w:t>
      </w:r>
      <w:r w:rsidR="009C0D21">
        <w:t>blue</w:t>
      </w:r>
      <w:r w:rsidR="009C0D21" w:rsidRPr="00C56351">
        <w:t>)</w:t>
      </w:r>
      <w:r w:rsidR="009C0D21">
        <w:t xml:space="preserve">) and </w:t>
      </w:r>
      <w:r w:rsidRPr="00C56351">
        <w:rPr>
          <w:rFonts w:eastAsiaTheme="minorHAnsi" w:cstheme="minorBidi"/>
          <w:szCs w:val="22"/>
        </w:rPr>
        <w:t>for the 4 sites (Conventwald, Croatia, Freiamt, Hexental). Stars are inserted to indicate significant differences between species for a given year and site. *P&lt;0.05, **P&lt;0.01 ***P&lt;0.001 ****P&lt;0.0001 based on t-tests.</w:t>
      </w:r>
      <w:r w:rsidR="009C0D21" w:rsidRPr="009C0D21">
        <w:rPr>
          <w:snapToGrid w:val="0"/>
          <w:color w:val="000000"/>
          <w:w w:val="0"/>
          <w:sz w:val="0"/>
          <w:szCs w:val="0"/>
          <w:u w:color="000000"/>
          <w:bdr w:val="none" w:sz="0" w:space="0" w:color="000000"/>
          <w:shd w:val="clear" w:color="000000" w:fill="000000"/>
          <w:lang w:val="x-none" w:eastAsia="x-none" w:bidi="x-none"/>
        </w:rPr>
        <w:t xml:space="preserve"> </w:t>
      </w:r>
      <w:r w:rsidR="009C0D21" w:rsidRPr="009C0D21">
        <w:rPr>
          <w:rFonts w:eastAsiaTheme="minorHAnsi" w:cstheme="minorBidi"/>
          <w:noProof/>
          <w:szCs w:val="22"/>
        </w:rPr>
        <w:drawing>
          <wp:inline distT="0" distB="0" distL="0" distR="0" wp14:anchorId="4251F18F" wp14:editId="76878385">
            <wp:extent cx="5137150" cy="3993882"/>
            <wp:effectExtent l="0" t="0" r="6350" b="6985"/>
            <wp:docPr id="3" name="Grafik 3" descr="D:\Downlo\Projekte\Waldklimafonds- BuTaKli\analysis and write-up\R-code\Fig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Projekte\Waldklimafonds- BuTaKli\analysis and write-up\R-code\FigS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7150" cy="3993882"/>
                    </a:xfrm>
                    <a:prstGeom prst="rect">
                      <a:avLst/>
                    </a:prstGeom>
                    <a:noFill/>
                    <a:ln>
                      <a:noFill/>
                    </a:ln>
                  </pic:spPr>
                </pic:pic>
              </a:graphicData>
            </a:graphic>
          </wp:inline>
        </w:drawing>
      </w:r>
    </w:p>
    <w:p w14:paraId="6C9DB116" w14:textId="572154F4" w:rsidR="00452C1A" w:rsidRPr="00C56351" w:rsidRDefault="00C56351" w:rsidP="00C56351">
      <w:pPr>
        <w:rPr>
          <w:b/>
          <w:lang w:val="en-GB"/>
        </w:rPr>
      </w:pPr>
      <w:r w:rsidRPr="00C56351">
        <w:rPr>
          <w:b/>
          <w:lang w:val="en-GB"/>
        </w:rPr>
        <w:t xml:space="preserve">Fig. </w:t>
      </w:r>
      <w:r w:rsidR="00452C1A">
        <w:rPr>
          <w:b/>
          <w:lang w:val="en-GB"/>
        </w:rPr>
        <w:t>S</w:t>
      </w:r>
      <w:r w:rsidRPr="00C56351">
        <w:rPr>
          <w:b/>
          <w:lang w:val="en-GB"/>
        </w:rPr>
        <w:t xml:space="preserve">9. </w:t>
      </w:r>
      <w:r w:rsidRPr="00C56351">
        <w:rPr>
          <w:lang w:val="en-GB"/>
        </w:rPr>
        <w:t xml:space="preserve">Comparison of isotopic response to drought between </w:t>
      </w:r>
      <w:r w:rsidR="000C5775">
        <w:rPr>
          <w:lang w:val="en-GB"/>
        </w:rPr>
        <w:t xml:space="preserve">Beech and fir trees growing at </w:t>
      </w:r>
      <w:r w:rsidRPr="00C56351">
        <w:rPr>
          <w:lang w:val="en-GB"/>
        </w:rPr>
        <w:t>4 sites (Conventwald,</w:t>
      </w:r>
      <w:r w:rsidR="000C5775">
        <w:rPr>
          <w:lang w:val="en-GB"/>
        </w:rPr>
        <w:t xml:space="preserve"> </w:t>
      </w:r>
      <w:r w:rsidRPr="00C56351">
        <w:rPr>
          <w:lang w:val="en-GB"/>
        </w:rPr>
        <w:t xml:space="preserve">Croatia, Freiamt, and Hexental). </w:t>
      </w:r>
      <w:r w:rsidR="000C5775">
        <w:rPr>
          <w:lang w:val="en-GB"/>
        </w:rPr>
        <w:t>R</w:t>
      </w:r>
      <w:r w:rsidRPr="00C56351">
        <w:rPr>
          <w:lang w:val="en-GB"/>
        </w:rPr>
        <w:t xml:space="preserve">esistance during drought (top), recovery following drought (middle) and resilience to drought (bottom) according to eq. </w:t>
      </w:r>
      <w:r w:rsidR="000C5775">
        <w:rPr>
          <w:lang w:val="en-GB"/>
        </w:rPr>
        <w:t>4a-c in main text</w:t>
      </w:r>
      <w:r w:rsidR="00C213A0">
        <w:rPr>
          <w:lang w:val="en-GB"/>
        </w:rPr>
        <w:t>; n</w:t>
      </w:r>
      <w:r w:rsidR="000C5775">
        <w:rPr>
          <w:lang w:val="en-GB"/>
        </w:rPr>
        <w:t xml:space="preserve">s </w:t>
      </w:r>
      <w:r w:rsidRPr="00C56351">
        <w:rPr>
          <w:lang w:val="en-GB"/>
        </w:rPr>
        <w:t>indicate</w:t>
      </w:r>
      <w:r w:rsidR="000C5775">
        <w:rPr>
          <w:lang w:val="en-GB"/>
        </w:rPr>
        <w:t>s no</w:t>
      </w:r>
      <w:r w:rsidRPr="00C56351">
        <w:rPr>
          <w:lang w:val="en-GB"/>
        </w:rPr>
        <w:t xml:space="preserve"> differences between the species for each site and index (t-tests</w:t>
      </w:r>
      <w:r w:rsidR="000C5775">
        <w:rPr>
          <w:lang w:val="en-GB"/>
        </w:rPr>
        <w:t xml:space="preserve">). </w:t>
      </w:r>
      <w:r w:rsidRPr="00C56351">
        <w:rPr>
          <w:lang w:val="en-GB"/>
        </w:rPr>
        <w:t xml:space="preserve"> </w:t>
      </w:r>
      <w:r w:rsidR="00452C1A" w:rsidRPr="00452C1A">
        <w:rPr>
          <w:b/>
          <w:noProof/>
        </w:rPr>
        <w:drawing>
          <wp:inline distT="0" distB="0" distL="0" distR="0" wp14:anchorId="7B5D2F5E" wp14:editId="0FB01B0F">
            <wp:extent cx="6207687" cy="2533650"/>
            <wp:effectExtent l="0" t="0" r="3175" b="0"/>
            <wp:docPr id="8" name="Grafik 8" descr="D:\Downlo\Projekte\Waldklimafonds- BuTaKli\analysis and write-up\R-code\FigS9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Projekte\Waldklimafonds- BuTaKli\analysis and write-up\R-code\FigS9re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449"/>
                    <a:stretch/>
                  </pic:blipFill>
                  <pic:spPr bwMode="auto">
                    <a:xfrm>
                      <a:off x="0" y="0"/>
                      <a:ext cx="6208395" cy="2533939"/>
                    </a:xfrm>
                    <a:prstGeom prst="rect">
                      <a:avLst/>
                    </a:prstGeom>
                    <a:noFill/>
                    <a:ln>
                      <a:noFill/>
                    </a:ln>
                    <a:extLst>
                      <a:ext uri="{53640926-AAD7-44D8-BBD7-CCE9431645EC}">
                        <a14:shadowObscured xmlns:a14="http://schemas.microsoft.com/office/drawing/2010/main"/>
                      </a:ext>
                    </a:extLst>
                  </pic:spPr>
                </pic:pic>
              </a:graphicData>
            </a:graphic>
          </wp:inline>
        </w:drawing>
      </w:r>
      <w:r w:rsidR="00452C1A" w:rsidRPr="00452C1A">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52C1A" w:rsidRPr="00452C1A">
        <w:rPr>
          <w:b/>
          <w:noProof/>
        </w:rPr>
        <w:lastRenderedPageBreak/>
        <w:drawing>
          <wp:inline distT="0" distB="0" distL="0" distR="0" wp14:anchorId="43D02367" wp14:editId="47D76A47">
            <wp:extent cx="6207125" cy="1968500"/>
            <wp:effectExtent l="0" t="0" r="3175" b="0"/>
            <wp:docPr id="9" name="Grafik 9" descr="D:\Downlo\Projekte\Waldklimafonds- BuTaKli\analysis and write-up\R-code\FigS9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Projekte\Waldklimafonds- BuTaKli\analysis and write-up\R-code\FigS9re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740" b="13009"/>
                    <a:stretch/>
                  </pic:blipFill>
                  <pic:spPr bwMode="auto">
                    <a:xfrm>
                      <a:off x="0" y="0"/>
                      <a:ext cx="6207125" cy="1968500"/>
                    </a:xfrm>
                    <a:prstGeom prst="rect">
                      <a:avLst/>
                    </a:prstGeom>
                    <a:noFill/>
                    <a:ln>
                      <a:noFill/>
                    </a:ln>
                    <a:extLst>
                      <a:ext uri="{53640926-AAD7-44D8-BBD7-CCE9431645EC}">
                        <a14:shadowObscured xmlns:a14="http://schemas.microsoft.com/office/drawing/2010/main"/>
                      </a:ext>
                    </a:extLst>
                  </pic:spPr>
                </pic:pic>
              </a:graphicData>
            </a:graphic>
          </wp:inline>
        </w:drawing>
      </w:r>
      <w:r w:rsidR="000C5775" w:rsidRPr="000C5775">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C5775" w:rsidRPr="000C5775">
        <w:rPr>
          <w:rFonts w:eastAsia="Times New Roman" w:cs="Times New Roman"/>
          <w:noProof/>
          <w:snapToGrid w:val="0"/>
          <w:color w:val="000000"/>
          <w:w w:val="0"/>
          <w:sz w:val="0"/>
          <w:szCs w:val="0"/>
          <w:u w:color="000000"/>
          <w:bdr w:val="none" w:sz="0" w:space="0" w:color="000000"/>
          <w:shd w:val="clear" w:color="000000" w:fill="000000"/>
        </w:rPr>
        <w:drawing>
          <wp:inline distT="0" distB="0" distL="0" distR="0" wp14:anchorId="336E9654" wp14:editId="76C80BED">
            <wp:extent cx="6207687" cy="2324100"/>
            <wp:effectExtent l="0" t="0" r="3175" b="0"/>
            <wp:docPr id="10" name="Grafik 10" descr="D:\Downlo\Projekte\Waldklimafonds- BuTaKli\analysis and write-up\R-code\FigS9re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Projekte\Waldklimafonds- BuTaKli\analysis and write-up\R-code\FigS9resi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607"/>
                    <a:stretch/>
                  </pic:blipFill>
                  <pic:spPr bwMode="auto">
                    <a:xfrm>
                      <a:off x="0" y="0"/>
                      <a:ext cx="6208395" cy="2324365"/>
                    </a:xfrm>
                    <a:prstGeom prst="rect">
                      <a:avLst/>
                    </a:prstGeom>
                    <a:noFill/>
                    <a:ln>
                      <a:noFill/>
                    </a:ln>
                    <a:extLst>
                      <a:ext uri="{53640926-AAD7-44D8-BBD7-CCE9431645EC}">
                        <a14:shadowObscured xmlns:a14="http://schemas.microsoft.com/office/drawing/2010/main"/>
                      </a:ext>
                    </a:extLst>
                  </pic:spPr>
                </pic:pic>
              </a:graphicData>
            </a:graphic>
          </wp:inline>
        </w:drawing>
      </w:r>
    </w:p>
    <w:p w14:paraId="3FA6FC67" w14:textId="5ECEF3A9" w:rsidR="00A50A0A" w:rsidRDefault="00A50A0A" w:rsidP="00A50A0A">
      <w:pPr>
        <w:spacing w:line="360" w:lineRule="auto"/>
        <w:jc w:val="both"/>
        <w:rPr>
          <w:rFonts w:ascii="Segoe UI" w:eastAsia="Times New Roman" w:hAnsi="Segoe UI" w:cs="Segoe UI"/>
          <w:sz w:val="18"/>
          <w:szCs w:val="18"/>
          <w:lang w:val="en-GB"/>
        </w:rPr>
      </w:pPr>
      <w:bookmarkStart w:id="0" w:name="_GoBack"/>
      <w:bookmarkEnd w:id="0"/>
      <w:r w:rsidRPr="00F77A51">
        <w:rPr>
          <w:noProof/>
          <w:lang w:val="en-GB" w:eastAsia="de-DE"/>
        </w:rPr>
        <w:t xml:space="preserve"> </w:t>
      </w:r>
      <w:r w:rsidRPr="00732CEC">
        <w:rPr>
          <w:noProof/>
          <w:lang w:eastAsia="de-DE"/>
        </w:rPr>
        <w:t xml:space="preserve">  </w:t>
      </w:r>
    </w:p>
    <w:sectPr w:rsidR="00A50A0A"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2DDAA" w14:textId="77777777" w:rsidR="00CD77A3" w:rsidRDefault="00CD77A3" w:rsidP="00117666">
      <w:pPr>
        <w:spacing w:after="0"/>
      </w:pPr>
      <w:r>
        <w:separator/>
      </w:r>
    </w:p>
  </w:endnote>
  <w:endnote w:type="continuationSeparator" w:id="0">
    <w:p w14:paraId="7739C35D" w14:textId="77777777" w:rsidR="00CD77A3" w:rsidRDefault="00CD77A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CB3361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78EA">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CB3361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78EA">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F6501E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78EA">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F6501E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78EA">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D2B5A" w14:textId="77777777" w:rsidR="00CD77A3" w:rsidRDefault="00CD77A3" w:rsidP="00117666">
      <w:pPr>
        <w:spacing w:after="0"/>
      </w:pPr>
      <w:r>
        <w:separator/>
      </w:r>
    </w:p>
  </w:footnote>
  <w:footnote w:type="continuationSeparator" w:id="0">
    <w:p w14:paraId="30A1C33D" w14:textId="77777777" w:rsidR="00CD77A3" w:rsidRDefault="00CD77A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12EA6735"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r w:rsidR="00C56351">
      <w:rPr>
        <w:rFonts w:cs="Times New Roman"/>
      </w:rPr>
      <w:t xml:space="preserve"> 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A4260"/>
    <w:multiLevelType w:val="hybridMultilevel"/>
    <w:tmpl w:val="7D7EADD6"/>
    <w:lvl w:ilvl="0" w:tplc="755260EA">
      <w:start w:val="1"/>
      <w:numFmt w:val="lowerLetter"/>
      <w:lvlText w:val="%1)"/>
      <w:lvlJc w:val="left"/>
      <w:pPr>
        <w:ind w:left="360" w:hanging="360"/>
      </w:pPr>
      <w:rPr>
        <w:rFonts w:hint="default"/>
      </w:rPr>
    </w:lvl>
    <w:lvl w:ilvl="1" w:tplc="4894C86E">
      <w:start w:val="8"/>
      <w:numFmt w:val="lowerLetter"/>
      <w:lvlText w:val="%2."/>
      <w:lvlJc w:val="left"/>
      <w:pPr>
        <w:ind w:left="936" w:hanging="360"/>
      </w:pPr>
      <w:rPr>
        <w:rFonts w:hint="default"/>
      </w:rPr>
    </w:lvl>
    <w:lvl w:ilvl="2" w:tplc="0407001B" w:tentative="1">
      <w:start w:val="1"/>
      <w:numFmt w:val="lowerRoman"/>
      <w:lvlText w:val="%3."/>
      <w:lvlJc w:val="right"/>
      <w:pPr>
        <w:ind w:left="1656" w:hanging="180"/>
      </w:pPr>
    </w:lvl>
    <w:lvl w:ilvl="3" w:tplc="0407000F" w:tentative="1">
      <w:start w:val="1"/>
      <w:numFmt w:val="decimal"/>
      <w:lvlText w:val="%4."/>
      <w:lvlJc w:val="left"/>
      <w:pPr>
        <w:ind w:left="2376" w:hanging="360"/>
      </w:pPr>
    </w:lvl>
    <w:lvl w:ilvl="4" w:tplc="04070019" w:tentative="1">
      <w:start w:val="1"/>
      <w:numFmt w:val="lowerLetter"/>
      <w:lvlText w:val="%5."/>
      <w:lvlJc w:val="left"/>
      <w:pPr>
        <w:ind w:left="3096" w:hanging="360"/>
      </w:pPr>
    </w:lvl>
    <w:lvl w:ilvl="5" w:tplc="0407001B" w:tentative="1">
      <w:start w:val="1"/>
      <w:numFmt w:val="lowerRoman"/>
      <w:lvlText w:val="%6."/>
      <w:lvlJc w:val="right"/>
      <w:pPr>
        <w:ind w:left="3816" w:hanging="180"/>
      </w:pPr>
    </w:lvl>
    <w:lvl w:ilvl="6" w:tplc="0407000F" w:tentative="1">
      <w:start w:val="1"/>
      <w:numFmt w:val="decimal"/>
      <w:lvlText w:val="%7."/>
      <w:lvlJc w:val="left"/>
      <w:pPr>
        <w:ind w:left="4536" w:hanging="360"/>
      </w:pPr>
    </w:lvl>
    <w:lvl w:ilvl="7" w:tplc="04070019" w:tentative="1">
      <w:start w:val="1"/>
      <w:numFmt w:val="lowerLetter"/>
      <w:lvlText w:val="%8."/>
      <w:lvlJc w:val="left"/>
      <w:pPr>
        <w:ind w:left="5256" w:hanging="360"/>
      </w:pPr>
    </w:lvl>
    <w:lvl w:ilvl="8" w:tplc="0407001B" w:tentative="1">
      <w:start w:val="1"/>
      <w:numFmt w:val="lowerRoman"/>
      <w:lvlText w:val="%9."/>
      <w:lvlJc w:val="right"/>
      <w:pPr>
        <w:ind w:left="5976" w:hanging="180"/>
      </w:pPr>
    </w:lvl>
  </w:abstractNum>
  <w:abstractNum w:abstractNumId="3"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A1173F"/>
    <w:multiLevelType w:val="hybridMultilevel"/>
    <w:tmpl w:val="F96C7174"/>
    <w:lvl w:ilvl="0" w:tplc="5B7885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8"/>
  </w:num>
  <w:num w:numId="9">
    <w:abstractNumId w:val="8"/>
  </w:num>
  <w:num w:numId="10">
    <w:abstractNumId w:val="8"/>
  </w:num>
  <w:num w:numId="11">
    <w:abstractNumId w:val="8"/>
  </w:num>
  <w:num w:numId="12">
    <w:abstractNumId w:val="8"/>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232B8"/>
    <w:rsid w:val="00034304"/>
    <w:rsid w:val="00035434"/>
    <w:rsid w:val="00052A14"/>
    <w:rsid w:val="00064249"/>
    <w:rsid w:val="00077D53"/>
    <w:rsid w:val="000C5775"/>
    <w:rsid w:val="00105FD9"/>
    <w:rsid w:val="00117666"/>
    <w:rsid w:val="001549D3"/>
    <w:rsid w:val="00160065"/>
    <w:rsid w:val="00177D84"/>
    <w:rsid w:val="00267D18"/>
    <w:rsid w:val="00274347"/>
    <w:rsid w:val="00281E8B"/>
    <w:rsid w:val="002868E2"/>
    <w:rsid w:val="002869C3"/>
    <w:rsid w:val="002936E4"/>
    <w:rsid w:val="002B4A57"/>
    <w:rsid w:val="002C74CA"/>
    <w:rsid w:val="003123F4"/>
    <w:rsid w:val="003544FB"/>
    <w:rsid w:val="003D2F2D"/>
    <w:rsid w:val="00401590"/>
    <w:rsid w:val="00447801"/>
    <w:rsid w:val="00452C1A"/>
    <w:rsid w:val="00452E9C"/>
    <w:rsid w:val="004735C8"/>
    <w:rsid w:val="004947A6"/>
    <w:rsid w:val="004961FF"/>
    <w:rsid w:val="00517A89"/>
    <w:rsid w:val="005250F2"/>
    <w:rsid w:val="00593EEA"/>
    <w:rsid w:val="005A5EEE"/>
    <w:rsid w:val="006375C7"/>
    <w:rsid w:val="00644F77"/>
    <w:rsid w:val="00654E8F"/>
    <w:rsid w:val="00660D05"/>
    <w:rsid w:val="006820B1"/>
    <w:rsid w:val="006B6D89"/>
    <w:rsid w:val="006B7D14"/>
    <w:rsid w:val="00701727"/>
    <w:rsid w:val="0070566C"/>
    <w:rsid w:val="007140D2"/>
    <w:rsid w:val="00714C50"/>
    <w:rsid w:val="00725A7D"/>
    <w:rsid w:val="007501BE"/>
    <w:rsid w:val="00790BB3"/>
    <w:rsid w:val="007C206C"/>
    <w:rsid w:val="00817DD6"/>
    <w:rsid w:val="00825E4C"/>
    <w:rsid w:val="0083759F"/>
    <w:rsid w:val="008537AC"/>
    <w:rsid w:val="00875B63"/>
    <w:rsid w:val="00885156"/>
    <w:rsid w:val="00891483"/>
    <w:rsid w:val="008A7104"/>
    <w:rsid w:val="008D03A5"/>
    <w:rsid w:val="008E3DB3"/>
    <w:rsid w:val="009151AA"/>
    <w:rsid w:val="0091674F"/>
    <w:rsid w:val="0093429D"/>
    <w:rsid w:val="00943573"/>
    <w:rsid w:val="00964134"/>
    <w:rsid w:val="00970F7D"/>
    <w:rsid w:val="00994A3D"/>
    <w:rsid w:val="009C0D21"/>
    <w:rsid w:val="009C2B12"/>
    <w:rsid w:val="00A174D9"/>
    <w:rsid w:val="00A31F6D"/>
    <w:rsid w:val="00A478EA"/>
    <w:rsid w:val="00A50A0A"/>
    <w:rsid w:val="00AA4D24"/>
    <w:rsid w:val="00AB6715"/>
    <w:rsid w:val="00B1671E"/>
    <w:rsid w:val="00B25EB8"/>
    <w:rsid w:val="00B37F4D"/>
    <w:rsid w:val="00BB415D"/>
    <w:rsid w:val="00BD6D5E"/>
    <w:rsid w:val="00C213A0"/>
    <w:rsid w:val="00C52A7B"/>
    <w:rsid w:val="00C56351"/>
    <w:rsid w:val="00C56BAF"/>
    <w:rsid w:val="00C679AA"/>
    <w:rsid w:val="00C75972"/>
    <w:rsid w:val="00CD066B"/>
    <w:rsid w:val="00CD77A3"/>
    <w:rsid w:val="00CE4FEE"/>
    <w:rsid w:val="00D060CF"/>
    <w:rsid w:val="00D6041F"/>
    <w:rsid w:val="00D619F7"/>
    <w:rsid w:val="00DA7082"/>
    <w:rsid w:val="00DB59C3"/>
    <w:rsid w:val="00DC259A"/>
    <w:rsid w:val="00DE23E8"/>
    <w:rsid w:val="00E52377"/>
    <w:rsid w:val="00E537AD"/>
    <w:rsid w:val="00E64E17"/>
    <w:rsid w:val="00E866C9"/>
    <w:rsid w:val="00EA3D3C"/>
    <w:rsid w:val="00EC090A"/>
    <w:rsid w:val="00ED20B5"/>
    <w:rsid w:val="00F12594"/>
    <w:rsid w:val="00F21612"/>
    <w:rsid w:val="00F46900"/>
    <w:rsid w:val="00F61D89"/>
    <w:rsid w:val="00F676FE"/>
    <w:rsid w:val="00F6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paragraph" w:styleId="berschrift6">
    <w:name w:val="heading 6"/>
    <w:basedOn w:val="Standard"/>
    <w:next w:val="Standard"/>
    <w:link w:val="berschrift6Zchn"/>
    <w:uiPriority w:val="9"/>
    <w:semiHidden/>
    <w:unhideWhenUsed/>
    <w:qFormat/>
    <w:rsid w:val="00BD6D5E"/>
    <w:pPr>
      <w:keepNext/>
      <w:keepLines/>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BD6D5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BD6D5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D6D5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9"/>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uiPriority w:val="10"/>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styleId="Platzhaltertext">
    <w:name w:val="Placeholder Text"/>
    <w:basedOn w:val="Absatz-Standardschriftart"/>
    <w:uiPriority w:val="99"/>
    <w:semiHidden/>
    <w:rsid w:val="00BD6D5E"/>
    <w:rPr>
      <w:color w:val="808080"/>
    </w:rPr>
  </w:style>
  <w:style w:type="paragraph" w:customStyle="1" w:styleId="CitaviBibliographyEntry">
    <w:name w:val="Citavi Bibliography Entry"/>
    <w:basedOn w:val="Standard"/>
    <w:link w:val="CitaviBibliographyEntryZchn"/>
    <w:rsid w:val="00BD6D5E"/>
  </w:style>
  <w:style w:type="character" w:customStyle="1" w:styleId="CitaviBibliographyEntryZchn">
    <w:name w:val="Citavi Bibliography Entry Zchn"/>
    <w:basedOn w:val="Absatz-Standardschriftart"/>
    <w:link w:val="CitaviBibliographyEntry"/>
    <w:rsid w:val="00BD6D5E"/>
    <w:rPr>
      <w:rFonts w:ascii="Times New Roman" w:hAnsi="Times New Roman"/>
      <w:sz w:val="24"/>
    </w:rPr>
  </w:style>
  <w:style w:type="paragraph" w:customStyle="1" w:styleId="CitaviBibliographyHeading">
    <w:name w:val="Citavi Bibliography Heading"/>
    <w:basedOn w:val="berschrift1"/>
    <w:link w:val="CitaviBibliographyHeadingZchn"/>
    <w:rsid w:val="00BD6D5E"/>
  </w:style>
  <w:style w:type="character" w:customStyle="1" w:styleId="CitaviBibliographyHeadingZchn">
    <w:name w:val="Citavi Bibliography Heading Zchn"/>
    <w:basedOn w:val="Absatz-Standardschriftart"/>
    <w:link w:val="CitaviBibliographyHeading"/>
    <w:rsid w:val="00BD6D5E"/>
    <w:rPr>
      <w:rFonts w:ascii="Times New Roman" w:eastAsia="Cambria" w:hAnsi="Times New Roman" w:cs="Times New Roman"/>
      <w:b/>
      <w:sz w:val="24"/>
      <w:szCs w:val="24"/>
    </w:rPr>
  </w:style>
  <w:style w:type="paragraph" w:customStyle="1" w:styleId="CitaviBibliographySubheading1">
    <w:name w:val="Citavi Bibliography Subheading 1"/>
    <w:basedOn w:val="berschrift2"/>
    <w:link w:val="CitaviBibliographySubheading1Zchn"/>
    <w:rsid w:val="00BD6D5E"/>
    <w:pPr>
      <w:outlineLvl w:val="9"/>
    </w:pPr>
  </w:style>
  <w:style w:type="character" w:customStyle="1" w:styleId="CitaviBibliographySubheading1Zchn">
    <w:name w:val="Citavi Bibliography Subheading 1 Zchn"/>
    <w:basedOn w:val="Absatz-Standardschriftart"/>
    <w:link w:val="CitaviBibliographySubheading1"/>
    <w:rsid w:val="00BD6D5E"/>
    <w:rPr>
      <w:rFonts w:ascii="Times New Roman" w:eastAsia="Cambria" w:hAnsi="Times New Roman" w:cs="Times New Roman"/>
      <w:b/>
      <w:sz w:val="24"/>
      <w:szCs w:val="24"/>
    </w:rPr>
  </w:style>
  <w:style w:type="paragraph" w:customStyle="1" w:styleId="CitaviBibliographySubheading2">
    <w:name w:val="Citavi Bibliography Subheading 2"/>
    <w:basedOn w:val="berschrift3"/>
    <w:link w:val="CitaviBibliographySubheading2Zchn"/>
    <w:rsid w:val="00BD6D5E"/>
    <w:pPr>
      <w:outlineLvl w:val="9"/>
    </w:pPr>
  </w:style>
  <w:style w:type="character" w:customStyle="1" w:styleId="CitaviBibliographySubheading2Zchn">
    <w:name w:val="Citavi Bibliography Subheading 2 Zchn"/>
    <w:basedOn w:val="Absatz-Standardschriftart"/>
    <w:link w:val="CitaviBibliographySubheading2"/>
    <w:rsid w:val="00BD6D5E"/>
    <w:rPr>
      <w:rFonts w:ascii="Times New Roman" w:eastAsiaTheme="majorEastAsia" w:hAnsi="Times New Roman" w:cstheme="majorBidi"/>
      <w:b/>
      <w:sz w:val="24"/>
      <w:szCs w:val="24"/>
    </w:rPr>
  </w:style>
  <w:style w:type="paragraph" w:customStyle="1" w:styleId="CitaviBibliographySubheading3">
    <w:name w:val="Citavi Bibliography Subheading 3"/>
    <w:basedOn w:val="berschrift4"/>
    <w:link w:val="CitaviBibliographySubheading3Zchn"/>
    <w:rsid w:val="00BD6D5E"/>
    <w:pPr>
      <w:outlineLvl w:val="9"/>
    </w:pPr>
  </w:style>
  <w:style w:type="character" w:customStyle="1" w:styleId="CitaviBibliographySubheading3Zchn">
    <w:name w:val="Citavi Bibliography Subheading 3 Zchn"/>
    <w:basedOn w:val="Absatz-Standardschriftart"/>
    <w:link w:val="CitaviBibliographySubheading3"/>
    <w:rsid w:val="00BD6D5E"/>
    <w:rPr>
      <w:rFonts w:ascii="Times New Roman" w:eastAsiaTheme="majorEastAsia" w:hAnsi="Times New Roman" w:cstheme="majorBidi"/>
      <w:b/>
      <w:iCs/>
      <w:sz w:val="24"/>
      <w:szCs w:val="24"/>
    </w:rPr>
  </w:style>
  <w:style w:type="paragraph" w:customStyle="1" w:styleId="CitaviBibliographySubheading4">
    <w:name w:val="Citavi Bibliography Subheading 4"/>
    <w:basedOn w:val="berschrift5"/>
    <w:link w:val="CitaviBibliographySubheading4Zchn"/>
    <w:rsid w:val="00BD6D5E"/>
    <w:pPr>
      <w:outlineLvl w:val="9"/>
    </w:pPr>
  </w:style>
  <w:style w:type="character" w:customStyle="1" w:styleId="CitaviBibliographySubheading4Zchn">
    <w:name w:val="Citavi Bibliography Subheading 4 Zchn"/>
    <w:basedOn w:val="Absatz-Standardschriftart"/>
    <w:link w:val="CitaviBibliographySubheading4"/>
    <w:rsid w:val="00BD6D5E"/>
    <w:rPr>
      <w:rFonts w:ascii="Times New Roman" w:eastAsiaTheme="majorEastAsia" w:hAnsi="Times New Roman" w:cstheme="majorBidi"/>
      <w:b/>
      <w:iCs/>
      <w:sz w:val="24"/>
      <w:szCs w:val="24"/>
    </w:rPr>
  </w:style>
  <w:style w:type="paragraph" w:customStyle="1" w:styleId="CitaviBibliographySubheading5">
    <w:name w:val="Citavi Bibliography Subheading 5"/>
    <w:basedOn w:val="berschrift6"/>
    <w:link w:val="CitaviBibliographySubheading5Zchn"/>
    <w:rsid w:val="00BD6D5E"/>
    <w:pPr>
      <w:outlineLvl w:val="9"/>
    </w:pPr>
  </w:style>
  <w:style w:type="character" w:customStyle="1" w:styleId="CitaviBibliographySubheading5Zchn">
    <w:name w:val="Citavi Bibliography Subheading 5 Zchn"/>
    <w:basedOn w:val="Absatz-Standardschriftart"/>
    <w:link w:val="CitaviBibliographySubheading5"/>
    <w:rsid w:val="00BD6D5E"/>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BD6D5E"/>
    <w:rPr>
      <w:rFonts w:asciiTheme="majorHAnsi" w:eastAsiaTheme="majorEastAsia" w:hAnsiTheme="majorHAnsi" w:cstheme="majorBidi"/>
      <w:color w:val="243F60" w:themeColor="accent1" w:themeShade="7F"/>
      <w:sz w:val="24"/>
    </w:rPr>
  </w:style>
  <w:style w:type="paragraph" w:customStyle="1" w:styleId="CitaviBibliographySubheading6">
    <w:name w:val="Citavi Bibliography Subheading 6"/>
    <w:basedOn w:val="berschrift7"/>
    <w:link w:val="CitaviBibliographySubheading6Zchn"/>
    <w:rsid w:val="00BD6D5E"/>
    <w:pPr>
      <w:outlineLvl w:val="9"/>
    </w:pPr>
  </w:style>
  <w:style w:type="character" w:customStyle="1" w:styleId="CitaviBibliographySubheading6Zchn">
    <w:name w:val="Citavi Bibliography Subheading 6 Zchn"/>
    <w:basedOn w:val="Absatz-Standardschriftart"/>
    <w:link w:val="CitaviBibliographySubheading6"/>
    <w:rsid w:val="00BD6D5E"/>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BD6D5E"/>
    <w:rPr>
      <w:rFonts w:asciiTheme="majorHAnsi" w:eastAsiaTheme="majorEastAsia" w:hAnsiTheme="majorHAnsi" w:cstheme="majorBidi"/>
      <w:i/>
      <w:iCs/>
      <w:color w:val="243F60" w:themeColor="accent1" w:themeShade="7F"/>
      <w:sz w:val="24"/>
    </w:rPr>
  </w:style>
  <w:style w:type="paragraph" w:customStyle="1" w:styleId="CitaviBibliographySubheading7">
    <w:name w:val="Citavi Bibliography Subheading 7"/>
    <w:basedOn w:val="berschrift8"/>
    <w:link w:val="CitaviBibliographySubheading7Zchn"/>
    <w:rsid w:val="00BD6D5E"/>
    <w:pPr>
      <w:outlineLvl w:val="9"/>
    </w:pPr>
  </w:style>
  <w:style w:type="character" w:customStyle="1" w:styleId="CitaviBibliographySubheading7Zchn">
    <w:name w:val="Citavi Bibliography Subheading 7 Zchn"/>
    <w:basedOn w:val="Absatz-Standardschriftart"/>
    <w:link w:val="CitaviBibliographySubheading7"/>
    <w:rsid w:val="00BD6D5E"/>
    <w:rPr>
      <w:rFonts w:asciiTheme="majorHAnsi" w:eastAsiaTheme="majorEastAsia" w:hAnsiTheme="majorHAnsi" w:cstheme="majorBidi"/>
      <w:color w:val="272727" w:themeColor="text1" w:themeTint="D8"/>
      <w:sz w:val="21"/>
      <w:szCs w:val="21"/>
    </w:rPr>
  </w:style>
  <w:style w:type="character" w:customStyle="1" w:styleId="berschrift8Zchn">
    <w:name w:val="Überschrift 8 Zchn"/>
    <w:basedOn w:val="Absatz-Standardschriftart"/>
    <w:link w:val="berschrift8"/>
    <w:uiPriority w:val="9"/>
    <w:semiHidden/>
    <w:rsid w:val="00BD6D5E"/>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BD6D5E"/>
    <w:pPr>
      <w:outlineLvl w:val="9"/>
    </w:pPr>
  </w:style>
  <w:style w:type="character" w:customStyle="1" w:styleId="CitaviBibliographySubheading8Zchn">
    <w:name w:val="Citavi Bibliography Subheading 8 Zchn"/>
    <w:basedOn w:val="Absatz-Standardschriftart"/>
    <w:link w:val="CitaviBibliographySubheading8"/>
    <w:rsid w:val="00BD6D5E"/>
    <w:rPr>
      <w:rFonts w:asciiTheme="majorHAnsi" w:eastAsiaTheme="majorEastAsia" w:hAnsiTheme="majorHAnsi" w:cstheme="majorBidi"/>
      <w:i/>
      <w:iCs/>
      <w:color w:val="272727" w:themeColor="text1" w:themeTint="D8"/>
      <w:sz w:val="21"/>
      <w:szCs w:val="21"/>
    </w:rPr>
  </w:style>
  <w:style w:type="character" w:customStyle="1" w:styleId="berschrift9Zchn">
    <w:name w:val="Überschrift 9 Zchn"/>
    <w:basedOn w:val="Absatz-Standardschriftart"/>
    <w:link w:val="berschrift9"/>
    <w:uiPriority w:val="9"/>
    <w:semiHidden/>
    <w:rsid w:val="00BD6D5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B212B0D-76C4-49A0-8F63-7FEA0A68F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554</Words>
  <Characters>3158</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Julia Annick</cp:lastModifiedBy>
  <cp:revision>2</cp:revision>
  <cp:lastPrinted>2013-10-03T12:51:00Z</cp:lastPrinted>
  <dcterms:created xsi:type="dcterms:W3CDTF">2019-11-18T10:53:00Z</dcterms:created>
  <dcterms:modified xsi:type="dcterms:W3CDTF">2019-11-18T10:53:00Z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D:\Downlo\Citavi 6\Projects\mixed forests and tropics\mixed forests and tropics.ctv6</vt:lpwstr>
  </property>
  <property fmtid="{D5CDD505-2E9C-101B-9397-08002B2CF9AE}" pid="3" name="CitaviDocumentProperty_7">
    <vt:lpwstr>mixed forests and tropics</vt:lpwstr>
  </property>
  <property fmtid="{D5CDD505-2E9C-101B-9397-08002B2CF9AE}" pid="4" name="CitaviDocumentProperty_0">
    <vt:lpwstr>f1ed8f7d-1c65-4f06-ad48-3e96e725bea1</vt:lpwstr>
  </property>
  <property fmtid="{D5CDD505-2E9C-101B-9397-08002B2CF9AE}" pid="5" name="CitaviDocumentProperty_18">
    <vt:lpwstr>7</vt:lpwstr>
  </property>
  <property fmtid="{D5CDD505-2E9C-101B-9397-08002B2CF9AE}" pid="6" name="CitaviDocumentProperty_6">
    <vt:lpwstr>True</vt:lpwstr>
  </property>
  <property fmtid="{D5CDD505-2E9C-101B-9397-08002B2CF9AE}" pid="7" name="CitaviDocumentProperty_1">
    <vt:lpwstr>6.3.0.0</vt:lpwstr>
  </property>
</Properties>
</file>