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D059444" w14:textId="3630C5F9" w:rsidR="00994A3D" w:rsidRDefault="00654E8F" w:rsidP="0001436A">
      <w:pPr>
        <w:pStyle w:val="Heading1"/>
      </w:pPr>
      <w:r w:rsidRPr="00994A3D">
        <w:t>Supplementary Figures</w:t>
      </w:r>
    </w:p>
    <w:p w14:paraId="3C419443" w14:textId="4F939A6C" w:rsidR="00994A3D" w:rsidRPr="001549D3" w:rsidRDefault="00282C04" w:rsidP="00994A3D">
      <w:pPr>
        <w:keepNext/>
        <w:jc w:val="center"/>
        <w:rPr>
          <w:rFonts w:cs="Times New Roman"/>
          <w:szCs w:val="24"/>
        </w:rPr>
      </w:pPr>
      <w:r>
        <w:rPr>
          <w:rFonts w:cs="Times New Roman"/>
          <w:noProof/>
          <w:szCs w:val="24"/>
        </w:rPr>
        <w:drawing>
          <wp:inline distT="0" distB="0" distL="0" distR="0" wp14:anchorId="64C397DF" wp14:editId="5A62B3DB">
            <wp:extent cx="5486400" cy="25142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14207"/>
                    </a:xfrm>
                    <a:prstGeom prst="rect">
                      <a:avLst/>
                    </a:prstGeom>
                    <a:noFill/>
                  </pic:spPr>
                </pic:pic>
              </a:graphicData>
            </a:graphic>
          </wp:inline>
        </w:drawing>
      </w:r>
    </w:p>
    <w:p w14:paraId="5A380191" w14:textId="18A8BEF7" w:rsidR="00282C04" w:rsidRDefault="00282C04" w:rsidP="0043490D">
      <w:pPr>
        <w:jc w:val="both"/>
        <w:rPr>
          <w:rFonts w:cs="Times New Roman"/>
          <w:b/>
          <w:szCs w:val="24"/>
        </w:rPr>
      </w:pPr>
      <w:r w:rsidRPr="00282C04">
        <w:rPr>
          <w:rFonts w:cs="Times New Roman"/>
          <w:b/>
          <w:bCs/>
          <w:szCs w:val="24"/>
        </w:rPr>
        <w:t xml:space="preserve">FIGURE S1 | Preliminary testing to determine synaptic strength parameters. (A) </w:t>
      </w:r>
      <w:r w:rsidRPr="00282C04">
        <w:rPr>
          <w:rFonts w:cs="Times New Roman"/>
          <w:bCs/>
          <w:szCs w:val="24"/>
        </w:rPr>
        <w:t>We tested all combinations of excitatory and inhibitory strength available in our model. This revealed different regimes of activity. Outside the region outlined in red, the activity with too low. (i.e. The activity was close to the noise floor of 1 Hz.) We chose examples with excitatory firing rates representative of approximately 4, 5, and 6 Hz (outlined by black squares). These values for strength are normalized.</w:t>
      </w:r>
      <w:r w:rsidRPr="00282C04">
        <w:rPr>
          <w:rFonts w:cs="Times New Roman"/>
          <w:b/>
          <w:szCs w:val="24"/>
        </w:rPr>
        <w:t xml:space="preserve"> </w:t>
      </w:r>
      <w:r w:rsidRPr="00282C04">
        <w:rPr>
          <w:rFonts w:cs="Times New Roman"/>
          <w:b/>
          <w:bCs/>
          <w:szCs w:val="24"/>
        </w:rPr>
        <w:t>(B)</w:t>
      </w:r>
      <w:r w:rsidRPr="00282C04">
        <w:rPr>
          <w:rFonts w:cs="Times New Roman"/>
          <w:b/>
          <w:szCs w:val="24"/>
        </w:rPr>
        <w:t xml:space="preserve"> </w:t>
      </w:r>
      <w:r w:rsidRPr="00282C04">
        <w:rPr>
          <w:rFonts w:cs="Times New Roman"/>
          <w:bCs/>
          <w:szCs w:val="24"/>
        </w:rPr>
        <w:t>The table shows the excitatory and inhibitory synaptic strengths used with the excitatory firing rate attained for each.</w:t>
      </w:r>
      <w:r w:rsidRPr="00282C04">
        <w:rPr>
          <w:rFonts w:cs="Times New Roman"/>
          <w:b/>
          <w:szCs w:val="24"/>
        </w:rPr>
        <w:t xml:space="preserve">  </w:t>
      </w:r>
    </w:p>
    <w:p w14:paraId="1453DF27" w14:textId="70A4A618" w:rsidR="00282C04" w:rsidRDefault="00282C04" w:rsidP="00282C04">
      <w:pPr>
        <w:keepNext/>
        <w:jc w:val="both"/>
        <w:rPr>
          <w:rFonts w:cs="Times New Roman"/>
          <w:szCs w:val="24"/>
        </w:rPr>
      </w:pPr>
    </w:p>
    <w:p w14:paraId="683019A5" w14:textId="723A0E93" w:rsidR="00282C04" w:rsidRDefault="00282C04" w:rsidP="0043490D">
      <w:pPr>
        <w:keepNext/>
        <w:jc w:val="center"/>
        <w:rPr>
          <w:rFonts w:cs="Times New Roman"/>
          <w:b/>
          <w:szCs w:val="24"/>
        </w:rPr>
      </w:pPr>
      <w:r>
        <w:rPr>
          <w:rFonts w:cs="Times New Roman"/>
          <w:b/>
          <w:noProof/>
          <w:szCs w:val="24"/>
        </w:rPr>
        <w:drawing>
          <wp:inline distT="0" distB="0" distL="0" distR="0" wp14:anchorId="6F24DC3B" wp14:editId="0E15B7D5">
            <wp:extent cx="6217920" cy="2636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2636610"/>
                    </a:xfrm>
                    <a:prstGeom prst="rect">
                      <a:avLst/>
                    </a:prstGeom>
                    <a:noFill/>
                  </pic:spPr>
                </pic:pic>
              </a:graphicData>
            </a:graphic>
          </wp:inline>
        </w:drawing>
      </w:r>
    </w:p>
    <w:p w14:paraId="662018FD" w14:textId="4BA438D7" w:rsidR="00282C04" w:rsidRPr="00282C04" w:rsidRDefault="00282C04" w:rsidP="0043490D">
      <w:pPr>
        <w:jc w:val="both"/>
        <w:rPr>
          <w:rFonts w:cs="Times New Roman"/>
          <w:bCs/>
          <w:szCs w:val="24"/>
        </w:rPr>
      </w:pPr>
      <w:r w:rsidRPr="00282C04">
        <w:rPr>
          <w:rFonts w:cs="Times New Roman"/>
          <w:b/>
          <w:bCs/>
          <w:szCs w:val="24"/>
        </w:rPr>
        <w:t>FIGURE S</w:t>
      </w:r>
      <w:r w:rsidR="00083FF7">
        <w:rPr>
          <w:rFonts w:cs="Times New Roman"/>
          <w:b/>
          <w:bCs/>
          <w:szCs w:val="24"/>
        </w:rPr>
        <w:t>2</w:t>
      </w:r>
      <w:r w:rsidRPr="00282C04">
        <w:rPr>
          <w:rFonts w:cs="Times New Roman"/>
          <w:b/>
          <w:bCs/>
          <w:szCs w:val="24"/>
        </w:rPr>
        <w:t xml:space="preserve"> | Frequency spectra for uninjured networks. (A) </w:t>
      </w:r>
      <w:r w:rsidRPr="00282C04">
        <w:rPr>
          <w:rFonts w:cs="Times New Roman"/>
          <w:bCs/>
          <w:szCs w:val="24"/>
        </w:rPr>
        <w:t>A raster plot of raw activity in Cluster</w:t>
      </w:r>
      <w:r w:rsidR="00D63DFA">
        <w:rPr>
          <w:rFonts w:cs="Times New Roman"/>
          <w:bCs/>
          <w:szCs w:val="24"/>
        </w:rPr>
        <w:t> </w:t>
      </w:r>
      <w:r w:rsidRPr="00282C04">
        <w:rPr>
          <w:rFonts w:cs="Times New Roman"/>
          <w:bCs/>
          <w:szCs w:val="24"/>
        </w:rPr>
        <w:t>1 and Cluster</w:t>
      </w:r>
      <w:r w:rsidR="00D63DFA">
        <w:rPr>
          <w:rFonts w:cs="Times New Roman"/>
          <w:bCs/>
          <w:szCs w:val="24"/>
        </w:rPr>
        <w:t> </w:t>
      </w:r>
      <w:bookmarkStart w:id="0" w:name="_GoBack"/>
      <w:bookmarkEnd w:id="0"/>
      <w:r w:rsidRPr="00282C04">
        <w:rPr>
          <w:rFonts w:cs="Times New Roman"/>
          <w:bCs/>
          <w:szCs w:val="24"/>
        </w:rPr>
        <w:t>2.</w:t>
      </w:r>
      <w:r w:rsidRPr="00282C04">
        <w:rPr>
          <w:rFonts w:cs="Times New Roman"/>
          <w:b/>
          <w:szCs w:val="24"/>
        </w:rPr>
        <w:t xml:space="preserve"> </w:t>
      </w:r>
      <w:r w:rsidRPr="00282C04">
        <w:rPr>
          <w:rFonts w:cs="Times New Roman"/>
          <w:b/>
          <w:bCs/>
          <w:szCs w:val="24"/>
        </w:rPr>
        <w:t xml:space="preserve">(B) </w:t>
      </w:r>
      <w:r w:rsidRPr="00282C04">
        <w:rPr>
          <w:rFonts w:cs="Times New Roman"/>
          <w:bCs/>
          <w:szCs w:val="24"/>
        </w:rPr>
        <w:t>For rhythm analysis, the aggregate activity was summed across both clusters, and the signal was smoothed.</w:t>
      </w:r>
      <w:r w:rsidRPr="00282C04">
        <w:rPr>
          <w:rFonts w:cs="Times New Roman"/>
          <w:b/>
          <w:szCs w:val="24"/>
        </w:rPr>
        <w:t xml:space="preserve"> </w:t>
      </w:r>
      <w:r w:rsidRPr="00282C04">
        <w:rPr>
          <w:rFonts w:cs="Times New Roman"/>
          <w:b/>
          <w:bCs/>
          <w:szCs w:val="24"/>
        </w:rPr>
        <w:t xml:space="preserve">(C) </w:t>
      </w:r>
      <w:r w:rsidRPr="00282C04">
        <w:rPr>
          <w:rFonts w:cs="Times New Roman"/>
          <w:bCs/>
          <w:szCs w:val="24"/>
        </w:rPr>
        <w:t>The aggregate signal was converted to the frequency spectrum by Welch’s method where PSD is the power spectral density.</w:t>
      </w:r>
      <w:r w:rsidRPr="00282C04">
        <w:rPr>
          <w:rFonts w:cs="Times New Roman"/>
          <w:b/>
          <w:szCs w:val="24"/>
        </w:rPr>
        <w:t xml:space="preserve"> </w:t>
      </w:r>
      <w:r w:rsidRPr="00282C04">
        <w:rPr>
          <w:rFonts w:cs="Times New Roman"/>
          <w:b/>
          <w:bCs/>
          <w:szCs w:val="24"/>
        </w:rPr>
        <w:t xml:space="preserve">(D) </w:t>
      </w:r>
      <w:r w:rsidRPr="00282C04">
        <w:rPr>
          <w:rFonts w:cs="Times New Roman"/>
          <w:bCs/>
          <w:szCs w:val="24"/>
        </w:rPr>
        <w:t>Representative frequency spectrum for high correlation networks.</w:t>
      </w:r>
      <w:r w:rsidRPr="00282C04">
        <w:rPr>
          <w:rFonts w:cs="Times New Roman"/>
          <w:b/>
          <w:szCs w:val="24"/>
        </w:rPr>
        <w:t xml:space="preserve"> </w:t>
      </w:r>
      <w:r w:rsidRPr="00282C04">
        <w:rPr>
          <w:rFonts w:cs="Times New Roman"/>
          <w:b/>
          <w:bCs/>
          <w:szCs w:val="24"/>
        </w:rPr>
        <w:t xml:space="preserve">(E) </w:t>
      </w:r>
      <w:r w:rsidRPr="00282C04">
        <w:rPr>
          <w:rFonts w:cs="Times New Roman"/>
          <w:bCs/>
          <w:szCs w:val="24"/>
        </w:rPr>
        <w:t>Representative frequency spectrum for moderate correlation networks.</w:t>
      </w:r>
    </w:p>
    <w:p w14:paraId="384E1BB2" w14:textId="3908FB27" w:rsidR="00282C04" w:rsidRDefault="00282C04" w:rsidP="00282C04">
      <w:pPr>
        <w:keepNext/>
        <w:jc w:val="both"/>
        <w:rPr>
          <w:rFonts w:cs="Times New Roman"/>
          <w:b/>
          <w:szCs w:val="24"/>
        </w:rPr>
      </w:pPr>
    </w:p>
    <w:p w14:paraId="2897E581" w14:textId="7CBEEC7A" w:rsidR="0043490D" w:rsidRDefault="0043490D" w:rsidP="0043490D">
      <w:pPr>
        <w:keepNext/>
        <w:jc w:val="center"/>
        <w:rPr>
          <w:rFonts w:cs="Times New Roman"/>
          <w:b/>
          <w:szCs w:val="24"/>
        </w:rPr>
      </w:pPr>
      <w:r>
        <w:rPr>
          <w:rFonts w:cs="Times New Roman"/>
          <w:b/>
          <w:noProof/>
          <w:szCs w:val="24"/>
        </w:rPr>
        <w:drawing>
          <wp:inline distT="0" distB="0" distL="0" distR="0" wp14:anchorId="193182E3" wp14:editId="446C1EA5">
            <wp:extent cx="4206240" cy="19398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240" cy="1939882"/>
                    </a:xfrm>
                    <a:prstGeom prst="rect">
                      <a:avLst/>
                    </a:prstGeom>
                    <a:noFill/>
                  </pic:spPr>
                </pic:pic>
              </a:graphicData>
            </a:graphic>
          </wp:inline>
        </w:drawing>
      </w:r>
    </w:p>
    <w:p w14:paraId="1EAA2926" w14:textId="30BB0AB4" w:rsidR="0043490D" w:rsidRDefault="0043490D" w:rsidP="0043490D">
      <w:pPr>
        <w:jc w:val="both"/>
        <w:rPr>
          <w:rFonts w:cs="Times New Roman"/>
          <w:b/>
          <w:szCs w:val="24"/>
        </w:rPr>
      </w:pPr>
      <w:r w:rsidRPr="0043490D">
        <w:rPr>
          <w:rFonts w:cs="Times New Roman"/>
          <w:b/>
          <w:bCs/>
          <w:szCs w:val="24"/>
        </w:rPr>
        <w:t>FIGURE S</w:t>
      </w:r>
      <w:r w:rsidR="00083FF7">
        <w:rPr>
          <w:rFonts w:cs="Times New Roman"/>
          <w:b/>
          <w:bCs/>
          <w:szCs w:val="24"/>
        </w:rPr>
        <w:t>3</w:t>
      </w:r>
      <w:r w:rsidRPr="0043490D">
        <w:rPr>
          <w:rFonts w:cs="Times New Roman"/>
          <w:b/>
          <w:bCs/>
          <w:szCs w:val="24"/>
        </w:rPr>
        <w:t xml:space="preserve"> | Controllability schematics. (A) </w:t>
      </w:r>
      <w:r w:rsidRPr="0043490D">
        <w:rPr>
          <w:rFonts w:cs="Times New Roman"/>
          <w:bCs/>
          <w:szCs w:val="24"/>
        </w:rPr>
        <w:t xml:space="preserve">Average controllability refers to moving the network to a nearby, easy-to-reach state in the energy landscape. </w:t>
      </w:r>
      <w:r w:rsidRPr="0043490D">
        <w:rPr>
          <w:rFonts w:cs="Times New Roman"/>
          <w:b/>
          <w:bCs/>
          <w:szCs w:val="24"/>
        </w:rPr>
        <w:t xml:space="preserve">(B) </w:t>
      </w:r>
      <w:r w:rsidRPr="0043490D">
        <w:rPr>
          <w:rFonts w:cs="Times New Roman"/>
          <w:bCs/>
          <w:szCs w:val="24"/>
        </w:rPr>
        <w:t>In contrast, modal controllability refers to driving the network to a difficult-to-reach state with higher energy cost.</w:t>
      </w:r>
      <w:r w:rsidRPr="0043490D">
        <w:rPr>
          <w:rFonts w:cs="Times New Roman"/>
          <w:b/>
          <w:szCs w:val="24"/>
        </w:rPr>
        <w:t xml:space="preserve"> </w:t>
      </w:r>
    </w:p>
    <w:p w14:paraId="7DA52A30" w14:textId="77777777" w:rsidR="00083FF7" w:rsidRPr="001549D3" w:rsidRDefault="00083FF7" w:rsidP="00083FF7">
      <w:pPr>
        <w:keepNext/>
        <w:jc w:val="center"/>
        <w:rPr>
          <w:rFonts w:cs="Times New Roman"/>
          <w:szCs w:val="24"/>
        </w:rPr>
      </w:pPr>
      <w:r>
        <w:rPr>
          <w:rFonts w:cs="Times New Roman"/>
          <w:noProof/>
          <w:szCs w:val="24"/>
        </w:rPr>
        <w:lastRenderedPageBreak/>
        <w:drawing>
          <wp:inline distT="0" distB="0" distL="0" distR="0" wp14:anchorId="5C06FC9E" wp14:editId="284CDB9A">
            <wp:extent cx="3218325" cy="2542101"/>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18325" cy="2542101"/>
                    </a:xfrm>
                    <a:prstGeom prst="rect">
                      <a:avLst/>
                    </a:prstGeom>
                    <a:noFill/>
                  </pic:spPr>
                </pic:pic>
              </a:graphicData>
            </a:graphic>
          </wp:inline>
        </w:drawing>
      </w:r>
    </w:p>
    <w:p w14:paraId="1B05EED2" w14:textId="31896531" w:rsidR="0043490D" w:rsidRDefault="00083FF7" w:rsidP="00083FF7">
      <w:pPr>
        <w:jc w:val="both"/>
        <w:rPr>
          <w:rFonts w:cs="Times New Roman"/>
          <w:b/>
          <w:szCs w:val="24"/>
        </w:rPr>
      </w:pPr>
      <w:r w:rsidRPr="00282C04">
        <w:rPr>
          <w:rFonts w:cs="Times New Roman"/>
          <w:b/>
          <w:bCs/>
          <w:szCs w:val="24"/>
        </w:rPr>
        <w:t>FIGURE S</w:t>
      </w:r>
      <w:r>
        <w:rPr>
          <w:rFonts w:cs="Times New Roman"/>
          <w:b/>
          <w:bCs/>
          <w:szCs w:val="24"/>
        </w:rPr>
        <w:t>4</w:t>
      </w:r>
      <w:r w:rsidRPr="00282C04">
        <w:rPr>
          <w:rFonts w:cs="Times New Roman"/>
          <w:b/>
          <w:bCs/>
          <w:szCs w:val="24"/>
        </w:rPr>
        <w:t xml:space="preserve"> | Synchronization with 30% inhibitory neurons. (A) </w:t>
      </w:r>
      <w:r w:rsidRPr="00282C04">
        <w:rPr>
          <w:rFonts w:cs="Times New Roman"/>
          <w:szCs w:val="24"/>
        </w:rPr>
        <w:t>In a subset of simulations, we tested networks with 30% inhibitory and 70% excitatory neurons. In comparing to the 20% inhibitory and 80% excitatory ratio used in the rest of this work, we found that the synchronization behavior is substantially the same.</w:t>
      </w:r>
    </w:p>
    <w:p w14:paraId="35121590" w14:textId="4DF8EB37" w:rsidR="0043490D" w:rsidRDefault="0043490D" w:rsidP="0043490D">
      <w:pPr>
        <w:keepNext/>
        <w:jc w:val="center"/>
        <w:rPr>
          <w:rFonts w:cs="Times New Roman"/>
          <w:b/>
          <w:szCs w:val="24"/>
        </w:rPr>
      </w:pPr>
      <w:r>
        <w:rPr>
          <w:rFonts w:cs="Times New Roman"/>
          <w:b/>
          <w:noProof/>
          <w:szCs w:val="24"/>
        </w:rPr>
        <w:drawing>
          <wp:inline distT="0" distB="0" distL="0" distR="0" wp14:anchorId="416B6A8C" wp14:editId="1C86DB2E">
            <wp:extent cx="3211899" cy="34747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1899" cy="3474720"/>
                    </a:xfrm>
                    <a:prstGeom prst="rect">
                      <a:avLst/>
                    </a:prstGeom>
                    <a:noFill/>
                  </pic:spPr>
                </pic:pic>
              </a:graphicData>
            </a:graphic>
          </wp:inline>
        </w:drawing>
      </w:r>
    </w:p>
    <w:p w14:paraId="6D6A20DE" w14:textId="774A6DA6" w:rsidR="0043490D" w:rsidRDefault="0043490D" w:rsidP="0043490D">
      <w:pPr>
        <w:jc w:val="both"/>
        <w:rPr>
          <w:rFonts w:cs="Times New Roman"/>
          <w:bCs/>
          <w:szCs w:val="24"/>
        </w:rPr>
      </w:pPr>
      <w:r w:rsidRPr="0043490D">
        <w:rPr>
          <w:rFonts w:cs="Times New Roman"/>
          <w:b/>
          <w:bCs/>
          <w:szCs w:val="24"/>
        </w:rPr>
        <w:t xml:space="preserve">FIGURE S5 | Connection weights of removed neurons. </w:t>
      </w:r>
      <w:r w:rsidRPr="0043490D">
        <w:rPr>
          <w:rFonts w:cs="Times New Roman"/>
          <w:bCs/>
          <w:szCs w:val="24"/>
        </w:rPr>
        <w:t>These representative histograms are taken from cases of removing 50% Inter Pre neurons from a single moderate correlation network. The weights used are output weights from the beginning of the simulation.</w:t>
      </w:r>
      <w:r w:rsidRPr="0043490D">
        <w:rPr>
          <w:rFonts w:cs="Times New Roman"/>
          <w:b/>
          <w:szCs w:val="24"/>
        </w:rPr>
        <w:t xml:space="preserve"> </w:t>
      </w:r>
      <w:r w:rsidRPr="0043490D">
        <w:rPr>
          <w:rFonts w:cs="Times New Roman"/>
          <w:b/>
          <w:bCs/>
          <w:szCs w:val="24"/>
        </w:rPr>
        <w:t xml:space="preserve">(A) </w:t>
      </w:r>
      <w:r w:rsidRPr="0043490D">
        <w:rPr>
          <w:rFonts w:cs="Times New Roman"/>
          <w:bCs/>
          <w:szCs w:val="24"/>
        </w:rPr>
        <w:t>The distribution of output weights of all removed neurons compared to remaining neurons of the same subtype at 50% removal for a representative controllability-based removal case.</w:t>
      </w:r>
      <w:r w:rsidRPr="0043490D">
        <w:rPr>
          <w:rFonts w:cs="Times New Roman"/>
          <w:b/>
          <w:szCs w:val="24"/>
        </w:rPr>
        <w:t xml:space="preserve"> </w:t>
      </w:r>
      <w:r w:rsidRPr="0043490D">
        <w:rPr>
          <w:rFonts w:cs="Times New Roman"/>
          <w:b/>
          <w:bCs/>
          <w:szCs w:val="24"/>
        </w:rPr>
        <w:t>(B)</w:t>
      </w:r>
      <w:r w:rsidRPr="0043490D">
        <w:rPr>
          <w:rFonts w:cs="Times New Roman"/>
          <w:b/>
          <w:szCs w:val="24"/>
        </w:rPr>
        <w:t xml:space="preserve"> </w:t>
      </w:r>
      <w:r w:rsidRPr="0043490D">
        <w:rPr>
          <w:rFonts w:cs="Times New Roman"/>
          <w:bCs/>
          <w:szCs w:val="24"/>
        </w:rPr>
        <w:t>The distribution of output weights of all removed neurons compared to remaining neurons of the same subtype at 50% removal for a representative random removal case.</w:t>
      </w:r>
    </w:p>
    <w:p w14:paraId="7D5D62CD" w14:textId="77777777" w:rsidR="00083FF7" w:rsidRDefault="00083FF7" w:rsidP="0043490D">
      <w:pPr>
        <w:jc w:val="both"/>
        <w:rPr>
          <w:rFonts w:cs="Times New Roman"/>
          <w:bCs/>
          <w:szCs w:val="24"/>
        </w:rPr>
      </w:pPr>
    </w:p>
    <w:p w14:paraId="26F697C8" w14:textId="5E06E0D2" w:rsidR="0043490D" w:rsidRDefault="0043490D" w:rsidP="0043490D">
      <w:pPr>
        <w:keepNext/>
        <w:jc w:val="center"/>
        <w:rPr>
          <w:rFonts w:cs="Times New Roman"/>
          <w:bCs/>
          <w:szCs w:val="24"/>
        </w:rPr>
      </w:pPr>
      <w:r>
        <w:rPr>
          <w:rFonts w:cs="Times New Roman"/>
          <w:bCs/>
          <w:noProof/>
          <w:szCs w:val="24"/>
        </w:rPr>
        <w:drawing>
          <wp:inline distT="0" distB="0" distL="0" distR="0" wp14:anchorId="3B133030" wp14:editId="2894C163">
            <wp:extent cx="5937865" cy="2091055"/>
            <wp:effectExtent l="0" t="0" r="635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865" cy="2091055"/>
                    </a:xfrm>
                    <a:prstGeom prst="rect">
                      <a:avLst/>
                    </a:prstGeom>
                    <a:noFill/>
                  </pic:spPr>
                </pic:pic>
              </a:graphicData>
            </a:graphic>
          </wp:inline>
        </w:drawing>
      </w:r>
    </w:p>
    <w:p w14:paraId="602479DC" w14:textId="77777777" w:rsidR="0043490D" w:rsidRPr="0043490D" w:rsidRDefault="0043490D" w:rsidP="0043490D">
      <w:pPr>
        <w:jc w:val="both"/>
        <w:rPr>
          <w:rFonts w:cs="Times New Roman"/>
          <w:bCs/>
          <w:szCs w:val="24"/>
        </w:rPr>
      </w:pPr>
      <w:r w:rsidRPr="0043490D">
        <w:rPr>
          <w:rFonts w:cs="Times New Roman"/>
          <w:b/>
          <w:bCs/>
          <w:szCs w:val="24"/>
        </w:rPr>
        <w:t xml:space="preserve">FIGURE S6 | </w:t>
      </w:r>
      <w:proofErr w:type="spellStart"/>
      <w:r w:rsidRPr="0043490D">
        <w:rPr>
          <w:rFonts w:cs="Times New Roman"/>
          <w:b/>
          <w:bCs/>
          <w:szCs w:val="24"/>
        </w:rPr>
        <w:t>Intercluster</w:t>
      </w:r>
      <w:proofErr w:type="spellEnd"/>
      <w:r w:rsidRPr="0043490D">
        <w:rPr>
          <w:rFonts w:cs="Times New Roman"/>
          <w:b/>
          <w:bCs/>
          <w:szCs w:val="24"/>
        </w:rPr>
        <w:t xml:space="preserve"> connection weights after damage. (A) </w:t>
      </w:r>
      <w:r w:rsidRPr="0043490D">
        <w:rPr>
          <w:rFonts w:cs="Times New Roman"/>
          <w:bCs/>
          <w:szCs w:val="24"/>
        </w:rPr>
        <w:t xml:space="preserve">For comparison with Figure 3, the histograms show the edge weights of </w:t>
      </w:r>
      <w:proofErr w:type="spellStart"/>
      <w:r w:rsidRPr="0043490D">
        <w:rPr>
          <w:rFonts w:cs="Times New Roman"/>
          <w:bCs/>
          <w:szCs w:val="24"/>
        </w:rPr>
        <w:t>intercluster</w:t>
      </w:r>
      <w:proofErr w:type="spellEnd"/>
      <w:r w:rsidRPr="0043490D">
        <w:rPr>
          <w:rFonts w:cs="Times New Roman"/>
          <w:bCs/>
          <w:szCs w:val="24"/>
        </w:rPr>
        <w:t xml:space="preserve"> connections after 50% random removal of neurons in different subtypes. For all moderate correlation networks, the proportion of strong </w:t>
      </w:r>
      <w:proofErr w:type="spellStart"/>
      <w:r w:rsidRPr="0043490D">
        <w:rPr>
          <w:rFonts w:cs="Times New Roman"/>
          <w:bCs/>
          <w:szCs w:val="24"/>
        </w:rPr>
        <w:t>intercluster</w:t>
      </w:r>
      <w:proofErr w:type="spellEnd"/>
      <w:r w:rsidRPr="0043490D">
        <w:rPr>
          <w:rFonts w:cs="Times New Roman"/>
          <w:bCs/>
          <w:szCs w:val="24"/>
        </w:rPr>
        <w:t xml:space="preserve"> connections after random injury is 0.80 ± 0.02. Two examples are shown for the removal of Inter Pre vs. Intra Post neurons. </w:t>
      </w:r>
      <w:r w:rsidRPr="0043490D">
        <w:rPr>
          <w:rFonts w:cs="Times New Roman"/>
          <w:b/>
          <w:bCs/>
          <w:szCs w:val="24"/>
        </w:rPr>
        <w:t>(B)</w:t>
      </w:r>
      <w:r w:rsidRPr="0043490D">
        <w:rPr>
          <w:rFonts w:cs="Times New Roman"/>
          <w:bCs/>
          <w:szCs w:val="24"/>
        </w:rPr>
        <w:t xml:space="preserve"> For all high correlation networks, the proportion of strong </w:t>
      </w:r>
      <w:proofErr w:type="spellStart"/>
      <w:r w:rsidRPr="0043490D">
        <w:rPr>
          <w:rFonts w:cs="Times New Roman"/>
          <w:bCs/>
          <w:szCs w:val="24"/>
        </w:rPr>
        <w:t>intercluster</w:t>
      </w:r>
      <w:proofErr w:type="spellEnd"/>
      <w:r w:rsidRPr="0043490D">
        <w:rPr>
          <w:rFonts w:cs="Times New Roman"/>
          <w:bCs/>
          <w:szCs w:val="24"/>
        </w:rPr>
        <w:t xml:space="preserve"> connections after random injury is 0.64 ± 0.05. Two examples are shown for the removal of Inter Pre vs. Intra Post neurons.</w:t>
      </w:r>
    </w:p>
    <w:p w14:paraId="2786F94D" w14:textId="77777777" w:rsidR="0043490D" w:rsidRDefault="0043490D" w:rsidP="0043490D">
      <w:pPr>
        <w:keepNext/>
        <w:jc w:val="both"/>
        <w:rPr>
          <w:rFonts w:cs="Times New Roman"/>
          <w:bCs/>
          <w:szCs w:val="24"/>
        </w:rPr>
      </w:pPr>
    </w:p>
    <w:p w14:paraId="228FF735" w14:textId="77777777" w:rsidR="0043490D" w:rsidRPr="0043490D" w:rsidRDefault="0043490D" w:rsidP="0043490D">
      <w:pPr>
        <w:keepNext/>
        <w:jc w:val="both"/>
        <w:rPr>
          <w:rFonts w:cs="Times New Roman"/>
          <w:bCs/>
          <w:szCs w:val="24"/>
        </w:rPr>
      </w:pPr>
    </w:p>
    <w:p w14:paraId="61646968" w14:textId="77777777" w:rsidR="0043490D" w:rsidRPr="0043490D" w:rsidRDefault="0043490D" w:rsidP="0043490D">
      <w:pPr>
        <w:keepNext/>
        <w:jc w:val="both"/>
        <w:rPr>
          <w:rFonts w:cs="Times New Roman"/>
          <w:b/>
          <w:szCs w:val="24"/>
        </w:rPr>
      </w:pPr>
    </w:p>
    <w:p w14:paraId="438308CB" w14:textId="77777777" w:rsidR="0043490D" w:rsidRDefault="0043490D" w:rsidP="0043490D">
      <w:pPr>
        <w:keepNext/>
        <w:jc w:val="both"/>
        <w:rPr>
          <w:rFonts w:cs="Times New Roman"/>
          <w:b/>
          <w:szCs w:val="24"/>
        </w:rPr>
      </w:pPr>
    </w:p>
    <w:p w14:paraId="73B8DF5C" w14:textId="165DC356" w:rsidR="00282C04" w:rsidRDefault="00282C04" w:rsidP="00282C04">
      <w:pPr>
        <w:keepNext/>
        <w:jc w:val="both"/>
        <w:rPr>
          <w:rFonts w:cs="Times New Roman"/>
          <w:b/>
          <w:szCs w:val="24"/>
        </w:rPr>
      </w:pPr>
    </w:p>
    <w:p w14:paraId="261B77E9" w14:textId="77777777" w:rsidR="00282C04" w:rsidRDefault="00282C04" w:rsidP="00282C04">
      <w:pPr>
        <w:keepNext/>
        <w:jc w:val="both"/>
        <w:rPr>
          <w:rFonts w:cs="Times New Roman"/>
          <w:b/>
          <w:szCs w:val="24"/>
        </w:rPr>
      </w:pPr>
    </w:p>
    <w:sectPr w:rsidR="00282C04"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0F51" w14:textId="77777777" w:rsidR="009517BA" w:rsidRDefault="009517BA" w:rsidP="00117666">
      <w:pPr>
        <w:spacing w:after="0"/>
      </w:pPr>
      <w:r>
        <w:separator/>
      </w:r>
    </w:p>
  </w:endnote>
  <w:endnote w:type="continuationSeparator" w:id="0">
    <w:p w14:paraId="17C7A5E8" w14:textId="77777777" w:rsidR="009517BA" w:rsidRDefault="009517B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14A1" w14:textId="77777777" w:rsidR="009517BA" w:rsidRDefault="009517BA" w:rsidP="00117666">
      <w:pPr>
        <w:spacing w:after="0"/>
      </w:pPr>
      <w:r>
        <w:separator/>
      </w:r>
    </w:p>
  </w:footnote>
  <w:footnote w:type="continuationSeparator" w:id="0">
    <w:p w14:paraId="57DB0941" w14:textId="77777777" w:rsidR="009517BA" w:rsidRDefault="009517B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56B6C"/>
    <w:rsid w:val="00077D53"/>
    <w:rsid w:val="00083FF7"/>
    <w:rsid w:val="00105FD9"/>
    <w:rsid w:val="00117666"/>
    <w:rsid w:val="001549D3"/>
    <w:rsid w:val="00160065"/>
    <w:rsid w:val="00177D84"/>
    <w:rsid w:val="00267D18"/>
    <w:rsid w:val="00274347"/>
    <w:rsid w:val="00282C04"/>
    <w:rsid w:val="002868E2"/>
    <w:rsid w:val="002869C3"/>
    <w:rsid w:val="002936E4"/>
    <w:rsid w:val="002B4A57"/>
    <w:rsid w:val="002C74CA"/>
    <w:rsid w:val="003123F4"/>
    <w:rsid w:val="003544FB"/>
    <w:rsid w:val="003D2F2D"/>
    <w:rsid w:val="00401590"/>
    <w:rsid w:val="0043490D"/>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422EB"/>
    <w:rsid w:val="00885156"/>
    <w:rsid w:val="009151AA"/>
    <w:rsid w:val="0093429D"/>
    <w:rsid w:val="00943573"/>
    <w:rsid w:val="009517BA"/>
    <w:rsid w:val="00964134"/>
    <w:rsid w:val="00970F7D"/>
    <w:rsid w:val="00994A3D"/>
    <w:rsid w:val="009C2B12"/>
    <w:rsid w:val="00A174D9"/>
    <w:rsid w:val="00AA4D24"/>
    <w:rsid w:val="00AB6715"/>
    <w:rsid w:val="00B1671E"/>
    <w:rsid w:val="00B25EB8"/>
    <w:rsid w:val="00B37F4D"/>
    <w:rsid w:val="00BF76F4"/>
    <w:rsid w:val="00C52A7B"/>
    <w:rsid w:val="00C56BAF"/>
    <w:rsid w:val="00C679AA"/>
    <w:rsid w:val="00C75972"/>
    <w:rsid w:val="00C769F3"/>
    <w:rsid w:val="00CD066B"/>
    <w:rsid w:val="00CE4FEE"/>
    <w:rsid w:val="00D060CF"/>
    <w:rsid w:val="00D63DFA"/>
    <w:rsid w:val="00DB59C3"/>
    <w:rsid w:val="00DC259A"/>
    <w:rsid w:val="00DE23E8"/>
    <w:rsid w:val="00E52377"/>
    <w:rsid w:val="00E537AD"/>
    <w:rsid w:val="00E64E17"/>
    <w:rsid w:val="00E866C9"/>
    <w:rsid w:val="00EA3D3C"/>
    <w:rsid w:val="00EC090A"/>
    <w:rsid w:val="00ED20B5"/>
    <w:rsid w:val="00F46900"/>
    <w:rsid w:val="00F61D89"/>
    <w:rsid w:val="00FD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4386">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930433104">
      <w:bodyDiv w:val="1"/>
      <w:marLeft w:val="0"/>
      <w:marRight w:val="0"/>
      <w:marTop w:val="0"/>
      <w:marBottom w:val="0"/>
      <w:divBdr>
        <w:top w:val="none" w:sz="0" w:space="0" w:color="auto"/>
        <w:left w:val="none" w:sz="0" w:space="0" w:color="auto"/>
        <w:bottom w:val="none" w:sz="0" w:space="0" w:color="auto"/>
        <w:right w:val="none" w:sz="0" w:space="0" w:color="auto"/>
      </w:divBdr>
    </w:div>
    <w:div w:id="1100032135">
      <w:bodyDiv w:val="1"/>
      <w:marLeft w:val="0"/>
      <w:marRight w:val="0"/>
      <w:marTop w:val="0"/>
      <w:marBottom w:val="0"/>
      <w:divBdr>
        <w:top w:val="none" w:sz="0" w:space="0" w:color="auto"/>
        <w:left w:val="none" w:sz="0" w:space="0" w:color="auto"/>
        <w:bottom w:val="none" w:sz="0" w:space="0" w:color="auto"/>
        <w:right w:val="none" w:sz="0" w:space="0" w:color="auto"/>
      </w:divBdr>
    </w:div>
    <w:div w:id="124106106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73346967">
      <w:bodyDiv w:val="1"/>
      <w:marLeft w:val="0"/>
      <w:marRight w:val="0"/>
      <w:marTop w:val="0"/>
      <w:marBottom w:val="0"/>
      <w:divBdr>
        <w:top w:val="none" w:sz="0" w:space="0" w:color="auto"/>
        <w:left w:val="none" w:sz="0" w:space="0" w:color="auto"/>
        <w:bottom w:val="none" w:sz="0" w:space="0" w:color="auto"/>
        <w:right w:val="none" w:sz="0" w:space="0" w:color="auto"/>
      </w:divBdr>
    </w:div>
    <w:div w:id="1661078365">
      <w:bodyDiv w:val="1"/>
      <w:marLeft w:val="0"/>
      <w:marRight w:val="0"/>
      <w:marTop w:val="0"/>
      <w:marBottom w:val="0"/>
      <w:divBdr>
        <w:top w:val="none" w:sz="0" w:space="0" w:color="auto"/>
        <w:left w:val="none" w:sz="0" w:space="0" w:color="auto"/>
        <w:bottom w:val="none" w:sz="0" w:space="0" w:color="auto"/>
        <w:right w:val="none" w:sz="0" w:space="0" w:color="auto"/>
      </w:divBdr>
    </w:div>
    <w:div w:id="1726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686B7C-4994-498F-81C0-EA297397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893</TotalTime>
  <Pages>4</Pages>
  <Words>430</Words>
  <Characters>2578</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Samantha Schumm</cp:lastModifiedBy>
  <cp:revision>11</cp:revision>
  <cp:lastPrinted>2013-10-03T12:51:00Z</cp:lastPrinted>
  <dcterms:created xsi:type="dcterms:W3CDTF">2020-01-18T17:44:00Z</dcterms:created>
  <dcterms:modified xsi:type="dcterms:W3CDTF">2020-01-19T16:41:00Z</dcterms:modified>
</cp:coreProperties>
</file>