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42546" w14:textId="77777777" w:rsidR="008F22B0" w:rsidRPr="00493161" w:rsidRDefault="008F22B0" w:rsidP="008F22B0">
      <w:pPr>
        <w:pStyle w:val="Heading6"/>
        <w:spacing w:after="120"/>
        <w:rPr>
          <w:color w:val="000000" w:themeColor="text1"/>
        </w:rPr>
      </w:pPr>
      <w:bookmarkStart w:id="0" w:name="_Ref21215590"/>
      <w:r w:rsidRPr="00493161">
        <w:rPr>
          <w:color w:val="000000" w:themeColor="text1"/>
        </w:rPr>
        <w:t>: Description of type of statistical distributions</w:t>
      </w:r>
      <w:bookmarkEnd w:id="0"/>
      <w:r w:rsidRPr="00493161">
        <w:rPr>
          <w:color w:val="000000" w:themeColor="text1"/>
        </w:rPr>
        <w:t xml:space="preserve"> considered</w:t>
      </w:r>
    </w:p>
    <w:p w14:paraId="06F6E8A4" w14:textId="77777777" w:rsidR="008F22B0" w:rsidRPr="00493161" w:rsidRDefault="008F22B0" w:rsidP="008F22B0">
      <w:pPr>
        <w:jc w:val="both"/>
        <w:rPr>
          <w:color w:val="000000" w:themeColor="text1"/>
        </w:rPr>
      </w:pPr>
      <w:r w:rsidRPr="00493161">
        <w:rPr>
          <w:color w:val="000000" w:themeColor="text1"/>
        </w:rPr>
        <w:t xml:space="preserve">In order to perform an uncertainty analysis via Monte Carlo simulations, assumptions on how the input variables to the system model are statistically distributed must be made. As several types of distributions (normal, log-normal, beta, min-extreme, yes-no) are considered in this study, the following paragraphs aim to help the reader better understand them. </w:t>
      </w:r>
    </w:p>
    <w:p w14:paraId="494798F2" w14:textId="6D5E1D37" w:rsidR="008F22B0" w:rsidRPr="00493161" w:rsidRDefault="008F22B0" w:rsidP="008F22B0">
      <w:pPr>
        <w:jc w:val="both"/>
        <w:rPr>
          <w:color w:val="000000" w:themeColor="text1"/>
        </w:rPr>
      </w:pPr>
      <w:r w:rsidRPr="00493161">
        <w:rPr>
          <w:color w:val="000000" w:themeColor="text1"/>
        </w:rPr>
        <w:t xml:space="preserve">The first is the well-known normal distribution, which forms a symmetric bell curve around its mean as shown in </w:t>
      </w:r>
      <w:r w:rsidRPr="00493161">
        <w:rPr>
          <w:color w:val="000000" w:themeColor="text1"/>
        </w:rPr>
        <w:fldChar w:fldCharType="begin"/>
      </w:r>
      <w:r w:rsidRPr="00493161">
        <w:rPr>
          <w:color w:val="000000" w:themeColor="text1"/>
        </w:rPr>
        <w:instrText xml:space="preserve"> REF _Ref21270426 \h  \* MERGEFORMAT </w:instrText>
      </w:r>
      <w:r w:rsidRPr="00493161">
        <w:rPr>
          <w:color w:val="000000" w:themeColor="text1"/>
        </w:rPr>
      </w:r>
      <w:r w:rsidRPr="00493161">
        <w:rPr>
          <w:color w:val="000000" w:themeColor="text1"/>
        </w:rPr>
        <w:fldChar w:fldCharType="separate"/>
      </w:r>
      <w:r w:rsidR="00044B86" w:rsidRPr="00493161">
        <w:rPr>
          <w:bCs/>
          <w:color w:val="000000" w:themeColor="text1"/>
        </w:rPr>
        <w:t xml:space="preserve">Figure </w:t>
      </w:r>
      <w:r w:rsidR="00044B86" w:rsidRPr="00044B86">
        <w:rPr>
          <w:noProof/>
          <w:color w:val="000000" w:themeColor="text1"/>
        </w:rPr>
        <w:t>10</w:t>
      </w:r>
      <w:r w:rsidRPr="00493161">
        <w:rPr>
          <w:color w:val="000000" w:themeColor="text1"/>
        </w:rPr>
        <w:fldChar w:fldCharType="end"/>
      </w:r>
      <w:r w:rsidRPr="00493161">
        <w:rPr>
          <w:color w:val="000000" w:themeColor="text1"/>
        </w:rPr>
        <w:t>(a). This distribution is widely used for well-characterised systems due to the Central Limit Theorem, which states that sums of independent random variables tend to become normally distributed even if the original variables are not normally distributed.</w:t>
      </w:r>
    </w:p>
    <w:p w14:paraId="5AC34CAF" w14:textId="2FB28E8C" w:rsidR="008F22B0" w:rsidRPr="00493161" w:rsidRDefault="008F22B0" w:rsidP="008F22B0">
      <w:pPr>
        <w:jc w:val="both"/>
        <w:rPr>
          <w:color w:val="000000" w:themeColor="text1"/>
        </w:rPr>
      </w:pPr>
      <w:r w:rsidRPr="00493161">
        <w:rPr>
          <w:color w:val="000000" w:themeColor="text1"/>
        </w:rPr>
        <w:t xml:space="preserve">A closely related distribution is the log-normal distribution shown in </w:t>
      </w:r>
      <w:r w:rsidRPr="00493161">
        <w:rPr>
          <w:color w:val="000000" w:themeColor="text1"/>
        </w:rPr>
        <w:fldChar w:fldCharType="begin"/>
      </w:r>
      <w:r w:rsidRPr="00493161">
        <w:rPr>
          <w:color w:val="000000" w:themeColor="text1"/>
        </w:rPr>
        <w:instrText xml:space="preserve"> REF _Ref21270426 \h  \* MERGEFORMAT </w:instrText>
      </w:r>
      <w:r w:rsidRPr="00493161">
        <w:rPr>
          <w:color w:val="000000" w:themeColor="text1"/>
        </w:rPr>
      </w:r>
      <w:r w:rsidRPr="00493161">
        <w:rPr>
          <w:color w:val="000000" w:themeColor="text1"/>
        </w:rPr>
        <w:fldChar w:fldCharType="separate"/>
      </w:r>
      <w:r w:rsidR="00044B86" w:rsidRPr="00493161">
        <w:rPr>
          <w:bCs/>
          <w:color w:val="000000" w:themeColor="text1"/>
        </w:rPr>
        <w:t xml:space="preserve">Figure </w:t>
      </w:r>
      <w:r w:rsidR="00044B86" w:rsidRPr="00044B86">
        <w:rPr>
          <w:noProof/>
          <w:color w:val="000000" w:themeColor="text1"/>
        </w:rPr>
        <w:t>10</w:t>
      </w:r>
      <w:r w:rsidRPr="00493161">
        <w:rPr>
          <w:color w:val="000000" w:themeColor="text1"/>
        </w:rPr>
        <w:fldChar w:fldCharType="end"/>
      </w:r>
      <w:r w:rsidRPr="00493161">
        <w:rPr>
          <w:color w:val="000000" w:themeColor="text1"/>
        </w:rPr>
        <w:t xml:space="preserve">(b). In this case, the logarithm of the parameter is normally distributed. Compared to a normal distribution, the log-normal distribution is quite skewed, having a </w:t>
      </w:r>
      <w:proofErr w:type="gramStart"/>
      <w:r w:rsidRPr="00493161">
        <w:rPr>
          <w:color w:val="000000" w:themeColor="text1"/>
        </w:rPr>
        <w:t>short left</w:t>
      </w:r>
      <w:proofErr w:type="gramEnd"/>
      <w:r w:rsidRPr="00493161">
        <w:rPr>
          <w:color w:val="000000" w:themeColor="text1"/>
        </w:rPr>
        <w:t xml:space="preserve"> tail and long right tail. This means that obtaining an extremely small result would be very unlikely, while an extremely high result would be somewhat likely.</w:t>
      </w:r>
    </w:p>
    <w:p w14:paraId="1161CE70" w14:textId="02FCF309" w:rsidR="008F22B0" w:rsidRPr="00493161" w:rsidRDefault="008F22B0" w:rsidP="008F22B0">
      <w:pPr>
        <w:jc w:val="both"/>
        <w:rPr>
          <w:color w:val="000000" w:themeColor="text1"/>
        </w:rPr>
      </w:pPr>
      <w:r w:rsidRPr="00493161">
        <w:rPr>
          <w:color w:val="000000" w:themeColor="text1"/>
        </w:rPr>
        <w:t xml:space="preserve">The beta distribution, which is commonly used to model bounded random variables, is also considered. For the set of parameters considered in this study, the beta distribution has a negative excess kurtosis, meaning that it does not have proper tails extending to the left or right as shown in </w:t>
      </w:r>
      <w:r w:rsidRPr="00493161">
        <w:rPr>
          <w:color w:val="000000" w:themeColor="text1"/>
        </w:rPr>
        <w:fldChar w:fldCharType="begin"/>
      </w:r>
      <w:r w:rsidRPr="00493161">
        <w:rPr>
          <w:color w:val="000000" w:themeColor="text1"/>
        </w:rPr>
        <w:instrText xml:space="preserve"> REF _Ref21270426 \h  \* MERGEFORMAT </w:instrText>
      </w:r>
      <w:r w:rsidRPr="00493161">
        <w:rPr>
          <w:color w:val="000000" w:themeColor="text1"/>
        </w:rPr>
      </w:r>
      <w:r w:rsidRPr="00493161">
        <w:rPr>
          <w:color w:val="000000" w:themeColor="text1"/>
        </w:rPr>
        <w:fldChar w:fldCharType="separate"/>
      </w:r>
      <w:r w:rsidR="00044B86" w:rsidRPr="00493161">
        <w:rPr>
          <w:bCs/>
          <w:color w:val="000000" w:themeColor="text1"/>
        </w:rPr>
        <w:t xml:space="preserve">Figure </w:t>
      </w:r>
      <w:r w:rsidR="00044B86" w:rsidRPr="00044B86">
        <w:rPr>
          <w:noProof/>
          <w:color w:val="000000" w:themeColor="text1"/>
        </w:rPr>
        <w:t>10</w:t>
      </w:r>
      <w:r w:rsidRPr="00493161">
        <w:rPr>
          <w:color w:val="000000" w:themeColor="text1"/>
        </w:rPr>
        <w:fldChar w:fldCharType="end"/>
      </w:r>
      <w:r w:rsidRPr="00493161">
        <w:rPr>
          <w:color w:val="000000" w:themeColor="text1"/>
        </w:rPr>
        <w:t>(c).</w:t>
      </w:r>
    </w:p>
    <w:p w14:paraId="703951A3" w14:textId="6D981D94" w:rsidR="008F22B0" w:rsidRPr="00493161" w:rsidRDefault="008F22B0" w:rsidP="008F22B0">
      <w:pPr>
        <w:jc w:val="both"/>
        <w:rPr>
          <w:color w:val="000000" w:themeColor="text1"/>
        </w:rPr>
      </w:pPr>
      <w:r w:rsidRPr="00493161">
        <w:rPr>
          <w:color w:val="000000" w:themeColor="text1"/>
        </w:rPr>
        <w:t xml:space="preserve">The last continuous probability distribution considered is the min-extreme distribution. Compared to a normal distribution, this is skewed in such a way that it has a longer left tail and shorter right tail as shown in </w:t>
      </w:r>
      <w:r w:rsidRPr="00493161">
        <w:rPr>
          <w:color w:val="000000" w:themeColor="text1"/>
        </w:rPr>
        <w:fldChar w:fldCharType="begin"/>
      </w:r>
      <w:r w:rsidRPr="00493161">
        <w:rPr>
          <w:color w:val="000000" w:themeColor="text1"/>
        </w:rPr>
        <w:instrText xml:space="preserve"> REF _Ref21270426 \h  \* MERGEFORMAT </w:instrText>
      </w:r>
      <w:r w:rsidRPr="00493161">
        <w:rPr>
          <w:color w:val="000000" w:themeColor="text1"/>
        </w:rPr>
      </w:r>
      <w:r w:rsidRPr="00493161">
        <w:rPr>
          <w:color w:val="000000" w:themeColor="text1"/>
        </w:rPr>
        <w:fldChar w:fldCharType="separate"/>
      </w:r>
      <w:r w:rsidR="00044B86" w:rsidRPr="00493161">
        <w:rPr>
          <w:bCs/>
          <w:color w:val="000000" w:themeColor="text1"/>
        </w:rPr>
        <w:t xml:space="preserve">Figure </w:t>
      </w:r>
      <w:r w:rsidR="00044B86" w:rsidRPr="00044B86">
        <w:rPr>
          <w:noProof/>
          <w:color w:val="000000" w:themeColor="text1"/>
        </w:rPr>
        <w:t>10</w:t>
      </w:r>
      <w:r w:rsidRPr="00493161">
        <w:rPr>
          <w:color w:val="000000" w:themeColor="text1"/>
        </w:rPr>
        <w:fldChar w:fldCharType="end"/>
      </w:r>
      <w:r w:rsidRPr="00493161">
        <w:rPr>
          <w:color w:val="000000" w:themeColor="text1"/>
        </w:rPr>
        <w:t>(d). In other words, compared to a normal distribution, a min-extreme distribution increases the chance of extremely low outcomes and decreases the chance of extremely high outcomes.</w:t>
      </w:r>
    </w:p>
    <w:p w14:paraId="61FDC7D5" w14:textId="049FC631" w:rsidR="008F22B0" w:rsidRPr="00493161" w:rsidRDefault="008F22B0" w:rsidP="008F22B0">
      <w:pPr>
        <w:jc w:val="both"/>
        <w:rPr>
          <w:color w:val="000000" w:themeColor="text1"/>
        </w:rPr>
      </w:pPr>
      <w:r w:rsidRPr="00493161">
        <w:rPr>
          <w:color w:val="000000" w:themeColor="text1"/>
        </w:rPr>
        <w:t xml:space="preserve">Finally, a "yes-no" distribution, also known as a binary distribution or Bernoulli distribution, is also used in one of the cases. As shown in </w:t>
      </w:r>
      <w:r w:rsidRPr="00493161">
        <w:rPr>
          <w:color w:val="000000" w:themeColor="text1"/>
        </w:rPr>
        <w:fldChar w:fldCharType="begin"/>
      </w:r>
      <w:r w:rsidRPr="00493161">
        <w:rPr>
          <w:color w:val="000000" w:themeColor="text1"/>
        </w:rPr>
        <w:instrText xml:space="preserve"> REF _Ref21270426 \h  \* MERGEFORMAT </w:instrText>
      </w:r>
      <w:r w:rsidRPr="00493161">
        <w:rPr>
          <w:color w:val="000000" w:themeColor="text1"/>
        </w:rPr>
      </w:r>
      <w:r w:rsidRPr="00493161">
        <w:rPr>
          <w:color w:val="000000" w:themeColor="text1"/>
        </w:rPr>
        <w:fldChar w:fldCharType="separate"/>
      </w:r>
      <w:r w:rsidR="00044B86" w:rsidRPr="00493161">
        <w:rPr>
          <w:bCs/>
          <w:color w:val="000000" w:themeColor="text1"/>
        </w:rPr>
        <w:t xml:space="preserve">Figure </w:t>
      </w:r>
      <w:r w:rsidR="00044B86" w:rsidRPr="00044B86">
        <w:rPr>
          <w:noProof/>
          <w:color w:val="000000" w:themeColor="text1"/>
        </w:rPr>
        <w:t>10</w:t>
      </w:r>
      <w:r w:rsidRPr="00493161">
        <w:rPr>
          <w:color w:val="000000" w:themeColor="text1"/>
        </w:rPr>
        <w:fldChar w:fldCharType="end"/>
      </w:r>
      <w:r w:rsidRPr="00493161">
        <w:rPr>
          <w:color w:val="000000" w:themeColor="text1"/>
        </w:rPr>
        <w:t xml:space="preserve">(e), this is the simplest discrete distribution, having only two possible outcomes with probabilities </w:t>
      </w:r>
      <m:oMath>
        <m:r>
          <m:rPr>
            <m:sty m:val="p"/>
          </m:rPr>
          <w:rPr>
            <w:rFonts w:ascii="Cambria Math" w:hAnsi="Cambria Math"/>
            <w:color w:val="000000" w:themeColor="text1"/>
          </w:rPr>
          <m:t>p</m:t>
        </m:r>
      </m:oMath>
      <w:r w:rsidRPr="00493161">
        <w:rPr>
          <w:color w:val="000000" w:themeColor="text1"/>
        </w:rPr>
        <w:t xml:space="preserve"> and </w:t>
      </w:r>
      <m:oMath>
        <m:r>
          <m:rPr>
            <m:sty m:val="p"/>
          </m:rPr>
          <w:rPr>
            <w:rFonts w:ascii="Cambria Math" w:hAnsi="Cambria Math"/>
            <w:color w:val="000000" w:themeColor="text1"/>
          </w:rPr>
          <m:t>1-p</m:t>
        </m:r>
      </m:oMath>
      <w:r w:rsidRPr="00493161">
        <w:rPr>
          <w:color w:val="000000" w:themeColor="text1"/>
        </w:rPr>
        <w:t>.</w:t>
      </w:r>
    </w:p>
    <w:p w14:paraId="5FE82CB0" w14:textId="77777777" w:rsidR="008F22B0" w:rsidRPr="00493161" w:rsidRDefault="008F22B0" w:rsidP="008F22B0">
      <w:pPr>
        <w:jc w:val="both"/>
        <w:rPr>
          <w:color w:val="000000" w:themeColor="text1"/>
        </w:rPr>
      </w:pPr>
      <w:r w:rsidRPr="00493161">
        <w:rPr>
          <w:color w:val="000000" w:themeColor="text1"/>
        </w:rPr>
        <w:t xml:space="preserve">For each uncertain parameter considered in this study, </w:t>
      </w:r>
      <w:r w:rsidRPr="00493161">
        <w:rPr>
          <w:color w:val="000000" w:themeColor="text1"/>
        </w:rPr>
        <w:fldChar w:fldCharType="begin"/>
      </w:r>
      <w:r w:rsidRPr="00493161">
        <w:rPr>
          <w:color w:val="000000" w:themeColor="text1"/>
        </w:rPr>
        <w:instrText xml:space="preserve"> REF _Ref20752758 \h  \* MERGEFORMAT </w:instrText>
      </w:r>
      <w:r w:rsidRPr="00493161">
        <w:rPr>
          <w:color w:val="000000" w:themeColor="text1"/>
        </w:rPr>
      </w:r>
      <w:r w:rsidRPr="00493161">
        <w:rPr>
          <w:color w:val="000000" w:themeColor="text1"/>
        </w:rPr>
        <w:fldChar w:fldCharType="separate"/>
      </w:r>
      <w:r w:rsidRPr="00493161">
        <w:rPr>
          <w:bCs/>
          <w:color w:val="000000" w:themeColor="text1"/>
          <w:szCs w:val="24"/>
        </w:rPr>
        <w:t xml:space="preserve">Table </w:t>
      </w:r>
      <w:r w:rsidRPr="00F64A89">
        <w:rPr>
          <w:noProof/>
          <w:color w:val="000000" w:themeColor="text1"/>
          <w:szCs w:val="24"/>
        </w:rPr>
        <w:t>4</w:t>
      </w:r>
      <w:r w:rsidRPr="00493161">
        <w:rPr>
          <w:color w:val="000000" w:themeColor="text1"/>
        </w:rPr>
        <w:fldChar w:fldCharType="end"/>
      </w:r>
      <w:r w:rsidRPr="00493161">
        <w:rPr>
          <w:color w:val="000000" w:themeColor="text1"/>
        </w:rPr>
        <w:t xml:space="preserve"> lists the specific type of distributions employed, its statistical characteristics, and any relevant additional defining parameters (location, minimum, maximum, etc.) in comments.</w:t>
      </w:r>
    </w:p>
    <w:p w14:paraId="690754DF" w14:textId="77777777" w:rsidR="008F22B0" w:rsidRPr="00493161" w:rsidRDefault="008F22B0" w:rsidP="008F22B0">
      <w:pPr>
        <w:jc w:val="both"/>
        <w:rPr>
          <w:color w:val="000000" w:themeColor="text1"/>
        </w:rPr>
      </w:pPr>
    </w:p>
    <w:p w14:paraId="594FCF4B" w14:textId="77777777" w:rsidR="008F22B0" w:rsidRPr="00493161" w:rsidRDefault="008F22B0" w:rsidP="008F22B0">
      <w:pPr>
        <w:jc w:val="both"/>
        <w:rPr>
          <w:color w:val="000000" w:themeColor="text1"/>
        </w:rPr>
      </w:pPr>
    </w:p>
    <w:p w14:paraId="65D059BE" w14:textId="77777777" w:rsidR="008F22B0" w:rsidRPr="00493161" w:rsidRDefault="008F22B0" w:rsidP="008F22B0">
      <w:pPr>
        <w:jc w:val="both"/>
        <w:rPr>
          <w:color w:val="000000" w:themeColor="text1"/>
        </w:rPr>
      </w:pPr>
    </w:p>
    <w:p w14:paraId="050FC4A4" w14:textId="77777777" w:rsidR="008F22B0" w:rsidRPr="00493161" w:rsidRDefault="008F22B0" w:rsidP="008F22B0">
      <w:pPr>
        <w:jc w:val="both"/>
        <w:rPr>
          <w:color w:val="000000" w:themeColor="text1"/>
        </w:rPr>
      </w:pPr>
    </w:p>
    <w:p w14:paraId="48F7694C" w14:textId="77777777" w:rsidR="008F22B0" w:rsidRPr="00493161" w:rsidRDefault="008F22B0" w:rsidP="008F22B0">
      <w:pPr>
        <w:jc w:val="both"/>
        <w:rPr>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027"/>
      </w:tblGrid>
      <w:tr w:rsidR="008F22B0" w:rsidRPr="00493161" w14:paraId="220952D2" w14:textId="77777777" w:rsidTr="0008562F">
        <w:tc>
          <w:tcPr>
            <w:tcW w:w="5027" w:type="dxa"/>
          </w:tcPr>
          <w:p w14:paraId="568F5868" w14:textId="77777777" w:rsidR="008F22B0" w:rsidRPr="00493161" w:rsidRDefault="008F22B0" w:rsidP="0008562F">
            <w:pPr>
              <w:jc w:val="both"/>
              <w:rPr>
                <w:color w:val="000000" w:themeColor="text1"/>
              </w:rPr>
            </w:pPr>
            <w:r w:rsidRPr="00493161">
              <w:rPr>
                <w:noProof/>
                <w:color w:val="000000" w:themeColor="text1"/>
                <w:lang w:val="en-GB"/>
              </w:rPr>
              <w:object w:dxaOrig="10320" w:dyaOrig="5355" w14:anchorId="781952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1pt;height:123pt;mso-width-percent:0;mso-height-percent:0;mso-width-percent:0;mso-height-percent:0" o:ole="">
                  <v:imagedata r:id="rId7" o:title=""/>
                </v:shape>
                <o:OLEObject Type="Embed" ProgID="PBrush" ShapeID="_x0000_i1025" DrawAspect="Content" ObjectID="_1643141181" r:id="rId8"/>
              </w:object>
            </w:r>
          </w:p>
        </w:tc>
        <w:tc>
          <w:tcPr>
            <w:tcW w:w="5027" w:type="dxa"/>
          </w:tcPr>
          <w:p w14:paraId="543F78C7" w14:textId="77777777" w:rsidR="008F22B0" w:rsidRPr="00493161" w:rsidRDefault="008F22B0" w:rsidP="0008562F">
            <w:pPr>
              <w:jc w:val="both"/>
              <w:rPr>
                <w:color w:val="000000" w:themeColor="text1"/>
              </w:rPr>
            </w:pPr>
            <w:r w:rsidRPr="00493161">
              <w:rPr>
                <w:noProof/>
                <w:color w:val="000000" w:themeColor="text1"/>
                <w:lang w:val="en-GB"/>
              </w:rPr>
              <w:object w:dxaOrig="10320" w:dyaOrig="5355" w14:anchorId="7E7E5A60">
                <v:shape id="_x0000_i1026" type="#_x0000_t75" alt="" style="width:231pt;height:123pt;mso-width-percent:0;mso-height-percent:0;mso-width-percent:0;mso-height-percent:0" o:ole="">
                  <v:imagedata r:id="rId9" o:title=""/>
                </v:shape>
                <o:OLEObject Type="Embed" ProgID="PBrush" ShapeID="_x0000_i1026" DrawAspect="Content" ObjectID="_1643141182" r:id="rId10"/>
              </w:object>
            </w:r>
          </w:p>
        </w:tc>
      </w:tr>
      <w:tr w:rsidR="008F22B0" w:rsidRPr="00493161" w14:paraId="04098803" w14:textId="77777777" w:rsidTr="0008562F">
        <w:tc>
          <w:tcPr>
            <w:tcW w:w="5027" w:type="dxa"/>
          </w:tcPr>
          <w:p w14:paraId="5ABB04AD" w14:textId="77777777" w:rsidR="008F22B0" w:rsidRPr="00493161" w:rsidRDefault="008F22B0" w:rsidP="0008562F">
            <w:pPr>
              <w:jc w:val="center"/>
              <w:rPr>
                <w:color w:val="000000" w:themeColor="text1"/>
              </w:rPr>
            </w:pPr>
            <w:r w:rsidRPr="00493161">
              <w:rPr>
                <w:color w:val="000000" w:themeColor="text1"/>
              </w:rPr>
              <w:t>(a) Normal distribution</w:t>
            </w:r>
          </w:p>
        </w:tc>
        <w:tc>
          <w:tcPr>
            <w:tcW w:w="5027" w:type="dxa"/>
          </w:tcPr>
          <w:p w14:paraId="53AF3823" w14:textId="77777777" w:rsidR="008F22B0" w:rsidRPr="00493161" w:rsidRDefault="008F22B0" w:rsidP="0008562F">
            <w:pPr>
              <w:jc w:val="center"/>
              <w:rPr>
                <w:color w:val="000000" w:themeColor="text1"/>
              </w:rPr>
            </w:pPr>
            <w:r w:rsidRPr="00493161">
              <w:rPr>
                <w:color w:val="000000" w:themeColor="text1"/>
              </w:rPr>
              <w:t>(b) Log-normal distribution</w:t>
            </w:r>
          </w:p>
        </w:tc>
      </w:tr>
      <w:tr w:rsidR="008F22B0" w:rsidRPr="00493161" w14:paraId="3FA36DFD" w14:textId="77777777" w:rsidTr="0008562F">
        <w:tc>
          <w:tcPr>
            <w:tcW w:w="5027" w:type="dxa"/>
          </w:tcPr>
          <w:p w14:paraId="7CB380C7" w14:textId="77777777" w:rsidR="008F22B0" w:rsidRPr="00493161" w:rsidRDefault="008F22B0" w:rsidP="0008562F">
            <w:pPr>
              <w:jc w:val="both"/>
              <w:rPr>
                <w:color w:val="000000" w:themeColor="text1"/>
              </w:rPr>
            </w:pPr>
            <w:r w:rsidRPr="00493161">
              <w:rPr>
                <w:noProof/>
                <w:color w:val="000000" w:themeColor="text1"/>
                <w:lang w:val="en-GB"/>
              </w:rPr>
              <w:object w:dxaOrig="10320" w:dyaOrig="5445" w14:anchorId="505E147A">
                <v:shape id="_x0000_i1027" type="#_x0000_t75" alt="" style="width:231pt;height:122pt;mso-width-percent:0;mso-height-percent:0;mso-width-percent:0;mso-height-percent:0" o:ole="">
                  <v:imagedata r:id="rId11" o:title=""/>
                </v:shape>
                <o:OLEObject Type="Embed" ProgID="PBrush" ShapeID="_x0000_i1027" DrawAspect="Content" ObjectID="_1643141183" r:id="rId12"/>
              </w:object>
            </w:r>
          </w:p>
        </w:tc>
        <w:tc>
          <w:tcPr>
            <w:tcW w:w="5027" w:type="dxa"/>
          </w:tcPr>
          <w:p w14:paraId="0D603A26" w14:textId="77777777" w:rsidR="008F22B0" w:rsidRPr="00493161" w:rsidRDefault="008F22B0" w:rsidP="0008562F">
            <w:pPr>
              <w:jc w:val="both"/>
              <w:rPr>
                <w:color w:val="000000" w:themeColor="text1"/>
              </w:rPr>
            </w:pPr>
            <w:r w:rsidRPr="00493161">
              <w:rPr>
                <w:noProof/>
                <w:color w:val="000000" w:themeColor="text1"/>
                <w:lang w:val="en-GB"/>
              </w:rPr>
              <w:object w:dxaOrig="10320" w:dyaOrig="5370" w14:anchorId="4444730C">
                <v:shape id="_x0000_i1028" type="#_x0000_t75" alt="" style="width:231pt;height:121.5pt;mso-width-percent:0;mso-height-percent:0;mso-width-percent:0;mso-height-percent:0" o:ole="">
                  <v:imagedata r:id="rId13" o:title=""/>
                </v:shape>
                <o:OLEObject Type="Embed" ProgID="PBrush" ShapeID="_x0000_i1028" DrawAspect="Content" ObjectID="_1643141184" r:id="rId14"/>
              </w:object>
            </w:r>
          </w:p>
        </w:tc>
      </w:tr>
      <w:tr w:rsidR="008F22B0" w:rsidRPr="00493161" w14:paraId="60EFF6F0" w14:textId="77777777" w:rsidTr="0008562F">
        <w:tc>
          <w:tcPr>
            <w:tcW w:w="5027" w:type="dxa"/>
          </w:tcPr>
          <w:p w14:paraId="7BBF66DC" w14:textId="77777777" w:rsidR="008F22B0" w:rsidRPr="00493161" w:rsidRDefault="008F22B0" w:rsidP="0008562F">
            <w:pPr>
              <w:jc w:val="center"/>
              <w:rPr>
                <w:color w:val="000000" w:themeColor="text1"/>
              </w:rPr>
            </w:pPr>
            <w:r w:rsidRPr="00493161">
              <w:rPr>
                <w:color w:val="000000" w:themeColor="text1"/>
              </w:rPr>
              <w:t>(c) Beta distribution</w:t>
            </w:r>
          </w:p>
        </w:tc>
        <w:tc>
          <w:tcPr>
            <w:tcW w:w="5027" w:type="dxa"/>
          </w:tcPr>
          <w:p w14:paraId="78DA11F6" w14:textId="77777777" w:rsidR="008F22B0" w:rsidRPr="00493161" w:rsidRDefault="008F22B0" w:rsidP="0008562F">
            <w:pPr>
              <w:jc w:val="center"/>
              <w:rPr>
                <w:color w:val="000000" w:themeColor="text1"/>
              </w:rPr>
            </w:pPr>
            <w:r w:rsidRPr="00493161">
              <w:rPr>
                <w:color w:val="000000" w:themeColor="text1"/>
              </w:rPr>
              <w:t>(d) Min-extreme distribution</w:t>
            </w:r>
          </w:p>
        </w:tc>
      </w:tr>
      <w:tr w:rsidR="008F22B0" w:rsidRPr="00493161" w14:paraId="0AFB2407" w14:textId="77777777" w:rsidTr="0008562F">
        <w:tc>
          <w:tcPr>
            <w:tcW w:w="10054" w:type="dxa"/>
            <w:gridSpan w:val="2"/>
          </w:tcPr>
          <w:p w14:paraId="70E136AB" w14:textId="77777777" w:rsidR="008F22B0" w:rsidRPr="00493161" w:rsidRDefault="008F22B0" w:rsidP="0008562F">
            <w:pPr>
              <w:jc w:val="center"/>
              <w:rPr>
                <w:color w:val="000000" w:themeColor="text1"/>
              </w:rPr>
            </w:pPr>
            <w:r w:rsidRPr="00493161">
              <w:rPr>
                <w:noProof/>
                <w:color w:val="000000" w:themeColor="text1"/>
                <w:lang w:val="en-GB"/>
              </w:rPr>
              <w:object w:dxaOrig="10305" w:dyaOrig="5370" w14:anchorId="10FE6E53">
                <v:shape id="_x0000_i1029" type="#_x0000_t75" alt="" style="width:229.5pt;height:121.5pt;mso-width-percent:0;mso-height-percent:0;mso-width-percent:0;mso-height-percent:0" o:ole="">
                  <v:imagedata r:id="rId15" o:title=""/>
                </v:shape>
                <o:OLEObject Type="Embed" ProgID="PBrush" ShapeID="_x0000_i1029" DrawAspect="Content" ObjectID="_1643141185" r:id="rId16"/>
              </w:object>
            </w:r>
          </w:p>
        </w:tc>
      </w:tr>
      <w:tr w:rsidR="008F22B0" w:rsidRPr="00493161" w14:paraId="5E7D936B" w14:textId="77777777" w:rsidTr="0008562F">
        <w:tc>
          <w:tcPr>
            <w:tcW w:w="10054" w:type="dxa"/>
            <w:gridSpan w:val="2"/>
          </w:tcPr>
          <w:p w14:paraId="5FA1D537" w14:textId="77777777" w:rsidR="008F22B0" w:rsidRPr="00493161" w:rsidRDefault="008F22B0" w:rsidP="0008562F">
            <w:pPr>
              <w:jc w:val="center"/>
              <w:rPr>
                <w:color w:val="000000" w:themeColor="text1"/>
              </w:rPr>
            </w:pPr>
            <w:r w:rsidRPr="00493161">
              <w:rPr>
                <w:color w:val="000000" w:themeColor="text1"/>
              </w:rPr>
              <w:t>(e) "Yes-No" distribution</w:t>
            </w:r>
          </w:p>
        </w:tc>
      </w:tr>
    </w:tbl>
    <w:p w14:paraId="128D540E" w14:textId="5A4E4F25" w:rsidR="008F22B0" w:rsidRPr="00493161" w:rsidRDefault="008F22B0" w:rsidP="008F22B0">
      <w:pPr>
        <w:pStyle w:val="Caption"/>
        <w:spacing w:after="0"/>
        <w:jc w:val="center"/>
        <w:rPr>
          <w:b w:val="0"/>
          <w:bCs/>
          <w:color w:val="000000" w:themeColor="text1"/>
        </w:rPr>
      </w:pPr>
      <w:bookmarkStart w:id="1" w:name="_Ref21270426"/>
      <w:r w:rsidRPr="00493161">
        <w:rPr>
          <w:b w:val="0"/>
          <w:bCs/>
          <w:color w:val="000000" w:themeColor="text1"/>
        </w:rPr>
        <w:t xml:space="preserve">Figure </w:t>
      </w:r>
      <w:r w:rsidRPr="00493161">
        <w:rPr>
          <w:b w:val="0"/>
          <w:bCs/>
          <w:color w:val="000000" w:themeColor="text1"/>
        </w:rPr>
        <w:fldChar w:fldCharType="begin"/>
      </w:r>
      <w:r w:rsidRPr="00493161">
        <w:rPr>
          <w:b w:val="0"/>
          <w:bCs/>
          <w:color w:val="000000" w:themeColor="text1"/>
        </w:rPr>
        <w:instrText xml:space="preserve"> SEQ Figure \* ARABIC </w:instrText>
      </w:r>
      <w:r w:rsidRPr="00493161">
        <w:rPr>
          <w:b w:val="0"/>
          <w:bCs/>
          <w:color w:val="000000" w:themeColor="text1"/>
        </w:rPr>
        <w:fldChar w:fldCharType="separate"/>
      </w:r>
      <w:r>
        <w:rPr>
          <w:b w:val="0"/>
          <w:bCs/>
          <w:noProof/>
          <w:color w:val="000000" w:themeColor="text1"/>
        </w:rPr>
        <w:t>10</w:t>
      </w:r>
      <w:r w:rsidRPr="00493161">
        <w:rPr>
          <w:b w:val="0"/>
          <w:bCs/>
          <w:color w:val="000000" w:themeColor="text1"/>
        </w:rPr>
        <w:fldChar w:fldCharType="end"/>
      </w:r>
      <w:bookmarkEnd w:id="1"/>
      <w:r w:rsidRPr="00493161">
        <w:rPr>
          <w:b w:val="0"/>
          <w:bCs/>
          <w:color w:val="000000" w:themeColor="text1"/>
        </w:rPr>
        <w:t>: Illustration of the probability distributions considered in the present study and their associated defining parameters: (a) Normal distribution (b) Log-normal distribution (c) Beta distribution (d) Min-extreme distribution (e) "Yes-No" distribution</w:t>
      </w:r>
      <w:r w:rsidR="00044B86">
        <w:rPr>
          <w:b w:val="0"/>
          <w:bCs/>
          <w:color w:val="000000" w:themeColor="text1"/>
        </w:rPr>
        <w:t>.</w:t>
      </w:r>
      <w:bookmarkStart w:id="2" w:name="_GoBack"/>
      <w:bookmarkEnd w:id="2"/>
    </w:p>
    <w:p w14:paraId="52DE4AF1" w14:textId="77777777" w:rsidR="008F22B0" w:rsidRPr="00493161" w:rsidRDefault="008F22B0" w:rsidP="008F22B0">
      <w:pPr>
        <w:rPr>
          <w:color w:val="000000" w:themeColor="text1"/>
        </w:rPr>
      </w:pPr>
    </w:p>
    <w:p w14:paraId="34EDDFAF" w14:textId="77777777" w:rsidR="008F22B0" w:rsidRPr="00493161" w:rsidRDefault="008F22B0" w:rsidP="008F22B0">
      <w:pPr>
        <w:jc w:val="center"/>
        <w:rPr>
          <w:color w:val="000000" w:themeColor="text1"/>
        </w:rPr>
      </w:pPr>
      <w:r w:rsidRPr="00493161">
        <w:rPr>
          <w:color w:val="000000" w:themeColor="text1"/>
        </w:rPr>
        <w:br w:type="page"/>
      </w:r>
    </w:p>
    <w:p w14:paraId="24AB1823" w14:textId="77777777" w:rsidR="008F22B0" w:rsidRPr="00493161" w:rsidRDefault="008F22B0" w:rsidP="008F22B0">
      <w:pPr>
        <w:pStyle w:val="Heading6"/>
        <w:spacing w:after="120"/>
        <w:rPr>
          <w:color w:val="000000" w:themeColor="text1"/>
        </w:rPr>
      </w:pPr>
      <w:bookmarkStart w:id="3" w:name="_Ref21640497"/>
      <w:r w:rsidRPr="00493161">
        <w:rPr>
          <w:color w:val="000000" w:themeColor="text1"/>
        </w:rPr>
        <w:lastRenderedPageBreak/>
        <w:t>: CO</w:t>
      </w:r>
      <w:r w:rsidRPr="00493161">
        <w:rPr>
          <w:color w:val="000000" w:themeColor="text1"/>
          <w:vertAlign w:val="subscript"/>
        </w:rPr>
        <w:t>2</w:t>
      </w:r>
      <w:r w:rsidRPr="00493161">
        <w:rPr>
          <w:color w:val="000000" w:themeColor="text1"/>
        </w:rPr>
        <w:t xml:space="preserve"> avoidance cost and share of avoided emissions of the WtE plant with CO</w:t>
      </w:r>
      <w:r w:rsidRPr="00493161">
        <w:rPr>
          <w:color w:val="000000" w:themeColor="text1"/>
          <w:vertAlign w:val="subscript"/>
        </w:rPr>
        <w:t>2</w:t>
      </w:r>
      <w:r w:rsidRPr="00493161">
        <w:rPr>
          <w:color w:val="000000" w:themeColor="text1"/>
        </w:rPr>
        <w:t xml:space="preserve"> capture for different installed capacity factor</w:t>
      </w:r>
      <w:bookmarkEnd w:id="3"/>
    </w:p>
    <w:p w14:paraId="52C9CF34" w14:textId="5FEB2098" w:rsidR="008F22B0" w:rsidRPr="00493161" w:rsidRDefault="008F22B0" w:rsidP="008F22B0">
      <w:pPr>
        <w:pStyle w:val="Caption"/>
        <w:jc w:val="center"/>
        <w:rPr>
          <w:b w:val="0"/>
          <w:bCs/>
          <w:color w:val="000000" w:themeColor="text1"/>
        </w:rPr>
      </w:pPr>
      <w:r w:rsidRPr="00493161">
        <w:rPr>
          <w:noProof/>
          <w:color w:val="000000" w:themeColor="text1"/>
        </w:rPr>
        <w:drawing>
          <wp:inline distT="0" distB="0" distL="0" distR="0" wp14:anchorId="3EA43E65" wp14:editId="3DFA8CA5">
            <wp:extent cx="6390640" cy="3771900"/>
            <wp:effectExtent l="0" t="0" r="0" b="0"/>
            <wp:docPr id="13" name="Chart 13">
              <a:extLst xmlns:a="http://schemas.openxmlformats.org/drawingml/2006/main">
                <a:ext uri="{FF2B5EF4-FFF2-40B4-BE49-F238E27FC236}">
                  <a16:creationId xmlns:a16="http://schemas.microsoft.com/office/drawing/2014/main" id="{537BE1EC-7117-400B-BCEE-1149C8E3B51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Pr="00493161">
        <w:rPr>
          <w:noProof/>
          <w:color w:val="000000" w:themeColor="text1"/>
        </w:rPr>
        <w:t xml:space="preserve"> </w:t>
      </w:r>
      <w:r w:rsidRPr="00493161">
        <w:rPr>
          <w:b w:val="0"/>
          <w:color w:val="000000" w:themeColor="text1"/>
        </w:rPr>
        <w:t xml:space="preserve">Figure </w:t>
      </w:r>
      <w:r w:rsidRPr="00493161">
        <w:rPr>
          <w:b w:val="0"/>
          <w:color w:val="000000" w:themeColor="text1"/>
        </w:rPr>
        <w:fldChar w:fldCharType="begin"/>
      </w:r>
      <w:r w:rsidRPr="00493161">
        <w:rPr>
          <w:b w:val="0"/>
          <w:color w:val="000000" w:themeColor="text1"/>
        </w:rPr>
        <w:instrText xml:space="preserve"> SEQ Figure \* ARABIC </w:instrText>
      </w:r>
      <w:r w:rsidRPr="00493161">
        <w:rPr>
          <w:b w:val="0"/>
          <w:color w:val="000000" w:themeColor="text1"/>
        </w:rPr>
        <w:fldChar w:fldCharType="separate"/>
      </w:r>
      <w:r>
        <w:rPr>
          <w:b w:val="0"/>
          <w:noProof/>
          <w:color w:val="000000" w:themeColor="text1"/>
        </w:rPr>
        <w:t>11</w:t>
      </w:r>
      <w:r w:rsidRPr="00493161">
        <w:rPr>
          <w:b w:val="0"/>
          <w:color w:val="000000" w:themeColor="text1"/>
        </w:rPr>
        <w:fldChar w:fldCharType="end"/>
      </w:r>
      <w:r w:rsidRPr="00493161">
        <w:rPr>
          <w:b w:val="0"/>
          <w:color w:val="000000" w:themeColor="text1"/>
        </w:rPr>
        <w:t>: CO</w:t>
      </w:r>
      <w:r w:rsidRPr="00493161">
        <w:rPr>
          <w:b w:val="0"/>
          <w:color w:val="000000" w:themeColor="text1"/>
          <w:vertAlign w:val="subscript"/>
        </w:rPr>
        <w:t>2</w:t>
      </w:r>
      <w:r w:rsidRPr="00493161">
        <w:rPr>
          <w:b w:val="0"/>
          <w:color w:val="000000" w:themeColor="text1"/>
        </w:rPr>
        <w:t xml:space="preserve"> avoidance cost breakdown and share of avoided emissions for MEA-based CO</w:t>
      </w:r>
      <w:r w:rsidRPr="00493161">
        <w:rPr>
          <w:b w:val="0"/>
          <w:color w:val="000000" w:themeColor="text1"/>
          <w:vertAlign w:val="subscript"/>
        </w:rPr>
        <w:t>2</w:t>
      </w:r>
      <w:r w:rsidRPr="00493161">
        <w:rPr>
          <w:b w:val="0"/>
          <w:color w:val="000000" w:themeColor="text1"/>
        </w:rPr>
        <w:t xml:space="preserve"> capture depending on the installed capacity factor</w:t>
      </w:r>
      <w:r w:rsidR="00044B86">
        <w:rPr>
          <w:b w:val="0"/>
          <w:color w:val="000000" w:themeColor="text1"/>
        </w:rPr>
        <w:t>.</w:t>
      </w:r>
    </w:p>
    <w:p w14:paraId="231EEB96" w14:textId="77777777" w:rsidR="008F22B0" w:rsidRPr="00493161" w:rsidRDefault="008F22B0" w:rsidP="008F22B0">
      <w:pPr>
        <w:rPr>
          <w:color w:val="000000" w:themeColor="text1"/>
        </w:rPr>
      </w:pPr>
    </w:p>
    <w:p w14:paraId="7440B055" w14:textId="77777777" w:rsidR="008F22B0" w:rsidRPr="00493161" w:rsidRDefault="008F22B0" w:rsidP="008F22B0">
      <w:pPr>
        <w:jc w:val="center"/>
        <w:rPr>
          <w:color w:val="000000" w:themeColor="text1"/>
        </w:rPr>
      </w:pPr>
      <w:r w:rsidRPr="00493161">
        <w:rPr>
          <w:noProof/>
          <w:color w:val="000000" w:themeColor="text1"/>
        </w:rPr>
        <w:drawing>
          <wp:inline distT="0" distB="0" distL="0" distR="0" wp14:anchorId="4FF27B9E" wp14:editId="247D48E6">
            <wp:extent cx="6390640" cy="3838575"/>
            <wp:effectExtent l="0" t="0" r="0" b="0"/>
            <wp:docPr id="24" name="Chart 24">
              <a:extLst xmlns:a="http://schemas.openxmlformats.org/drawingml/2006/main">
                <a:ext uri="{FF2B5EF4-FFF2-40B4-BE49-F238E27FC236}">
                  <a16:creationId xmlns:a16="http://schemas.microsoft.com/office/drawing/2014/main" id="{4B59C9CB-6CA8-4B7E-A709-1F3FD334F0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70B99AB9" w14:textId="5A17D8F5" w:rsidR="008F22B0" w:rsidRPr="00493161" w:rsidRDefault="008F22B0" w:rsidP="008F22B0">
      <w:pPr>
        <w:pStyle w:val="Caption"/>
        <w:jc w:val="center"/>
        <w:rPr>
          <w:b w:val="0"/>
          <w:bCs/>
          <w:color w:val="000000" w:themeColor="text1"/>
        </w:rPr>
      </w:pPr>
      <w:r w:rsidRPr="00493161">
        <w:rPr>
          <w:b w:val="0"/>
          <w:color w:val="000000" w:themeColor="text1"/>
        </w:rPr>
        <w:t xml:space="preserve">Figure </w:t>
      </w:r>
      <w:r w:rsidRPr="00493161">
        <w:rPr>
          <w:b w:val="0"/>
          <w:color w:val="000000" w:themeColor="text1"/>
        </w:rPr>
        <w:fldChar w:fldCharType="begin"/>
      </w:r>
      <w:r w:rsidRPr="00493161">
        <w:rPr>
          <w:b w:val="0"/>
          <w:color w:val="000000" w:themeColor="text1"/>
        </w:rPr>
        <w:instrText xml:space="preserve"> SEQ Figure \* ARABIC </w:instrText>
      </w:r>
      <w:r w:rsidRPr="00493161">
        <w:rPr>
          <w:b w:val="0"/>
          <w:color w:val="000000" w:themeColor="text1"/>
        </w:rPr>
        <w:fldChar w:fldCharType="separate"/>
      </w:r>
      <w:r>
        <w:rPr>
          <w:b w:val="0"/>
          <w:noProof/>
          <w:color w:val="000000" w:themeColor="text1"/>
        </w:rPr>
        <w:t>12</w:t>
      </w:r>
      <w:r w:rsidRPr="00493161">
        <w:rPr>
          <w:b w:val="0"/>
          <w:color w:val="000000" w:themeColor="text1"/>
        </w:rPr>
        <w:fldChar w:fldCharType="end"/>
      </w:r>
      <w:r w:rsidRPr="00493161">
        <w:rPr>
          <w:b w:val="0"/>
          <w:color w:val="000000" w:themeColor="text1"/>
        </w:rPr>
        <w:t>: CO</w:t>
      </w:r>
      <w:r w:rsidRPr="00493161">
        <w:rPr>
          <w:b w:val="0"/>
          <w:color w:val="000000" w:themeColor="text1"/>
          <w:vertAlign w:val="subscript"/>
        </w:rPr>
        <w:t>2</w:t>
      </w:r>
      <w:r w:rsidRPr="00493161">
        <w:rPr>
          <w:b w:val="0"/>
          <w:color w:val="000000" w:themeColor="text1"/>
        </w:rPr>
        <w:t xml:space="preserve"> avoidance cost breakdown and share of avoided emissions for advanced solvent-based CO</w:t>
      </w:r>
      <w:r w:rsidRPr="00493161">
        <w:rPr>
          <w:b w:val="0"/>
          <w:color w:val="000000" w:themeColor="text1"/>
          <w:vertAlign w:val="subscript"/>
        </w:rPr>
        <w:t>2</w:t>
      </w:r>
      <w:r w:rsidRPr="00493161">
        <w:rPr>
          <w:b w:val="0"/>
          <w:color w:val="000000" w:themeColor="text1"/>
        </w:rPr>
        <w:t xml:space="preserve"> capture depending on the installed capacity factor</w:t>
      </w:r>
      <w:r w:rsidR="00044B86">
        <w:rPr>
          <w:b w:val="0"/>
          <w:color w:val="000000" w:themeColor="text1"/>
        </w:rPr>
        <w:t>.</w:t>
      </w:r>
    </w:p>
    <w:p w14:paraId="1B719023" w14:textId="77777777" w:rsidR="008F22B0" w:rsidRPr="00493161" w:rsidRDefault="008F22B0" w:rsidP="008F22B0">
      <w:pPr>
        <w:rPr>
          <w:color w:val="000000" w:themeColor="text1"/>
        </w:rPr>
      </w:pPr>
    </w:p>
    <w:p w14:paraId="6EB35BF7" w14:textId="77777777" w:rsidR="008F22B0" w:rsidRPr="00493161" w:rsidRDefault="008F22B0" w:rsidP="008F22B0">
      <w:pPr>
        <w:jc w:val="center"/>
        <w:rPr>
          <w:color w:val="000000" w:themeColor="text1"/>
        </w:rPr>
      </w:pPr>
      <w:r w:rsidRPr="00493161">
        <w:rPr>
          <w:noProof/>
          <w:color w:val="000000" w:themeColor="text1"/>
        </w:rPr>
        <w:lastRenderedPageBreak/>
        <w:drawing>
          <wp:inline distT="0" distB="0" distL="0" distR="0" wp14:anchorId="756253A0" wp14:editId="582F2A8B">
            <wp:extent cx="6390640" cy="3743325"/>
            <wp:effectExtent l="0" t="0" r="0" b="0"/>
            <wp:docPr id="25" name="Chart 25">
              <a:extLst xmlns:a="http://schemas.openxmlformats.org/drawingml/2006/main">
                <a:ext uri="{FF2B5EF4-FFF2-40B4-BE49-F238E27FC236}">
                  <a16:creationId xmlns:a16="http://schemas.microsoft.com/office/drawing/2014/main" id="{7FE5B2CE-C91B-4EAA-97A1-523931D24E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1DBF6FB" w14:textId="4AEBFB63" w:rsidR="008F22B0" w:rsidRPr="00493161" w:rsidRDefault="008F22B0" w:rsidP="008F22B0">
      <w:pPr>
        <w:pStyle w:val="Caption"/>
        <w:jc w:val="center"/>
        <w:rPr>
          <w:b w:val="0"/>
          <w:bCs/>
          <w:color w:val="000000" w:themeColor="text1"/>
        </w:rPr>
      </w:pPr>
      <w:r w:rsidRPr="00493161">
        <w:rPr>
          <w:b w:val="0"/>
          <w:color w:val="000000" w:themeColor="text1"/>
        </w:rPr>
        <w:t xml:space="preserve">Figure </w:t>
      </w:r>
      <w:r w:rsidRPr="00493161">
        <w:rPr>
          <w:b w:val="0"/>
          <w:color w:val="000000" w:themeColor="text1"/>
        </w:rPr>
        <w:fldChar w:fldCharType="begin"/>
      </w:r>
      <w:r w:rsidRPr="00493161">
        <w:rPr>
          <w:b w:val="0"/>
          <w:color w:val="000000" w:themeColor="text1"/>
        </w:rPr>
        <w:instrText xml:space="preserve"> SEQ Figure \* ARABIC </w:instrText>
      </w:r>
      <w:r w:rsidRPr="00493161">
        <w:rPr>
          <w:b w:val="0"/>
          <w:color w:val="000000" w:themeColor="text1"/>
        </w:rPr>
        <w:fldChar w:fldCharType="separate"/>
      </w:r>
      <w:r>
        <w:rPr>
          <w:b w:val="0"/>
          <w:noProof/>
          <w:color w:val="000000" w:themeColor="text1"/>
        </w:rPr>
        <w:t>13</w:t>
      </w:r>
      <w:r w:rsidRPr="00493161">
        <w:rPr>
          <w:b w:val="0"/>
          <w:color w:val="000000" w:themeColor="text1"/>
        </w:rPr>
        <w:fldChar w:fldCharType="end"/>
      </w:r>
      <w:r w:rsidRPr="00493161">
        <w:rPr>
          <w:b w:val="0"/>
          <w:color w:val="000000" w:themeColor="text1"/>
        </w:rPr>
        <w:t>: CO</w:t>
      </w:r>
      <w:r w:rsidRPr="00493161">
        <w:rPr>
          <w:b w:val="0"/>
          <w:color w:val="000000" w:themeColor="text1"/>
          <w:vertAlign w:val="subscript"/>
        </w:rPr>
        <w:t>2</w:t>
      </w:r>
      <w:r w:rsidRPr="00493161">
        <w:rPr>
          <w:b w:val="0"/>
          <w:color w:val="000000" w:themeColor="text1"/>
        </w:rPr>
        <w:t xml:space="preserve"> avoidance cost breakdown and share of avoided emissions for membrane-based CO</w:t>
      </w:r>
      <w:r w:rsidRPr="00493161">
        <w:rPr>
          <w:b w:val="0"/>
          <w:color w:val="000000" w:themeColor="text1"/>
          <w:vertAlign w:val="subscript"/>
        </w:rPr>
        <w:t>2</w:t>
      </w:r>
      <w:r w:rsidRPr="00493161">
        <w:rPr>
          <w:b w:val="0"/>
          <w:color w:val="000000" w:themeColor="text1"/>
        </w:rPr>
        <w:t xml:space="preserve"> capture depending on the installed capacity factor</w:t>
      </w:r>
      <w:r w:rsidR="00044B86">
        <w:rPr>
          <w:b w:val="0"/>
          <w:color w:val="000000" w:themeColor="text1"/>
        </w:rPr>
        <w:t>.</w:t>
      </w:r>
    </w:p>
    <w:p w14:paraId="1E9EFCE3" w14:textId="77777777" w:rsidR="008F22B0" w:rsidRPr="00493161" w:rsidRDefault="008F22B0" w:rsidP="008F22B0">
      <w:pPr>
        <w:rPr>
          <w:color w:val="000000" w:themeColor="text1"/>
        </w:rPr>
      </w:pPr>
    </w:p>
    <w:p w14:paraId="54585420" w14:textId="77777777" w:rsidR="008F22B0" w:rsidRPr="00493161" w:rsidRDefault="008F22B0" w:rsidP="008F22B0">
      <w:pPr>
        <w:pStyle w:val="Heading6"/>
        <w:spacing w:after="120"/>
        <w:rPr>
          <w:color w:val="000000" w:themeColor="text1"/>
        </w:rPr>
      </w:pPr>
      <w:bookmarkStart w:id="4" w:name="_Ref20819425"/>
      <w:r w:rsidRPr="00493161">
        <w:rPr>
          <w:color w:val="000000" w:themeColor="text1"/>
        </w:rPr>
        <w:t>: Annual CO</w:t>
      </w:r>
      <w:r w:rsidRPr="00493161">
        <w:rPr>
          <w:color w:val="000000" w:themeColor="text1"/>
          <w:vertAlign w:val="subscript"/>
        </w:rPr>
        <w:t>2</w:t>
      </w:r>
      <w:r w:rsidRPr="00493161">
        <w:rPr>
          <w:color w:val="000000" w:themeColor="text1"/>
        </w:rPr>
        <w:t xml:space="preserve"> flows evolution in different sections of chain D (transport and storage)</w:t>
      </w:r>
      <w:bookmarkEnd w:id="4"/>
    </w:p>
    <w:p w14:paraId="5BA02A49" w14:textId="77777777" w:rsidR="008F22B0" w:rsidRPr="00493161" w:rsidRDefault="008F22B0" w:rsidP="008F22B0">
      <w:pPr>
        <w:rPr>
          <w:color w:val="000000" w:themeColor="text1"/>
        </w:rPr>
      </w:pPr>
    </w:p>
    <w:p w14:paraId="2A832A7B" w14:textId="77777777" w:rsidR="008F22B0" w:rsidRPr="00493161" w:rsidRDefault="008F22B0" w:rsidP="008F22B0">
      <w:pPr>
        <w:jc w:val="center"/>
        <w:rPr>
          <w:color w:val="000000" w:themeColor="text1"/>
        </w:rPr>
      </w:pPr>
      <w:r w:rsidRPr="00493161">
        <w:rPr>
          <w:noProof/>
          <w:color w:val="000000" w:themeColor="text1"/>
        </w:rPr>
        <w:drawing>
          <wp:inline distT="0" distB="0" distL="0" distR="0" wp14:anchorId="247FF56F" wp14:editId="5BF75C1E">
            <wp:extent cx="5095875" cy="3824287"/>
            <wp:effectExtent l="0" t="0" r="0" b="5080"/>
            <wp:docPr id="26" name="Chart 26">
              <a:extLst xmlns:a="http://schemas.openxmlformats.org/drawingml/2006/main">
                <a:ext uri="{FF2B5EF4-FFF2-40B4-BE49-F238E27FC236}">
                  <a16:creationId xmlns:a16="http://schemas.microsoft.com/office/drawing/2014/main" id="{8AECB6AA-87B9-47A1-AD06-0E7B73FBF4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60F7528" w14:textId="6F7732FD" w:rsidR="008F22B0" w:rsidRPr="00044B86" w:rsidRDefault="008F22B0" w:rsidP="00044B86">
      <w:pPr>
        <w:pStyle w:val="Caption"/>
        <w:jc w:val="center"/>
        <w:rPr>
          <w:b w:val="0"/>
          <w:color w:val="000000" w:themeColor="text1"/>
        </w:rPr>
      </w:pPr>
      <w:r w:rsidRPr="00493161">
        <w:rPr>
          <w:b w:val="0"/>
          <w:color w:val="000000" w:themeColor="text1"/>
        </w:rPr>
        <w:t xml:space="preserve">Figure </w:t>
      </w:r>
      <w:r w:rsidRPr="00493161">
        <w:rPr>
          <w:b w:val="0"/>
          <w:color w:val="000000" w:themeColor="text1"/>
        </w:rPr>
        <w:fldChar w:fldCharType="begin"/>
      </w:r>
      <w:r w:rsidRPr="00493161">
        <w:rPr>
          <w:b w:val="0"/>
          <w:color w:val="000000" w:themeColor="text1"/>
        </w:rPr>
        <w:instrText xml:space="preserve"> SEQ Figure \* ARABIC </w:instrText>
      </w:r>
      <w:r w:rsidRPr="00493161">
        <w:rPr>
          <w:b w:val="0"/>
          <w:color w:val="000000" w:themeColor="text1"/>
        </w:rPr>
        <w:fldChar w:fldCharType="separate"/>
      </w:r>
      <w:r>
        <w:rPr>
          <w:b w:val="0"/>
          <w:noProof/>
          <w:color w:val="000000" w:themeColor="text1"/>
        </w:rPr>
        <w:t>14</w:t>
      </w:r>
      <w:r w:rsidRPr="00493161">
        <w:rPr>
          <w:b w:val="0"/>
          <w:color w:val="000000" w:themeColor="text1"/>
        </w:rPr>
        <w:fldChar w:fldCharType="end"/>
      </w:r>
      <w:r w:rsidRPr="00493161">
        <w:rPr>
          <w:b w:val="0"/>
          <w:color w:val="000000" w:themeColor="text1"/>
        </w:rPr>
        <w:t>: Annual CO</w:t>
      </w:r>
      <w:r w:rsidRPr="00493161">
        <w:rPr>
          <w:b w:val="0"/>
          <w:color w:val="000000" w:themeColor="text1"/>
          <w:vertAlign w:val="subscript"/>
        </w:rPr>
        <w:t>2</w:t>
      </w:r>
      <w:r w:rsidRPr="00493161">
        <w:rPr>
          <w:b w:val="0"/>
          <w:color w:val="000000" w:themeColor="text1"/>
        </w:rPr>
        <w:t xml:space="preserve"> flows evolution in the different section of chain D: CO</w:t>
      </w:r>
      <w:r w:rsidRPr="00493161">
        <w:rPr>
          <w:b w:val="0"/>
          <w:color w:val="000000" w:themeColor="text1"/>
          <w:vertAlign w:val="subscript"/>
        </w:rPr>
        <w:t>2</w:t>
      </w:r>
      <w:r w:rsidRPr="00493161">
        <w:rPr>
          <w:b w:val="0"/>
          <w:color w:val="000000" w:themeColor="text1"/>
        </w:rPr>
        <w:t xml:space="preserve"> imported via ship, imported CO</w:t>
      </w:r>
      <w:r w:rsidRPr="00493161">
        <w:rPr>
          <w:b w:val="0"/>
          <w:color w:val="000000" w:themeColor="text1"/>
          <w:vertAlign w:val="subscript"/>
        </w:rPr>
        <w:t>2</w:t>
      </w:r>
      <w:r w:rsidRPr="00493161">
        <w:rPr>
          <w:b w:val="0"/>
          <w:color w:val="000000" w:themeColor="text1"/>
        </w:rPr>
        <w:t xml:space="preserve"> injected in the EOR storage, and excess imported CO</w:t>
      </w:r>
      <w:r w:rsidRPr="00493161">
        <w:rPr>
          <w:b w:val="0"/>
          <w:color w:val="000000" w:themeColor="text1"/>
          <w:vertAlign w:val="subscript"/>
        </w:rPr>
        <w:t>2</w:t>
      </w:r>
      <w:r w:rsidRPr="00493161">
        <w:rPr>
          <w:b w:val="0"/>
          <w:color w:val="000000" w:themeColor="text1"/>
        </w:rPr>
        <w:t xml:space="preserve"> injected in the EOR storage</w:t>
      </w:r>
      <w:r w:rsidR="00044B86">
        <w:rPr>
          <w:b w:val="0"/>
          <w:color w:val="000000" w:themeColor="text1"/>
        </w:rPr>
        <w:t>.</w:t>
      </w:r>
    </w:p>
    <w:sectPr w:rsidR="008F22B0" w:rsidRPr="00044B86" w:rsidSect="001C55CD">
      <w:headerReference w:type="default" r:id="rId21"/>
      <w:footerReference w:type="default" r:id="rId22"/>
      <w:headerReference w:type="first" r:id="rId23"/>
      <w:footerReference w:type="first" r:id="rId24"/>
      <w:pgSz w:w="11907" w:h="16840" w:code="9"/>
      <w:pgMar w:top="567" w:right="851" w:bottom="851" w:left="992" w:header="340" w:footer="68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6DF51" w14:textId="77777777" w:rsidR="00E0365E" w:rsidRDefault="00E0365E">
      <w:r>
        <w:separator/>
      </w:r>
    </w:p>
  </w:endnote>
  <w:endnote w:type="continuationSeparator" w:id="0">
    <w:p w14:paraId="70242CF6" w14:textId="77777777" w:rsidR="00E0365E" w:rsidRDefault="00E03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0819598"/>
      <w:docPartObj>
        <w:docPartGallery w:val="Page Numbers (Bottom of Page)"/>
        <w:docPartUnique/>
      </w:docPartObj>
    </w:sdtPr>
    <w:sdtEndPr>
      <w:rPr>
        <w:noProof/>
      </w:rPr>
    </w:sdtEndPr>
    <w:sdtContent>
      <w:p w14:paraId="07EA6257" w14:textId="77777777" w:rsidR="00742F84" w:rsidRDefault="008F22B0">
        <w:pPr>
          <w:pStyle w:val="Footer"/>
          <w:jc w:val="right"/>
        </w:pPr>
        <w:r>
          <w:fldChar w:fldCharType="begin"/>
        </w:r>
        <w:r>
          <w:instrText xml:space="preserve"> PAGE   \* MERGEFORMAT </w:instrText>
        </w:r>
        <w:r>
          <w:fldChar w:fldCharType="separate"/>
        </w:r>
        <w:r>
          <w:rPr>
            <w:noProof/>
          </w:rPr>
          <w:t>31</w:t>
        </w:r>
        <w:r>
          <w:rPr>
            <w:noProof/>
          </w:rPr>
          <w:fldChar w:fldCharType="end"/>
        </w:r>
      </w:p>
    </w:sdtContent>
  </w:sdt>
  <w:p w14:paraId="45CB4B18" w14:textId="77777777" w:rsidR="00742F84" w:rsidRDefault="00E03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443074"/>
      <w:docPartObj>
        <w:docPartGallery w:val="Page Numbers (Bottom of Page)"/>
        <w:docPartUnique/>
      </w:docPartObj>
    </w:sdtPr>
    <w:sdtEndPr>
      <w:rPr>
        <w:noProof/>
      </w:rPr>
    </w:sdtEndPr>
    <w:sdtContent>
      <w:p w14:paraId="7BA3A0FA" w14:textId="77777777" w:rsidR="00742F84" w:rsidRDefault="008F22B0">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F6385DD" w14:textId="77777777" w:rsidR="00742F84" w:rsidRDefault="00E03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88C12" w14:textId="77777777" w:rsidR="00E0365E" w:rsidRDefault="00E0365E">
      <w:r>
        <w:separator/>
      </w:r>
    </w:p>
  </w:footnote>
  <w:footnote w:type="continuationSeparator" w:id="0">
    <w:p w14:paraId="06E501C0" w14:textId="77777777" w:rsidR="00E0365E" w:rsidRDefault="00E036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5DEF7" w14:textId="77777777" w:rsidR="00742F84" w:rsidRDefault="00E0365E">
    <w:pPr>
      <w:pStyle w:val="Header"/>
    </w:pPr>
  </w:p>
  <w:p w14:paraId="7F976B10" w14:textId="77777777" w:rsidR="00742F84" w:rsidRDefault="00E03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55"/>
      <w:gridCol w:w="3355"/>
      <w:gridCol w:w="3355"/>
    </w:tblGrid>
    <w:tr w:rsidR="00742F84" w14:paraId="13EB2E6B" w14:textId="77777777" w:rsidTr="2E9D1B46">
      <w:tc>
        <w:tcPr>
          <w:tcW w:w="3355" w:type="dxa"/>
        </w:tcPr>
        <w:p w14:paraId="376F3EDB" w14:textId="77777777" w:rsidR="00742F84" w:rsidRDefault="00E0365E" w:rsidP="2E9D1B46">
          <w:pPr>
            <w:pStyle w:val="Header"/>
            <w:ind w:left="-115"/>
          </w:pPr>
        </w:p>
      </w:tc>
      <w:tc>
        <w:tcPr>
          <w:tcW w:w="3355" w:type="dxa"/>
        </w:tcPr>
        <w:p w14:paraId="41CB3691" w14:textId="77777777" w:rsidR="00742F84" w:rsidRDefault="00E0365E" w:rsidP="2E9D1B46">
          <w:pPr>
            <w:pStyle w:val="Header"/>
            <w:jc w:val="center"/>
          </w:pPr>
        </w:p>
      </w:tc>
      <w:tc>
        <w:tcPr>
          <w:tcW w:w="3355" w:type="dxa"/>
        </w:tcPr>
        <w:p w14:paraId="2BF93ECE" w14:textId="77777777" w:rsidR="00742F84" w:rsidRDefault="00E0365E" w:rsidP="2E9D1B46">
          <w:pPr>
            <w:pStyle w:val="Header"/>
            <w:ind w:right="-115"/>
            <w:jc w:val="right"/>
          </w:pPr>
        </w:p>
      </w:tc>
    </w:tr>
  </w:tbl>
  <w:p w14:paraId="40608095" w14:textId="77777777" w:rsidR="00742F84" w:rsidRDefault="00E0365E" w:rsidP="2E9D1B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F46BE2"/>
    <w:multiLevelType w:val="multilevel"/>
    <w:tmpl w:val="F644431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upperLetter"/>
      <w:pStyle w:val="Heading6"/>
      <w:suff w:val="space"/>
      <w:lvlText w:val="Appendix %6"/>
      <w:lvlJc w:val="left"/>
      <w:pPr>
        <w:ind w:left="0" w:firstLine="0"/>
      </w:pPr>
      <w:rPr>
        <w:rFonts w:hint="default"/>
      </w:rPr>
    </w:lvl>
    <w:lvl w:ilvl="6">
      <w:start w:val="1"/>
      <w:numFmt w:val="none"/>
      <w:lvlText w:val=""/>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B0"/>
    <w:rsid w:val="00044B86"/>
    <w:rsid w:val="008F22B0"/>
    <w:rsid w:val="00B33D2D"/>
    <w:rsid w:val="00B46CF7"/>
    <w:rsid w:val="00C20A96"/>
    <w:rsid w:val="00E036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36AB1"/>
  <w15:chartTrackingRefBased/>
  <w15:docId w15:val="{4D9731B9-59E3-4A9C-A14D-D35CE851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22B0"/>
    <w:pPr>
      <w:spacing w:after="0" w:line="240" w:lineRule="auto"/>
    </w:pPr>
    <w:rPr>
      <w:rFonts w:ascii="Times New Roman" w:eastAsia="Times New Roman" w:hAnsi="Times New Roman" w:cs="Times New Roman"/>
      <w:sz w:val="24"/>
      <w:szCs w:val="20"/>
    </w:rPr>
  </w:style>
  <w:style w:type="paragraph" w:styleId="Heading6">
    <w:name w:val="heading 6"/>
    <w:aliases w:val="IKKE I BRUK..,Appendix 1"/>
    <w:basedOn w:val="Normal"/>
    <w:next w:val="Normal"/>
    <w:link w:val="Heading6Char"/>
    <w:qFormat/>
    <w:rsid w:val="008F22B0"/>
    <w:pPr>
      <w:widowControl w:val="0"/>
      <w:numPr>
        <w:ilvl w:val="5"/>
        <w:numId w:val="1"/>
      </w:numP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aliases w:val="IKKE I BRUK.. Char,Appendix 1 Char"/>
    <w:basedOn w:val="DefaultParagraphFont"/>
    <w:link w:val="Heading6"/>
    <w:rsid w:val="008F22B0"/>
    <w:rPr>
      <w:rFonts w:ascii="Times New Roman" w:eastAsia="Times New Roman" w:hAnsi="Times New Roman" w:cs="Times New Roman"/>
      <w:b/>
      <w:sz w:val="24"/>
      <w:szCs w:val="20"/>
    </w:rPr>
  </w:style>
  <w:style w:type="paragraph" w:styleId="Footer">
    <w:name w:val="footer"/>
    <w:basedOn w:val="Normal"/>
    <w:link w:val="FooterChar"/>
    <w:uiPriority w:val="99"/>
    <w:rsid w:val="008F22B0"/>
    <w:pPr>
      <w:tabs>
        <w:tab w:val="center" w:pos="4153"/>
        <w:tab w:val="right" w:pos="8306"/>
      </w:tabs>
    </w:pPr>
    <w:rPr>
      <w:rFonts w:ascii="Arial" w:hAnsi="Arial"/>
      <w:sz w:val="16"/>
    </w:rPr>
  </w:style>
  <w:style w:type="character" w:customStyle="1" w:styleId="FooterChar">
    <w:name w:val="Footer Char"/>
    <w:basedOn w:val="DefaultParagraphFont"/>
    <w:link w:val="Footer"/>
    <w:uiPriority w:val="99"/>
    <w:rsid w:val="008F22B0"/>
    <w:rPr>
      <w:rFonts w:ascii="Arial" w:eastAsia="Times New Roman" w:hAnsi="Arial" w:cs="Times New Roman"/>
      <w:sz w:val="16"/>
      <w:szCs w:val="20"/>
    </w:rPr>
  </w:style>
  <w:style w:type="paragraph" w:styleId="Header">
    <w:name w:val="header"/>
    <w:basedOn w:val="Normal"/>
    <w:link w:val="HeaderChar"/>
    <w:uiPriority w:val="99"/>
    <w:rsid w:val="008F22B0"/>
    <w:pPr>
      <w:tabs>
        <w:tab w:val="center" w:pos="4153"/>
        <w:tab w:val="right" w:pos="8306"/>
      </w:tabs>
    </w:pPr>
  </w:style>
  <w:style w:type="character" w:customStyle="1" w:styleId="HeaderChar">
    <w:name w:val="Header Char"/>
    <w:basedOn w:val="DefaultParagraphFont"/>
    <w:link w:val="Header"/>
    <w:uiPriority w:val="99"/>
    <w:rsid w:val="008F22B0"/>
    <w:rPr>
      <w:rFonts w:ascii="Times New Roman" w:eastAsia="Times New Roman" w:hAnsi="Times New Roman" w:cs="Times New Roman"/>
      <w:sz w:val="24"/>
      <w:szCs w:val="20"/>
    </w:rPr>
  </w:style>
  <w:style w:type="paragraph" w:styleId="Caption">
    <w:name w:val="caption"/>
    <w:aliases w:val="CaptionTable,o_TBTabBeschriftung,o_Beschriftung"/>
    <w:basedOn w:val="Normal"/>
    <w:next w:val="Normal"/>
    <w:link w:val="CaptionChar"/>
    <w:qFormat/>
    <w:rsid w:val="008F22B0"/>
    <w:pPr>
      <w:spacing w:before="120" w:after="120"/>
    </w:pPr>
    <w:rPr>
      <w:b/>
    </w:rPr>
  </w:style>
  <w:style w:type="character" w:styleId="Hyperlink">
    <w:name w:val="Hyperlink"/>
    <w:basedOn w:val="DefaultParagraphFont"/>
    <w:uiPriority w:val="99"/>
    <w:rsid w:val="008F22B0"/>
    <w:rPr>
      <w:color w:val="0000FF"/>
      <w:u w:val="single"/>
    </w:rPr>
  </w:style>
  <w:style w:type="table" w:styleId="TableGrid">
    <w:name w:val="Table Grid"/>
    <w:basedOn w:val="TableNormal"/>
    <w:uiPriority w:val="59"/>
    <w:rsid w:val="008F22B0"/>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8F22B0"/>
    <w:rPr>
      <w:noProof/>
      <w:lang w:val="en-US"/>
    </w:rPr>
  </w:style>
  <w:style w:type="character" w:customStyle="1" w:styleId="EndNoteBibliographyChar">
    <w:name w:val="EndNote Bibliography Char"/>
    <w:basedOn w:val="DefaultParagraphFont"/>
    <w:link w:val="EndNoteBibliography"/>
    <w:rsid w:val="008F22B0"/>
    <w:rPr>
      <w:rFonts w:ascii="Times New Roman" w:eastAsia="Times New Roman" w:hAnsi="Times New Roman" w:cs="Times New Roman"/>
      <w:noProof/>
      <w:sz w:val="24"/>
      <w:szCs w:val="20"/>
      <w:lang w:val="en-US"/>
    </w:rPr>
  </w:style>
  <w:style w:type="character" w:customStyle="1" w:styleId="CaptionChar">
    <w:name w:val="Caption Char"/>
    <w:aliases w:val="CaptionTable Char,o_TBTabBeschriftung Char,o_Beschriftung Char"/>
    <w:basedOn w:val="DefaultParagraphFont"/>
    <w:link w:val="Caption"/>
    <w:qFormat/>
    <w:rsid w:val="008F22B0"/>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chart" Target="charts/chart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chart" Target="charts/chart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chart" Target="charts/chart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2.xml"/><Relationship Id="rId10" Type="http://schemas.openxmlformats.org/officeDocument/2006/relationships/oleObject" Target="embeddings/oleObject2.bin"/><Relationship Id="rId19"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imonr\Desktop\Simon%20correct%20climate%20impact\Chain%20A,%20B%20deterministic\Summar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imonr\Desktop\Simon%20correct%20climate%20impact\Chain%20A,%20B%20deterministic\Summar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imonr\Desktop\Simon%20correct%20climate%20impact\Chain%20A,%20B%20deterministic\Summar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imonr\Desktop\Simon%20correct%20climate%20impact\Chain%20C%20and%20D%20Simon\Deterministic%20chains\Summary.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469148629871174E-2"/>
          <c:y val="4.152735228052324E-2"/>
          <c:w val="0.84279790443523639"/>
          <c:h val="0.72303401468755801"/>
        </c:manualLayout>
      </c:layout>
      <c:barChart>
        <c:barDir val="col"/>
        <c:grouping val="stacked"/>
        <c:varyColors val="0"/>
        <c:ser>
          <c:idx val="0"/>
          <c:order val="0"/>
          <c:tx>
            <c:strRef>
              <c:f>'MEA different CAP'!$M$59</c:f>
              <c:strCache>
                <c:ptCount val="1"/>
                <c:pt idx="0">
                  <c:v>Capture investment cost</c:v>
                </c:pt>
              </c:strCache>
            </c:strRef>
          </c:tx>
          <c:spPr>
            <a:solidFill>
              <a:schemeClr val="accent2"/>
            </a:solidFill>
            <a:ln>
              <a:noFill/>
            </a:ln>
            <a:effectLst/>
          </c:spPr>
          <c:invertIfNegative val="0"/>
          <c:cat>
            <c:numRef>
              <c:f>'MEA different CAP'!$N$58:$S$58</c:f>
              <c:numCache>
                <c:formatCode>0%</c:formatCode>
                <c:ptCount val="6"/>
                <c:pt idx="0">
                  <c:v>0.5</c:v>
                </c:pt>
                <c:pt idx="1">
                  <c:v>0.6</c:v>
                </c:pt>
                <c:pt idx="2">
                  <c:v>0.7</c:v>
                </c:pt>
                <c:pt idx="3">
                  <c:v>0.79999999999999993</c:v>
                </c:pt>
                <c:pt idx="4">
                  <c:v>0.89999999999999991</c:v>
                </c:pt>
                <c:pt idx="5">
                  <c:v>0.99999999999999989</c:v>
                </c:pt>
              </c:numCache>
            </c:numRef>
          </c:cat>
          <c:val>
            <c:numRef>
              <c:f>'MEA different CAP'!$N$59:$S$59</c:f>
              <c:numCache>
                <c:formatCode>0</c:formatCode>
                <c:ptCount val="6"/>
                <c:pt idx="0">
                  <c:v>34.276888972372163</c:v>
                </c:pt>
                <c:pt idx="1">
                  <c:v>27.906772580945905</c:v>
                </c:pt>
                <c:pt idx="2">
                  <c:v>22.759262209897045</c:v>
                </c:pt>
                <c:pt idx="3">
                  <c:v>19.824218375196381</c:v>
                </c:pt>
                <c:pt idx="4">
                  <c:v>18.225203740485295</c:v>
                </c:pt>
                <c:pt idx="5">
                  <c:v>18.032169807501088</c:v>
                </c:pt>
              </c:numCache>
            </c:numRef>
          </c:val>
          <c:extLst>
            <c:ext xmlns:c16="http://schemas.microsoft.com/office/drawing/2014/chart" uri="{C3380CC4-5D6E-409C-BE32-E72D297353CC}">
              <c16:uniqueId val="{00000000-A48F-4045-9A5E-A2D665968028}"/>
            </c:ext>
          </c:extLst>
        </c:ser>
        <c:ser>
          <c:idx val="1"/>
          <c:order val="1"/>
          <c:tx>
            <c:strRef>
              <c:f>'MEA different CAP'!$M$60</c:f>
              <c:strCache>
                <c:ptCount val="1"/>
                <c:pt idx="0">
                  <c:v>Capture fixed operating costs</c:v>
                </c:pt>
              </c:strCache>
            </c:strRef>
          </c:tx>
          <c:spPr>
            <a:solidFill>
              <a:schemeClr val="accent3"/>
            </a:solidFill>
            <a:ln>
              <a:noFill/>
            </a:ln>
            <a:effectLst/>
          </c:spPr>
          <c:invertIfNegative val="0"/>
          <c:cat>
            <c:numRef>
              <c:f>'MEA different CAP'!$N$58:$S$58</c:f>
              <c:numCache>
                <c:formatCode>0%</c:formatCode>
                <c:ptCount val="6"/>
                <c:pt idx="0">
                  <c:v>0.5</c:v>
                </c:pt>
                <c:pt idx="1">
                  <c:v>0.6</c:v>
                </c:pt>
                <c:pt idx="2">
                  <c:v>0.7</c:v>
                </c:pt>
                <c:pt idx="3">
                  <c:v>0.79999999999999993</c:v>
                </c:pt>
                <c:pt idx="4">
                  <c:v>0.89999999999999991</c:v>
                </c:pt>
                <c:pt idx="5">
                  <c:v>0.99999999999999989</c:v>
                </c:pt>
              </c:numCache>
            </c:numRef>
          </c:cat>
          <c:val>
            <c:numRef>
              <c:f>'MEA different CAP'!$N$60:$S$60</c:f>
              <c:numCache>
                <c:formatCode>0</c:formatCode>
                <c:ptCount val="6"/>
                <c:pt idx="0">
                  <c:v>21.741305440078481</c:v>
                </c:pt>
                <c:pt idx="1">
                  <c:v>17.700838224209555</c:v>
                </c:pt>
                <c:pt idx="2">
                  <c:v>14.435851272705596</c:v>
                </c:pt>
                <c:pt idx="3">
                  <c:v>12.574197942915957</c:v>
                </c:pt>
                <c:pt idx="4">
                  <c:v>11.559967462301742</c:v>
                </c:pt>
                <c:pt idx="5">
                  <c:v>11.437528996526977</c:v>
                </c:pt>
              </c:numCache>
            </c:numRef>
          </c:val>
          <c:extLst>
            <c:ext xmlns:c16="http://schemas.microsoft.com/office/drawing/2014/chart" uri="{C3380CC4-5D6E-409C-BE32-E72D297353CC}">
              <c16:uniqueId val="{00000001-A48F-4045-9A5E-A2D665968028}"/>
            </c:ext>
          </c:extLst>
        </c:ser>
        <c:ser>
          <c:idx val="2"/>
          <c:order val="2"/>
          <c:tx>
            <c:strRef>
              <c:f>'MEA different CAP'!$M$61</c:f>
              <c:strCache>
                <c:ptCount val="1"/>
                <c:pt idx="0">
                  <c:v>Capture other variable costs</c:v>
                </c:pt>
              </c:strCache>
            </c:strRef>
          </c:tx>
          <c:spPr>
            <a:solidFill>
              <a:schemeClr val="accent4"/>
            </a:solidFill>
            <a:ln>
              <a:noFill/>
            </a:ln>
            <a:effectLst/>
          </c:spPr>
          <c:invertIfNegative val="0"/>
          <c:cat>
            <c:numRef>
              <c:f>'MEA different CAP'!$N$58:$S$58</c:f>
              <c:numCache>
                <c:formatCode>0%</c:formatCode>
                <c:ptCount val="6"/>
                <c:pt idx="0">
                  <c:v>0.5</c:v>
                </c:pt>
                <c:pt idx="1">
                  <c:v>0.6</c:v>
                </c:pt>
                <c:pt idx="2">
                  <c:v>0.7</c:v>
                </c:pt>
                <c:pt idx="3">
                  <c:v>0.79999999999999993</c:v>
                </c:pt>
                <c:pt idx="4">
                  <c:v>0.89999999999999991</c:v>
                </c:pt>
                <c:pt idx="5">
                  <c:v>0.99999999999999989</c:v>
                </c:pt>
              </c:numCache>
            </c:numRef>
          </c:cat>
          <c:val>
            <c:numRef>
              <c:f>'MEA different CAP'!$N$61:$S$61</c:f>
              <c:numCache>
                <c:formatCode>0</c:formatCode>
                <c:ptCount val="6"/>
                <c:pt idx="0">
                  <c:v>8.424939194633172</c:v>
                </c:pt>
                <c:pt idx="1">
                  <c:v>7.3951635828833853</c:v>
                </c:pt>
                <c:pt idx="2">
                  <c:v>6.3653879711336376</c:v>
                </c:pt>
                <c:pt idx="3">
                  <c:v>5.5973813023440391</c:v>
                </c:pt>
                <c:pt idx="4">
                  <c:v>5.0824934964691595</c:v>
                </c:pt>
                <c:pt idx="5">
                  <c:v>4.8207245535090149</c:v>
                </c:pt>
              </c:numCache>
            </c:numRef>
          </c:val>
          <c:extLst>
            <c:ext xmlns:c16="http://schemas.microsoft.com/office/drawing/2014/chart" uri="{C3380CC4-5D6E-409C-BE32-E72D297353CC}">
              <c16:uniqueId val="{00000002-A48F-4045-9A5E-A2D665968028}"/>
            </c:ext>
          </c:extLst>
        </c:ser>
        <c:ser>
          <c:idx val="3"/>
          <c:order val="3"/>
          <c:tx>
            <c:strRef>
              <c:f>'MEA different CAP'!$M$62</c:f>
              <c:strCache>
                <c:ptCount val="1"/>
                <c:pt idx="0">
                  <c:v>Loss of power due to electrictiy consumption</c:v>
                </c:pt>
              </c:strCache>
            </c:strRef>
          </c:tx>
          <c:spPr>
            <a:solidFill>
              <a:schemeClr val="accent6"/>
            </a:solidFill>
            <a:ln>
              <a:noFill/>
            </a:ln>
            <a:effectLst/>
          </c:spPr>
          <c:invertIfNegative val="0"/>
          <c:cat>
            <c:numRef>
              <c:f>'MEA different CAP'!$N$58:$S$58</c:f>
              <c:numCache>
                <c:formatCode>0%</c:formatCode>
                <c:ptCount val="6"/>
                <c:pt idx="0">
                  <c:v>0.5</c:v>
                </c:pt>
                <c:pt idx="1">
                  <c:v>0.6</c:v>
                </c:pt>
                <c:pt idx="2">
                  <c:v>0.7</c:v>
                </c:pt>
                <c:pt idx="3">
                  <c:v>0.79999999999999993</c:v>
                </c:pt>
                <c:pt idx="4">
                  <c:v>0.89999999999999991</c:v>
                </c:pt>
                <c:pt idx="5">
                  <c:v>0.99999999999999989</c:v>
                </c:pt>
              </c:numCache>
            </c:numRef>
          </c:cat>
          <c:val>
            <c:numRef>
              <c:f>'MEA different CAP'!$N$62:$S$62</c:f>
              <c:numCache>
                <c:formatCode>0</c:formatCode>
                <c:ptCount val="6"/>
                <c:pt idx="0">
                  <c:v>48.181965846273201</c:v>
                </c:pt>
                <c:pt idx="1">
                  <c:v>49.662478029765211</c:v>
                </c:pt>
                <c:pt idx="2">
                  <c:v>51.187229103091369</c:v>
                </c:pt>
                <c:pt idx="3">
                  <c:v>52.64232656854513</c:v>
                </c:pt>
                <c:pt idx="4">
                  <c:v>53.883738707595917</c:v>
                </c:pt>
                <c:pt idx="5">
                  <c:v>55.094983017963749</c:v>
                </c:pt>
              </c:numCache>
            </c:numRef>
          </c:val>
          <c:extLst>
            <c:ext xmlns:c16="http://schemas.microsoft.com/office/drawing/2014/chart" uri="{C3380CC4-5D6E-409C-BE32-E72D297353CC}">
              <c16:uniqueId val="{00000003-A48F-4045-9A5E-A2D665968028}"/>
            </c:ext>
          </c:extLst>
        </c:ser>
        <c:ser>
          <c:idx val="4"/>
          <c:order val="4"/>
          <c:tx>
            <c:strRef>
              <c:f>'MEA different CAP'!$M$63</c:f>
              <c:strCache>
                <c:ptCount val="1"/>
                <c:pt idx="0">
                  <c:v>Loss of power due to steam consumption</c:v>
                </c:pt>
              </c:strCache>
            </c:strRef>
          </c:tx>
          <c:spPr>
            <a:solidFill>
              <a:srgbClr val="7030A0"/>
            </a:solidFill>
            <a:ln>
              <a:noFill/>
            </a:ln>
            <a:effectLst/>
          </c:spPr>
          <c:invertIfNegative val="0"/>
          <c:cat>
            <c:numRef>
              <c:f>'MEA different CAP'!$N$58:$S$58</c:f>
              <c:numCache>
                <c:formatCode>0%</c:formatCode>
                <c:ptCount val="6"/>
                <c:pt idx="0">
                  <c:v>0.5</c:v>
                </c:pt>
                <c:pt idx="1">
                  <c:v>0.6</c:v>
                </c:pt>
                <c:pt idx="2">
                  <c:v>0.7</c:v>
                </c:pt>
                <c:pt idx="3">
                  <c:v>0.79999999999999993</c:v>
                </c:pt>
                <c:pt idx="4">
                  <c:v>0.89999999999999991</c:v>
                </c:pt>
                <c:pt idx="5">
                  <c:v>0.99999999999999989</c:v>
                </c:pt>
              </c:numCache>
            </c:numRef>
          </c:cat>
          <c:val>
            <c:numRef>
              <c:f>'MEA different CAP'!$N$63:$S$63</c:f>
              <c:numCache>
                <c:formatCode>0</c:formatCode>
                <c:ptCount val="6"/>
                <c:pt idx="0">
                  <c:v>111.26916748887483</c:v>
                </c:pt>
                <c:pt idx="1">
                  <c:v>114.68819274491949</c:v>
                </c:pt>
                <c:pt idx="2">
                  <c:v>118.20938121402563</c:v>
                </c:pt>
                <c:pt idx="3">
                  <c:v>121.56971491466345</c:v>
                </c:pt>
                <c:pt idx="4">
                  <c:v>124.43657376520264</c:v>
                </c:pt>
                <c:pt idx="5">
                  <c:v>127.23376444999673</c:v>
                </c:pt>
              </c:numCache>
            </c:numRef>
          </c:val>
          <c:extLst>
            <c:ext xmlns:c16="http://schemas.microsoft.com/office/drawing/2014/chart" uri="{C3380CC4-5D6E-409C-BE32-E72D297353CC}">
              <c16:uniqueId val="{00000004-A48F-4045-9A5E-A2D665968028}"/>
            </c:ext>
          </c:extLst>
        </c:ser>
        <c:ser>
          <c:idx val="5"/>
          <c:order val="5"/>
          <c:tx>
            <c:strRef>
              <c:f>'MEA different CAP'!$M$64</c:f>
              <c:strCache>
                <c:ptCount val="1"/>
                <c:pt idx="0">
                  <c:v>Total</c:v>
                </c:pt>
              </c:strCache>
            </c:strRef>
          </c:tx>
          <c:spPr>
            <a:no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'MEA different CAP'!$N$58:$S$58</c:f>
              <c:numCache>
                <c:formatCode>0%</c:formatCode>
                <c:ptCount val="6"/>
                <c:pt idx="0">
                  <c:v>0.5</c:v>
                </c:pt>
                <c:pt idx="1">
                  <c:v>0.6</c:v>
                </c:pt>
                <c:pt idx="2">
                  <c:v>0.7</c:v>
                </c:pt>
                <c:pt idx="3">
                  <c:v>0.79999999999999993</c:v>
                </c:pt>
                <c:pt idx="4">
                  <c:v>0.89999999999999991</c:v>
                </c:pt>
                <c:pt idx="5">
                  <c:v>0.99999999999999989</c:v>
                </c:pt>
              </c:numCache>
            </c:numRef>
          </c:cat>
          <c:val>
            <c:numRef>
              <c:f>'MEA different CAP'!$N$64:$S$64</c:f>
              <c:numCache>
                <c:formatCode>0</c:formatCode>
                <c:ptCount val="6"/>
                <c:pt idx="0">
                  <c:v>223.89426694223184</c:v>
                </c:pt>
                <c:pt idx="1">
                  <c:v>217.35344516272355</c:v>
                </c:pt>
                <c:pt idx="2">
                  <c:v>212.95711177085326</c:v>
                </c:pt>
                <c:pt idx="3">
                  <c:v>212.20783910366495</c:v>
                </c:pt>
                <c:pt idx="4">
                  <c:v>213.18797717205476</c:v>
                </c:pt>
                <c:pt idx="5">
                  <c:v>216.61917082549755</c:v>
                </c:pt>
              </c:numCache>
            </c:numRef>
          </c:val>
          <c:extLst>
            <c:ext xmlns:c16="http://schemas.microsoft.com/office/drawing/2014/chart" uri="{C3380CC4-5D6E-409C-BE32-E72D297353CC}">
              <c16:uniqueId val="{00000005-A48F-4045-9A5E-A2D665968028}"/>
            </c:ext>
          </c:extLst>
        </c:ser>
        <c:dLbls>
          <c:showLegendKey val="0"/>
          <c:showVal val="0"/>
          <c:showCatName val="0"/>
          <c:showSerName val="0"/>
          <c:showPercent val="0"/>
          <c:showBubbleSize val="0"/>
        </c:dLbls>
        <c:gapWidth val="150"/>
        <c:overlap val="100"/>
        <c:axId val="1116491664"/>
        <c:axId val="1116493960"/>
      </c:barChart>
      <c:scatterChart>
        <c:scatterStyle val="lineMarker"/>
        <c:varyColors val="0"/>
        <c:ser>
          <c:idx val="6"/>
          <c:order val="6"/>
          <c:tx>
            <c:strRef>
              <c:f>'MEA different CAP'!$M$65</c:f>
              <c:strCache>
                <c:ptCount val="1"/>
                <c:pt idx="0">
                  <c:v>Net negative emissions</c:v>
                </c:pt>
              </c:strCache>
            </c:strRef>
          </c:tx>
          <c:spPr>
            <a:ln w="25400" cap="rnd">
              <a:noFill/>
              <a:round/>
            </a:ln>
            <a:effectLst/>
          </c:spPr>
          <c:marker>
            <c:symbol val="circle"/>
            <c:size val="5"/>
            <c:spPr>
              <a:solidFill>
                <a:srgbClr val="00B0F0"/>
              </a:solidFill>
              <a:ln w="41275">
                <a:solidFill>
                  <a:srgbClr val="00B0F0"/>
                </a:solidFill>
              </a:ln>
              <a:effectLst/>
            </c:spPr>
          </c:marker>
          <c:xVal>
            <c:strRef>
              <c:f>'MEA different CAP'!$N$57:$S$58</c:f>
              <c:strCache>
                <c:ptCount val="6"/>
                <c:pt idx="0">
                  <c:v>50%</c:v>
                </c:pt>
                <c:pt idx="1">
                  <c:v>60%</c:v>
                </c:pt>
                <c:pt idx="2">
                  <c:v>70%</c:v>
                </c:pt>
                <c:pt idx="3">
                  <c:v>80%</c:v>
                </c:pt>
                <c:pt idx="4">
                  <c:v>90%</c:v>
                </c:pt>
                <c:pt idx="5">
                  <c:v>100%</c:v>
                </c:pt>
              </c:strCache>
            </c:strRef>
          </c:xVal>
          <c:yVal>
            <c:numRef>
              <c:f>'MEA different CAP'!$N$65:$S$65</c:f>
              <c:numCache>
                <c:formatCode>0.000</c:formatCode>
                <c:ptCount val="6"/>
                <c:pt idx="0">
                  <c:v>-0.18219551868298639</c:v>
                </c:pt>
                <c:pt idx="1">
                  <c:v>-3.2710814194534477E-2</c:v>
                </c:pt>
                <c:pt idx="2">
                  <c:v>0.16514036966953283</c:v>
                </c:pt>
                <c:pt idx="3">
                  <c:v>0.36009068168909086</c:v>
                </c:pt>
                <c:pt idx="4">
                  <c:v>0.52377972012254825</c:v>
                </c:pt>
                <c:pt idx="5">
                  <c:v>0.62040653977571436</c:v>
                </c:pt>
              </c:numCache>
            </c:numRef>
          </c:yVal>
          <c:smooth val="0"/>
          <c:extLst>
            <c:ext xmlns:c16="http://schemas.microsoft.com/office/drawing/2014/chart" uri="{C3380CC4-5D6E-409C-BE32-E72D297353CC}">
              <c16:uniqueId val="{00000006-A48F-4045-9A5E-A2D665968028}"/>
            </c:ext>
          </c:extLst>
        </c:ser>
        <c:dLbls>
          <c:showLegendKey val="0"/>
          <c:showVal val="0"/>
          <c:showCatName val="0"/>
          <c:showSerName val="0"/>
          <c:showPercent val="0"/>
          <c:showBubbleSize val="0"/>
        </c:dLbls>
        <c:axId val="799456416"/>
        <c:axId val="799466584"/>
      </c:scatterChart>
      <c:catAx>
        <c:axId val="1116491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CO₂ capture installed capacity compared to full-capacity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0%"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116493960"/>
        <c:crosses val="autoZero"/>
        <c:auto val="1"/>
        <c:lblAlgn val="ctr"/>
        <c:lblOffset val="100"/>
        <c:noMultiLvlLbl val="0"/>
      </c:catAx>
      <c:valAx>
        <c:axId val="1116493960"/>
        <c:scaling>
          <c:orientation val="minMax"/>
          <c:max val="24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CO</a:t>
                </a:r>
                <a:r>
                  <a:rPr lang="en-GB" baseline="-25000"/>
                  <a:t>2</a:t>
                </a:r>
                <a:r>
                  <a:rPr lang="en-GB"/>
                  <a:t> avoidance</a:t>
                </a:r>
                <a:r>
                  <a:rPr lang="en-GB" baseline="0"/>
                  <a:t> cost (€/tCO</a:t>
                </a:r>
                <a:r>
                  <a:rPr lang="en-GB" baseline="-25000"/>
                  <a:t>2</a:t>
                </a:r>
                <a:r>
                  <a:rPr lang="en-GB" baseline="0"/>
                  <a:t>,avoided)</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116491664"/>
        <c:crosses val="autoZero"/>
        <c:crossBetween val="between"/>
        <c:majorUnit val="40"/>
      </c:valAx>
      <c:valAx>
        <c:axId val="799466584"/>
        <c:scaling>
          <c:orientation val="minMax"/>
          <c:max val="0.8"/>
          <c:min val="-0.5"/>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a:t>Net negative emissions (tCO</a:t>
                </a:r>
                <a:r>
                  <a:rPr lang="en-GB" sz="1000" baseline="-25000"/>
                  <a:t>2</a:t>
                </a:r>
                <a:r>
                  <a:rPr lang="en-GB" sz="1000"/>
                  <a:t>/MWh)</a:t>
                </a:r>
              </a:p>
            </c:rich>
          </c:tx>
          <c:layout>
            <c:manualLayout>
              <c:xMode val="edge"/>
              <c:yMode val="edge"/>
              <c:x val="0.96783921485172064"/>
              <c:y val="0.192996102759882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0.0" sourceLinked="0"/>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99456416"/>
        <c:crosses val="max"/>
        <c:crossBetween val="midCat"/>
        <c:majorUnit val="0.2"/>
        <c:minorUnit val="0.1"/>
      </c:valAx>
      <c:valAx>
        <c:axId val="799456416"/>
        <c:scaling>
          <c:orientation val="minMax"/>
        </c:scaling>
        <c:delete val="1"/>
        <c:axPos val="b"/>
        <c:numFmt formatCode="General" sourceLinked="1"/>
        <c:majorTickMark val="out"/>
        <c:minorTickMark val="none"/>
        <c:tickLblPos val="nextTo"/>
        <c:crossAx val="799466584"/>
        <c:crosses val="autoZero"/>
        <c:crossBetween val="midCat"/>
      </c:valAx>
      <c:spPr>
        <a:noFill/>
        <a:ln>
          <a:noFill/>
        </a:ln>
        <a:effectLst/>
      </c:spPr>
    </c:plotArea>
    <c:legend>
      <c:legendPos val="r"/>
      <c:legendEntry>
        <c:idx val="0"/>
        <c:delete val="1"/>
      </c:legendEntry>
      <c:layout>
        <c:manualLayout>
          <c:xMode val="edge"/>
          <c:yMode val="edge"/>
          <c:x val="3.3693197988805515E-3"/>
          <c:y val="0.88630265913730466"/>
          <c:w val="0.99181140309268567"/>
          <c:h val="0.1092266496990906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nb-N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481867230825079E-2"/>
          <c:y val="4.152735228052324E-2"/>
          <c:w val="0.84098650526394847"/>
          <c:h val="0.73371967461883647"/>
        </c:manualLayout>
      </c:layout>
      <c:barChart>
        <c:barDir val="col"/>
        <c:grouping val="stacked"/>
        <c:varyColors val="0"/>
        <c:ser>
          <c:idx val="0"/>
          <c:order val="0"/>
          <c:tx>
            <c:strRef>
              <c:f>'MEA different CAP'!$M$59</c:f>
              <c:strCache>
                <c:ptCount val="1"/>
                <c:pt idx="0">
                  <c:v>Capture investment cost</c:v>
                </c:pt>
              </c:strCache>
            </c:strRef>
          </c:tx>
          <c:spPr>
            <a:solidFill>
              <a:schemeClr val="accent2"/>
            </a:solidFill>
            <a:ln>
              <a:noFill/>
            </a:ln>
            <a:effectLst/>
          </c:spPr>
          <c:invertIfNegative val="0"/>
          <c:cat>
            <c:numRef>
              <c:f>'MEA different CAP'!$N$58:$S$58</c:f>
              <c:numCache>
                <c:formatCode>0%</c:formatCode>
                <c:ptCount val="6"/>
                <c:pt idx="0">
                  <c:v>0.5</c:v>
                </c:pt>
                <c:pt idx="1">
                  <c:v>0.6</c:v>
                </c:pt>
                <c:pt idx="2">
                  <c:v>0.7</c:v>
                </c:pt>
                <c:pt idx="3">
                  <c:v>0.79999999999999993</c:v>
                </c:pt>
                <c:pt idx="4">
                  <c:v>0.89999999999999991</c:v>
                </c:pt>
                <c:pt idx="5">
                  <c:v>0.99999999999999989</c:v>
                </c:pt>
              </c:numCache>
            </c:numRef>
          </c:cat>
          <c:val>
            <c:numRef>
              <c:f>'Adv. solvent different CAP'!$N$59:$S$59</c:f>
              <c:numCache>
                <c:formatCode>0</c:formatCode>
                <c:ptCount val="6"/>
                <c:pt idx="0">
                  <c:v>29.624110503807813</c:v>
                </c:pt>
                <c:pt idx="1">
                  <c:v>24.836605514623901</c:v>
                </c:pt>
                <c:pt idx="2">
                  <c:v>21.01699023810659</c:v>
                </c:pt>
                <c:pt idx="3">
                  <c:v>18.958468252667924</c:v>
                </c:pt>
                <c:pt idx="4">
                  <c:v>17.944729673147233</c:v>
                </c:pt>
                <c:pt idx="5">
                  <c:v>18.056926776587595</c:v>
                </c:pt>
              </c:numCache>
            </c:numRef>
          </c:val>
          <c:extLst>
            <c:ext xmlns:c16="http://schemas.microsoft.com/office/drawing/2014/chart" uri="{C3380CC4-5D6E-409C-BE32-E72D297353CC}">
              <c16:uniqueId val="{00000000-5859-4D3A-A725-9141027640FB}"/>
            </c:ext>
          </c:extLst>
        </c:ser>
        <c:ser>
          <c:idx val="1"/>
          <c:order val="1"/>
          <c:tx>
            <c:strRef>
              <c:f>'MEA different CAP'!$M$60</c:f>
              <c:strCache>
                <c:ptCount val="1"/>
                <c:pt idx="0">
                  <c:v>Capture fixed operating costs</c:v>
                </c:pt>
              </c:strCache>
            </c:strRef>
          </c:tx>
          <c:spPr>
            <a:solidFill>
              <a:schemeClr val="accent3"/>
            </a:solidFill>
            <a:ln>
              <a:noFill/>
            </a:ln>
            <a:effectLst/>
          </c:spPr>
          <c:invertIfNegative val="0"/>
          <c:cat>
            <c:numRef>
              <c:f>'MEA different CAP'!$N$58:$S$58</c:f>
              <c:numCache>
                <c:formatCode>0%</c:formatCode>
                <c:ptCount val="6"/>
                <c:pt idx="0">
                  <c:v>0.5</c:v>
                </c:pt>
                <c:pt idx="1">
                  <c:v>0.6</c:v>
                </c:pt>
                <c:pt idx="2">
                  <c:v>0.7</c:v>
                </c:pt>
                <c:pt idx="3">
                  <c:v>0.79999999999999993</c:v>
                </c:pt>
                <c:pt idx="4">
                  <c:v>0.89999999999999991</c:v>
                </c:pt>
                <c:pt idx="5">
                  <c:v>0.99999999999999989</c:v>
                </c:pt>
              </c:numCache>
            </c:numRef>
          </c:cat>
          <c:val>
            <c:numRef>
              <c:f>'Adv. solvent different CAP'!$N$60:$S$60</c:f>
              <c:numCache>
                <c:formatCode>0</c:formatCode>
                <c:ptCount val="6"/>
                <c:pt idx="0">
                  <c:v>18.790119353394445</c:v>
                </c:pt>
                <c:pt idx="1">
                  <c:v>15.753478299136487</c:v>
                </c:pt>
                <c:pt idx="2">
                  <c:v>13.330754858357274</c:v>
                </c:pt>
                <c:pt idx="3">
                  <c:v>12.025065906346132</c:v>
                </c:pt>
                <c:pt idx="4">
                  <c:v>11.382067059177842</c:v>
                </c:pt>
                <c:pt idx="5">
                  <c:v>11.453231962660052</c:v>
                </c:pt>
              </c:numCache>
            </c:numRef>
          </c:val>
          <c:extLst>
            <c:ext xmlns:c16="http://schemas.microsoft.com/office/drawing/2014/chart" uri="{C3380CC4-5D6E-409C-BE32-E72D297353CC}">
              <c16:uniqueId val="{00000001-5859-4D3A-A725-9141027640FB}"/>
            </c:ext>
          </c:extLst>
        </c:ser>
        <c:ser>
          <c:idx val="2"/>
          <c:order val="2"/>
          <c:tx>
            <c:strRef>
              <c:f>'MEA different CAP'!$M$61</c:f>
              <c:strCache>
                <c:ptCount val="1"/>
                <c:pt idx="0">
                  <c:v>Capture other variable costs</c:v>
                </c:pt>
              </c:strCache>
            </c:strRef>
          </c:tx>
          <c:spPr>
            <a:solidFill>
              <a:schemeClr val="accent4"/>
            </a:solidFill>
            <a:ln>
              <a:noFill/>
            </a:ln>
            <a:effectLst/>
          </c:spPr>
          <c:invertIfNegative val="0"/>
          <c:cat>
            <c:numRef>
              <c:f>'MEA different CAP'!$N$58:$S$58</c:f>
              <c:numCache>
                <c:formatCode>0%</c:formatCode>
                <c:ptCount val="6"/>
                <c:pt idx="0">
                  <c:v>0.5</c:v>
                </c:pt>
                <c:pt idx="1">
                  <c:v>0.6</c:v>
                </c:pt>
                <c:pt idx="2">
                  <c:v>0.7</c:v>
                </c:pt>
                <c:pt idx="3">
                  <c:v>0.79999999999999993</c:v>
                </c:pt>
                <c:pt idx="4">
                  <c:v>0.89999999999999991</c:v>
                </c:pt>
                <c:pt idx="5">
                  <c:v>0.99999999999999989</c:v>
                </c:pt>
              </c:numCache>
            </c:numRef>
          </c:cat>
          <c:val>
            <c:numRef>
              <c:f>'Adv. solvent different CAP'!$N$61:$S$61</c:f>
              <c:numCache>
                <c:formatCode>0</c:formatCode>
                <c:ptCount val="6"/>
                <c:pt idx="0">
                  <c:v>6.7592849678735698</c:v>
                </c:pt>
                <c:pt idx="1">
                  <c:v>6.10427670928786</c:v>
                </c:pt>
                <c:pt idx="2">
                  <c:v>5.4492684507021689</c:v>
                </c:pt>
                <c:pt idx="3">
                  <c:v>4.9607632802880861</c:v>
                </c:pt>
                <c:pt idx="4">
                  <c:v>4.6332591509952357</c:v>
                </c:pt>
                <c:pt idx="5">
                  <c:v>4.4667560628236265</c:v>
                </c:pt>
              </c:numCache>
            </c:numRef>
          </c:val>
          <c:extLst>
            <c:ext xmlns:c16="http://schemas.microsoft.com/office/drawing/2014/chart" uri="{C3380CC4-5D6E-409C-BE32-E72D297353CC}">
              <c16:uniqueId val="{00000002-5859-4D3A-A725-9141027640FB}"/>
            </c:ext>
          </c:extLst>
        </c:ser>
        <c:ser>
          <c:idx val="3"/>
          <c:order val="3"/>
          <c:tx>
            <c:strRef>
              <c:f>'MEA different CAP'!$M$62</c:f>
              <c:strCache>
                <c:ptCount val="1"/>
                <c:pt idx="0">
                  <c:v>Loss of power due to electrictiy consumption</c:v>
                </c:pt>
              </c:strCache>
            </c:strRef>
          </c:tx>
          <c:spPr>
            <a:solidFill>
              <a:schemeClr val="accent6"/>
            </a:solidFill>
            <a:ln>
              <a:noFill/>
            </a:ln>
            <a:effectLst/>
          </c:spPr>
          <c:invertIfNegative val="0"/>
          <c:cat>
            <c:numRef>
              <c:f>'MEA different CAP'!$N$58:$S$58</c:f>
              <c:numCache>
                <c:formatCode>0%</c:formatCode>
                <c:ptCount val="6"/>
                <c:pt idx="0">
                  <c:v>0.5</c:v>
                </c:pt>
                <c:pt idx="1">
                  <c:v>0.6</c:v>
                </c:pt>
                <c:pt idx="2">
                  <c:v>0.7</c:v>
                </c:pt>
                <c:pt idx="3">
                  <c:v>0.79999999999999993</c:v>
                </c:pt>
                <c:pt idx="4">
                  <c:v>0.89999999999999991</c:v>
                </c:pt>
                <c:pt idx="5">
                  <c:v>0.99999999999999989</c:v>
                </c:pt>
              </c:numCache>
            </c:numRef>
          </c:cat>
          <c:val>
            <c:numRef>
              <c:f>'Adv. solvent different CAP'!$N$62:$S$62</c:f>
              <c:numCache>
                <c:formatCode>0</c:formatCode>
                <c:ptCount val="6"/>
                <c:pt idx="0">
                  <c:v>36.208741834765753</c:v>
                </c:pt>
                <c:pt idx="1">
                  <c:v>37.378119105638163</c:v>
                </c:pt>
                <c:pt idx="2">
                  <c:v>38.580165329847091</c:v>
                </c:pt>
                <c:pt idx="3">
                  <c:v>39.730686469760236</c:v>
                </c:pt>
                <c:pt idx="4">
                  <c:v>40.72320833107694</c:v>
                </c:pt>
                <c:pt idx="5">
                  <c:v>41.693394626687521</c:v>
                </c:pt>
              </c:numCache>
            </c:numRef>
          </c:val>
          <c:extLst>
            <c:ext xmlns:c16="http://schemas.microsoft.com/office/drawing/2014/chart" uri="{C3380CC4-5D6E-409C-BE32-E72D297353CC}">
              <c16:uniqueId val="{00000003-5859-4D3A-A725-9141027640FB}"/>
            </c:ext>
          </c:extLst>
        </c:ser>
        <c:ser>
          <c:idx val="4"/>
          <c:order val="4"/>
          <c:tx>
            <c:strRef>
              <c:f>'MEA different CAP'!$M$63</c:f>
              <c:strCache>
                <c:ptCount val="1"/>
                <c:pt idx="0">
                  <c:v>Loss of power due to steam consumption</c:v>
                </c:pt>
              </c:strCache>
            </c:strRef>
          </c:tx>
          <c:spPr>
            <a:solidFill>
              <a:srgbClr val="7030A0"/>
            </a:solidFill>
            <a:ln>
              <a:noFill/>
            </a:ln>
            <a:effectLst/>
          </c:spPr>
          <c:invertIfNegative val="0"/>
          <c:cat>
            <c:numRef>
              <c:f>'MEA different CAP'!$N$58:$S$58</c:f>
              <c:numCache>
                <c:formatCode>0%</c:formatCode>
                <c:ptCount val="6"/>
                <c:pt idx="0">
                  <c:v>0.5</c:v>
                </c:pt>
                <c:pt idx="1">
                  <c:v>0.6</c:v>
                </c:pt>
                <c:pt idx="2">
                  <c:v>0.7</c:v>
                </c:pt>
                <c:pt idx="3">
                  <c:v>0.79999999999999993</c:v>
                </c:pt>
                <c:pt idx="4">
                  <c:v>0.89999999999999991</c:v>
                </c:pt>
                <c:pt idx="5">
                  <c:v>0.99999999999999989</c:v>
                </c:pt>
              </c:numCache>
            </c:numRef>
          </c:cat>
          <c:val>
            <c:numRef>
              <c:f>'Adv. solvent different CAP'!$N$63:$S$63</c:f>
              <c:numCache>
                <c:formatCode>0</c:formatCode>
                <c:ptCount val="6"/>
                <c:pt idx="0">
                  <c:v>66.89501333554422</c:v>
                </c:pt>
                <c:pt idx="1">
                  <c:v>69.055417264691044</c:v>
                </c:pt>
                <c:pt idx="2">
                  <c:v>71.276176510216359</c:v>
                </c:pt>
                <c:pt idx="3">
                  <c:v>73.401744069247584</c:v>
                </c:pt>
                <c:pt idx="4">
                  <c:v>75.235410741555242</c:v>
                </c:pt>
                <c:pt idx="5">
                  <c:v>77.027812849283706</c:v>
                </c:pt>
              </c:numCache>
            </c:numRef>
          </c:val>
          <c:extLst>
            <c:ext xmlns:c16="http://schemas.microsoft.com/office/drawing/2014/chart" uri="{C3380CC4-5D6E-409C-BE32-E72D297353CC}">
              <c16:uniqueId val="{00000004-5859-4D3A-A725-9141027640FB}"/>
            </c:ext>
          </c:extLst>
        </c:ser>
        <c:ser>
          <c:idx val="5"/>
          <c:order val="5"/>
          <c:tx>
            <c:strRef>
              <c:f>'MEA different CAP'!$M$64</c:f>
              <c:strCache>
                <c:ptCount val="1"/>
                <c:pt idx="0">
                  <c:v>Total</c:v>
                </c:pt>
              </c:strCache>
            </c:strRef>
          </c:tx>
          <c:spPr>
            <a:no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'MEA different CAP'!$N$58:$S$58</c:f>
              <c:numCache>
                <c:formatCode>0%</c:formatCode>
                <c:ptCount val="6"/>
                <c:pt idx="0">
                  <c:v>0.5</c:v>
                </c:pt>
                <c:pt idx="1">
                  <c:v>0.6</c:v>
                </c:pt>
                <c:pt idx="2">
                  <c:v>0.7</c:v>
                </c:pt>
                <c:pt idx="3">
                  <c:v>0.79999999999999993</c:v>
                </c:pt>
                <c:pt idx="4">
                  <c:v>0.89999999999999991</c:v>
                </c:pt>
                <c:pt idx="5">
                  <c:v>0.99999999999999989</c:v>
                </c:pt>
              </c:numCache>
            </c:numRef>
          </c:cat>
          <c:val>
            <c:numRef>
              <c:f>'Adv. solvent different CAP'!$N$64:$S$64</c:f>
              <c:numCache>
                <c:formatCode>0</c:formatCode>
                <c:ptCount val="6"/>
                <c:pt idx="0">
                  <c:v>158.27726999538578</c:v>
                </c:pt>
                <c:pt idx="1">
                  <c:v>153.12789689337745</c:v>
                </c:pt>
                <c:pt idx="2">
                  <c:v>149.65335538722951</c:v>
                </c:pt>
                <c:pt idx="3">
                  <c:v>149.07672797830998</c:v>
                </c:pt>
                <c:pt idx="4">
                  <c:v>149.9186749559525</c:v>
                </c:pt>
                <c:pt idx="5">
                  <c:v>152.69812227804249</c:v>
                </c:pt>
              </c:numCache>
            </c:numRef>
          </c:val>
          <c:extLst>
            <c:ext xmlns:c16="http://schemas.microsoft.com/office/drawing/2014/chart" uri="{C3380CC4-5D6E-409C-BE32-E72D297353CC}">
              <c16:uniqueId val="{00000005-5859-4D3A-A725-9141027640FB}"/>
            </c:ext>
          </c:extLst>
        </c:ser>
        <c:dLbls>
          <c:showLegendKey val="0"/>
          <c:showVal val="0"/>
          <c:showCatName val="0"/>
          <c:showSerName val="0"/>
          <c:showPercent val="0"/>
          <c:showBubbleSize val="0"/>
        </c:dLbls>
        <c:gapWidth val="150"/>
        <c:overlap val="100"/>
        <c:axId val="1116491664"/>
        <c:axId val="1116493960"/>
      </c:barChart>
      <c:scatterChart>
        <c:scatterStyle val="lineMarker"/>
        <c:varyColors val="0"/>
        <c:ser>
          <c:idx val="6"/>
          <c:order val="6"/>
          <c:tx>
            <c:strRef>
              <c:f>'MEA different CAP'!$M$65</c:f>
              <c:strCache>
                <c:ptCount val="1"/>
                <c:pt idx="0">
                  <c:v>Net negative emissions</c:v>
                </c:pt>
              </c:strCache>
            </c:strRef>
          </c:tx>
          <c:spPr>
            <a:ln w="25400" cap="rnd">
              <a:noFill/>
              <a:round/>
            </a:ln>
            <a:effectLst/>
          </c:spPr>
          <c:marker>
            <c:symbol val="circle"/>
            <c:size val="5"/>
            <c:spPr>
              <a:solidFill>
                <a:srgbClr val="00B0F0"/>
              </a:solidFill>
              <a:ln w="41275">
                <a:solidFill>
                  <a:srgbClr val="00B0F0"/>
                </a:solidFill>
              </a:ln>
              <a:effectLst/>
            </c:spPr>
          </c:marker>
          <c:xVal>
            <c:strRef>
              <c:f>'MEA different CAP'!$N$57:$S$58</c:f>
              <c:strCache>
                <c:ptCount val="6"/>
                <c:pt idx="0">
                  <c:v>50%</c:v>
                </c:pt>
                <c:pt idx="1">
                  <c:v>60%</c:v>
                </c:pt>
                <c:pt idx="2">
                  <c:v>70%</c:v>
                </c:pt>
                <c:pt idx="3">
                  <c:v>80%</c:v>
                </c:pt>
                <c:pt idx="4">
                  <c:v>90%</c:v>
                </c:pt>
                <c:pt idx="5">
                  <c:v>100%</c:v>
                </c:pt>
              </c:strCache>
            </c:strRef>
          </c:xVal>
          <c:yVal>
            <c:numRef>
              <c:f>'Adv. solvent different CAP'!$N$65:$S$65</c:f>
              <c:numCache>
                <c:formatCode>0.000</c:formatCode>
                <c:ptCount val="6"/>
                <c:pt idx="0">
                  <c:v>-8.185030928807735E-2</c:v>
                </c:pt>
                <c:pt idx="1">
                  <c:v>8.5013659457757074E-2</c:v>
                </c:pt>
                <c:pt idx="2">
                  <c:v>0.29199210543211285</c:v>
                </c:pt>
                <c:pt idx="3">
                  <c:v>0.48193944680540679</c:v>
                </c:pt>
                <c:pt idx="4">
                  <c:v>0.63171207328191792</c:v>
                </c:pt>
                <c:pt idx="5">
                  <c:v>0.716277769115921</c:v>
                </c:pt>
              </c:numCache>
            </c:numRef>
          </c:yVal>
          <c:smooth val="0"/>
          <c:extLst>
            <c:ext xmlns:c16="http://schemas.microsoft.com/office/drawing/2014/chart" uri="{C3380CC4-5D6E-409C-BE32-E72D297353CC}">
              <c16:uniqueId val="{00000006-5859-4D3A-A725-9141027640FB}"/>
            </c:ext>
          </c:extLst>
        </c:ser>
        <c:dLbls>
          <c:showLegendKey val="0"/>
          <c:showVal val="0"/>
          <c:showCatName val="0"/>
          <c:showSerName val="0"/>
          <c:showPercent val="0"/>
          <c:showBubbleSize val="0"/>
        </c:dLbls>
        <c:axId val="799456416"/>
        <c:axId val="799466584"/>
      </c:scatterChart>
      <c:catAx>
        <c:axId val="1116491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CO₂ capture installed capacity compared to full-capacity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0%"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116493960"/>
        <c:crosses val="autoZero"/>
        <c:auto val="1"/>
        <c:lblAlgn val="ctr"/>
        <c:lblOffset val="100"/>
        <c:noMultiLvlLbl val="0"/>
      </c:catAx>
      <c:valAx>
        <c:axId val="1116493960"/>
        <c:scaling>
          <c:orientation val="minMax"/>
          <c:max val="24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CO</a:t>
                </a:r>
                <a:r>
                  <a:rPr lang="en-GB" baseline="-25000"/>
                  <a:t>2</a:t>
                </a:r>
                <a:r>
                  <a:rPr lang="en-GB"/>
                  <a:t> avoidance</a:t>
                </a:r>
                <a:r>
                  <a:rPr lang="en-GB" baseline="0"/>
                  <a:t> cost (€/tCO</a:t>
                </a:r>
                <a:r>
                  <a:rPr lang="en-GB" baseline="-25000"/>
                  <a:t>2</a:t>
                </a:r>
                <a:r>
                  <a:rPr lang="en-GB" baseline="0"/>
                  <a:t>,avoided)</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116491664"/>
        <c:crosses val="autoZero"/>
        <c:crossBetween val="between"/>
        <c:majorUnit val="40"/>
      </c:valAx>
      <c:valAx>
        <c:axId val="799466584"/>
        <c:scaling>
          <c:orientation val="minMax"/>
          <c:max val="0.8"/>
          <c:min val="-0.5"/>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a:t>Net negative emissions (tCO</a:t>
                </a:r>
                <a:r>
                  <a:rPr lang="en-GB" sz="1000" baseline="-25000"/>
                  <a:t>2</a:t>
                </a:r>
                <a:r>
                  <a:rPr lang="en-GB" sz="1000"/>
                  <a:t>/MWh)</a:t>
                </a:r>
              </a:p>
            </c:rich>
          </c:tx>
          <c:layout>
            <c:manualLayout>
              <c:xMode val="edge"/>
              <c:yMode val="edge"/>
              <c:x val="0.96783921485172064"/>
              <c:y val="0.176979999088203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0.0" sourceLinked="0"/>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99456416"/>
        <c:crosses val="max"/>
        <c:crossBetween val="midCat"/>
        <c:minorUnit val="0.1"/>
      </c:valAx>
      <c:valAx>
        <c:axId val="799456416"/>
        <c:scaling>
          <c:orientation val="minMax"/>
        </c:scaling>
        <c:delete val="1"/>
        <c:axPos val="b"/>
        <c:numFmt formatCode="General" sourceLinked="1"/>
        <c:majorTickMark val="out"/>
        <c:minorTickMark val="none"/>
        <c:tickLblPos val="nextTo"/>
        <c:crossAx val="799466584"/>
        <c:crosses val="autoZero"/>
        <c:crossBetween val="midCat"/>
      </c:valAx>
      <c:spPr>
        <a:noFill/>
        <a:ln>
          <a:noFill/>
        </a:ln>
        <a:effectLst/>
      </c:spPr>
    </c:plotArea>
    <c:legend>
      <c:legendPos val="r"/>
      <c:legendEntry>
        <c:idx val="0"/>
        <c:delete val="1"/>
      </c:legendEntry>
      <c:layout>
        <c:manualLayout>
          <c:xMode val="edge"/>
          <c:yMode val="edge"/>
          <c:x val="3.3693197988805515E-3"/>
          <c:y val="0.89002038516897564"/>
          <c:w val="0.99181140309268567"/>
          <c:h val="0.105508684863523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nb-N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481867230825079E-2"/>
          <c:y val="4.152735228052324E-2"/>
          <c:w val="0.84098650526394847"/>
          <c:h val="0.73287785591686538"/>
        </c:manualLayout>
      </c:layout>
      <c:barChart>
        <c:barDir val="col"/>
        <c:grouping val="stacked"/>
        <c:varyColors val="0"/>
        <c:ser>
          <c:idx val="0"/>
          <c:order val="0"/>
          <c:tx>
            <c:strRef>
              <c:f>'MEA different CAP'!$M$59</c:f>
              <c:strCache>
                <c:ptCount val="1"/>
                <c:pt idx="0">
                  <c:v>Capture investment cost</c:v>
                </c:pt>
              </c:strCache>
            </c:strRef>
          </c:tx>
          <c:spPr>
            <a:solidFill>
              <a:schemeClr val="accent2"/>
            </a:solidFill>
            <a:ln>
              <a:noFill/>
            </a:ln>
            <a:effectLst/>
          </c:spPr>
          <c:invertIfNegative val="0"/>
          <c:cat>
            <c:numRef>
              <c:f>'MEA different CAP'!$N$58:$S$58</c:f>
              <c:numCache>
                <c:formatCode>0%</c:formatCode>
                <c:ptCount val="6"/>
                <c:pt idx="0">
                  <c:v>0.5</c:v>
                </c:pt>
                <c:pt idx="1">
                  <c:v>0.6</c:v>
                </c:pt>
                <c:pt idx="2">
                  <c:v>0.7</c:v>
                </c:pt>
                <c:pt idx="3">
                  <c:v>0.79999999999999993</c:v>
                </c:pt>
                <c:pt idx="4">
                  <c:v>0.89999999999999991</c:v>
                </c:pt>
                <c:pt idx="5">
                  <c:v>0.99999999999999989</c:v>
                </c:pt>
              </c:numCache>
            </c:numRef>
          </c:cat>
          <c:val>
            <c:numRef>
              <c:f>'Membrane 50%CCR'!$N$59:$S$59</c:f>
              <c:numCache>
                <c:formatCode>0</c:formatCode>
                <c:ptCount val="6"/>
                <c:pt idx="0">
                  <c:v>50.843078823749664</c:v>
                </c:pt>
                <c:pt idx="1">
                  <c:v>44.88212676449772</c:v>
                </c:pt>
                <c:pt idx="2">
                  <c:v>40.969958007291602</c:v>
                </c:pt>
                <c:pt idx="3">
                  <c:v>38.770324916832962</c:v>
                </c:pt>
                <c:pt idx="4">
                  <c:v>36.745381560729946</c:v>
                </c:pt>
                <c:pt idx="5">
                  <c:v>34.731426741915016</c:v>
                </c:pt>
              </c:numCache>
            </c:numRef>
          </c:val>
          <c:extLst>
            <c:ext xmlns:c16="http://schemas.microsoft.com/office/drawing/2014/chart" uri="{C3380CC4-5D6E-409C-BE32-E72D297353CC}">
              <c16:uniqueId val="{00000000-E9F1-4C69-9DA8-C3133C7836E8}"/>
            </c:ext>
          </c:extLst>
        </c:ser>
        <c:ser>
          <c:idx val="1"/>
          <c:order val="1"/>
          <c:tx>
            <c:strRef>
              <c:f>'MEA different CAP'!$M$60</c:f>
              <c:strCache>
                <c:ptCount val="1"/>
                <c:pt idx="0">
                  <c:v>Capture fixed operating costs</c:v>
                </c:pt>
              </c:strCache>
            </c:strRef>
          </c:tx>
          <c:spPr>
            <a:solidFill>
              <a:schemeClr val="accent3"/>
            </a:solidFill>
            <a:ln>
              <a:noFill/>
            </a:ln>
            <a:effectLst/>
          </c:spPr>
          <c:invertIfNegative val="0"/>
          <c:cat>
            <c:numRef>
              <c:f>'MEA different CAP'!$N$58:$S$58</c:f>
              <c:numCache>
                <c:formatCode>0%</c:formatCode>
                <c:ptCount val="6"/>
                <c:pt idx="0">
                  <c:v>0.5</c:v>
                </c:pt>
                <c:pt idx="1">
                  <c:v>0.6</c:v>
                </c:pt>
                <c:pt idx="2">
                  <c:v>0.7</c:v>
                </c:pt>
                <c:pt idx="3">
                  <c:v>0.79999999999999993</c:v>
                </c:pt>
                <c:pt idx="4">
                  <c:v>0.89999999999999991</c:v>
                </c:pt>
                <c:pt idx="5">
                  <c:v>0.99999999999999989</c:v>
                </c:pt>
              </c:numCache>
            </c:numRef>
          </c:cat>
          <c:val>
            <c:numRef>
              <c:f>'Membrane 50%CCR'!$N$60:$S$60</c:f>
              <c:numCache>
                <c:formatCode>0</c:formatCode>
                <c:ptCount val="6"/>
                <c:pt idx="0">
                  <c:v>29.895178352927829</c:v>
                </c:pt>
                <c:pt idx="1">
                  <c:v>26.321915341790454</c:v>
                </c:pt>
                <c:pt idx="2">
                  <c:v>23.966720398409109</c:v>
                </c:pt>
                <c:pt idx="3">
                  <c:v>22.6380306629835</c:v>
                </c:pt>
                <c:pt idx="4">
                  <c:v>21.416233404870162</c:v>
                </c:pt>
                <c:pt idx="5">
                  <c:v>20.210504231392871</c:v>
                </c:pt>
              </c:numCache>
            </c:numRef>
          </c:val>
          <c:extLst>
            <c:ext xmlns:c16="http://schemas.microsoft.com/office/drawing/2014/chart" uri="{C3380CC4-5D6E-409C-BE32-E72D297353CC}">
              <c16:uniqueId val="{00000001-E9F1-4C69-9DA8-C3133C7836E8}"/>
            </c:ext>
          </c:extLst>
        </c:ser>
        <c:ser>
          <c:idx val="2"/>
          <c:order val="2"/>
          <c:tx>
            <c:strRef>
              <c:f>'MEA different CAP'!$M$61</c:f>
              <c:strCache>
                <c:ptCount val="1"/>
                <c:pt idx="0">
                  <c:v>Capture other variable costs</c:v>
                </c:pt>
              </c:strCache>
            </c:strRef>
          </c:tx>
          <c:spPr>
            <a:solidFill>
              <a:schemeClr val="accent4"/>
            </a:solidFill>
            <a:ln>
              <a:noFill/>
            </a:ln>
            <a:effectLst/>
          </c:spPr>
          <c:invertIfNegative val="0"/>
          <c:cat>
            <c:numRef>
              <c:f>'MEA different CAP'!$N$58:$S$58</c:f>
              <c:numCache>
                <c:formatCode>0%</c:formatCode>
                <c:ptCount val="6"/>
                <c:pt idx="0">
                  <c:v>0.5</c:v>
                </c:pt>
                <c:pt idx="1">
                  <c:v>0.6</c:v>
                </c:pt>
                <c:pt idx="2">
                  <c:v>0.7</c:v>
                </c:pt>
                <c:pt idx="3">
                  <c:v>0.79999999999999993</c:v>
                </c:pt>
                <c:pt idx="4">
                  <c:v>0.89999999999999991</c:v>
                </c:pt>
                <c:pt idx="5">
                  <c:v>0.99999999999999989</c:v>
                </c:pt>
              </c:numCache>
            </c:numRef>
          </c:cat>
          <c:val>
            <c:numRef>
              <c:f>'Membrane 50%CCR'!$N$61:$S$61</c:f>
              <c:numCache>
                <c:formatCode>0</c:formatCode>
                <c:ptCount val="6"/>
                <c:pt idx="0">
                  <c:v>1.4631408691902505</c:v>
                </c:pt>
                <c:pt idx="1">
                  <c:v>1.7713386406661356</c:v>
                </c:pt>
                <c:pt idx="2">
                  <c:v>2.1321306673240326</c:v>
                </c:pt>
                <c:pt idx="3">
                  <c:v>2.4235633350993471</c:v>
                </c:pt>
                <c:pt idx="4">
                  <c:v>2.6016099365624337</c:v>
                </c:pt>
                <c:pt idx="5">
                  <c:v>2.6338692618640174</c:v>
                </c:pt>
              </c:numCache>
            </c:numRef>
          </c:val>
          <c:extLst>
            <c:ext xmlns:c16="http://schemas.microsoft.com/office/drawing/2014/chart" uri="{C3380CC4-5D6E-409C-BE32-E72D297353CC}">
              <c16:uniqueId val="{00000002-E9F1-4C69-9DA8-C3133C7836E8}"/>
            </c:ext>
          </c:extLst>
        </c:ser>
        <c:ser>
          <c:idx val="3"/>
          <c:order val="3"/>
          <c:tx>
            <c:strRef>
              <c:f>'MEA different CAP'!$M$62</c:f>
              <c:strCache>
                <c:ptCount val="1"/>
                <c:pt idx="0">
                  <c:v>Loss of power due to electrictiy consumption</c:v>
                </c:pt>
              </c:strCache>
            </c:strRef>
          </c:tx>
          <c:spPr>
            <a:solidFill>
              <a:schemeClr val="accent6"/>
            </a:solidFill>
            <a:ln>
              <a:noFill/>
            </a:ln>
            <a:effectLst/>
          </c:spPr>
          <c:invertIfNegative val="0"/>
          <c:cat>
            <c:numRef>
              <c:f>'MEA different CAP'!$N$58:$S$58</c:f>
              <c:numCache>
                <c:formatCode>0%</c:formatCode>
                <c:ptCount val="6"/>
                <c:pt idx="0">
                  <c:v>0.5</c:v>
                </c:pt>
                <c:pt idx="1">
                  <c:v>0.6</c:v>
                </c:pt>
                <c:pt idx="2">
                  <c:v>0.7</c:v>
                </c:pt>
                <c:pt idx="3">
                  <c:v>0.79999999999999993</c:v>
                </c:pt>
                <c:pt idx="4">
                  <c:v>0.89999999999999991</c:v>
                </c:pt>
                <c:pt idx="5">
                  <c:v>0.99999999999999989</c:v>
                </c:pt>
              </c:numCache>
            </c:numRef>
          </c:cat>
          <c:val>
            <c:numRef>
              <c:f>'Membrane 50%CCR'!$N$62:$S$62</c:f>
              <c:numCache>
                <c:formatCode>0</c:formatCode>
                <c:ptCount val="6"/>
                <c:pt idx="0">
                  <c:v>50.635787997244933</c:v>
                </c:pt>
                <c:pt idx="1">
                  <c:v>66.6461306833408</c:v>
                </c:pt>
                <c:pt idx="2">
                  <c:v>88.264594262713331</c:v>
                </c:pt>
                <c:pt idx="3">
                  <c:v>110.51644821602865</c:v>
                </c:pt>
                <c:pt idx="4">
                  <c:v>130.09985350937805</c:v>
                </c:pt>
                <c:pt idx="5">
                  <c:v>142.85974716032402</c:v>
                </c:pt>
              </c:numCache>
            </c:numRef>
          </c:val>
          <c:extLst>
            <c:ext xmlns:c16="http://schemas.microsoft.com/office/drawing/2014/chart" uri="{C3380CC4-5D6E-409C-BE32-E72D297353CC}">
              <c16:uniqueId val="{00000003-E9F1-4C69-9DA8-C3133C7836E8}"/>
            </c:ext>
          </c:extLst>
        </c:ser>
        <c:ser>
          <c:idx val="4"/>
          <c:order val="4"/>
          <c:tx>
            <c:strRef>
              <c:f>'MEA different CAP'!$M$63</c:f>
              <c:strCache>
                <c:ptCount val="1"/>
                <c:pt idx="0">
                  <c:v>Loss of power due to steam consumption</c:v>
                </c:pt>
              </c:strCache>
            </c:strRef>
          </c:tx>
          <c:spPr>
            <a:solidFill>
              <a:srgbClr val="7030A0"/>
            </a:solidFill>
            <a:ln>
              <a:noFill/>
            </a:ln>
            <a:effectLst/>
          </c:spPr>
          <c:invertIfNegative val="0"/>
          <c:cat>
            <c:numRef>
              <c:f>'MEA different CAP'!$N$58:$S$58</c:f>
              <c:numCache>
                <c:formatCode>0%</c:formatCode>
                <c:ptCount val="6"/>
                <c:pt idx="0">
                  <c:v>0.5</c:v>
                </c:pt>
                <c:pt idx="1">
                  <c:v>0.6</c:v>
                </c:pt>
                <c:pt idx="2">
                  <c:v>0.7</c:v>
                </c:pt>
                <c:pt idx="3">
                  <c:v>0.79999999999999993</c:v>
                </c:pt>
                <c:pt idx="4">
                  <c:v>0.89999999999999991</c:v>
                </c:pt>
                <c:pt idx="5">
                  <c:v>0.99999999999999989</c:v>
                </c:pt>
              </c:numCache>
            </c:numRef>
          </c:cat>
          <c:val>
            <c:numRef>
              <c:f>'Membrane 50%CCR'!$N$63:$S$63</c:f>
              <c:numCache>
                <c:formatCode>0</c:formatCode>
                <c:ptCount val="6"/>
                <c:pt idx="0">
                  <c:v>0</c:v>
                </c:pt>
                <c:pt idx="1">
                  <c:v>0</c:v>
                </c:pt>
                <c:pt idx="2">
                  <c:v>0</c:v>
                </c:pt>
                <c:pt idx="3">
                  <c:v>0</c:v>
                </c:pt>
                <c:pt idx="4">
                  <c:v>0</c:v>
                </c:pt>
                <c:pt idx="5">
                  <c:v>0</c:v>
                </c:pt>
              </c:numCache>
            </c:numRef>
          </c:val>
          <c:extLst>
            <c:ext xmlns:c16="http://schemas.microsoft.com/office/drawing/2014/chart" uri="{C3380CC4-5D6E-409C-BE32-E72D297353CC}">
              <c16:uniqueId val="{00000004-E9F1-4C69-9DA8-C3133C7836E8}"/>
            </c:ext>
          </c:extLst>
        </c:ser>
        <c:ser>
          <c:idx val="5"/>
          <c:order val="5"/>
          <c:tx>
            <c:strRef>
              <c:f>'MEA different CAP'!$M$64</c:f>
              <c:strCache>
                <c:ptCount val="1"/>
                <c:pt idx="0">
                  <c:v>Total</c:v>
                </c:pt>
              </c:strCache>
            </c:strRef>
          </c:tx>
          <c:spPr>
            <a:no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b-NO"/>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'MEA different CAP'!$N$58:$S$58</c:f>
              <c:numCache>
                <c:formatCode>0%</c:formatCode>
                <c:ptCount val="6"/>
                <c:pt idx="0">
                  <c:v>0.5</c:v>
                </c:pt>
                <c:pt idx="1">
                  <c:v>0.6</c:v>
                </c:pt>
                <c:pt idx="2">
                  <c:v>0.7</c:v>
                </c:pt>
                <c:pt idx="3">
                  <c:v>0.79999999999999993</c:v>
                </c:pt>
                <c:pt idx="4">
                  <c:v>0.89999999999999991</c:v>
                </c:pt>
                <c:pt idx="5">
                  <c:v>0.99999999999999989</c:v>
                </c:pt>
              </c:numCache>
            </c:numRef>
          </c:cat>
          <c:val>
            <c:numRef>
              <c:f>'Membrane 50%CCR'!$N$64:$S$64</c:f>
              <c:numCache>
                <c:formatCode>0</c:formatCode>
                <c:ptCount val="6"/>
                <c:pt idx="0">
                  <c:v>132.83718604311269</c:v>
                </c:pt>
                <c:pt idx="1">
                  <c:v>139.6215114302951</c:v>
                </c:pt>
                <c:pt idx="2">
                  <c:v>155.33340333573807</c:v>
                </c:pt>
                <c:pt idx="3">
                  <c:v>174.34836713094444</c:v>
                </c:pt>
                <c:pt idx="4">
                  <c:v>190.86307841154058</c:v>
                </c:pt>
                <c:pt idx="5">
                  <c:v>200.43554739549592</c:v>
                </c:pt>
              </c:numCache>
            </c:numRef>
          </c:val>
          <c:extLst>
            <c:ext xmlns:c16="http://schemas.microsoft.com/office/drawing/2014/chart" uri="{C3380CC4-5D6E-409C-BE32-E72D297353CC}">
              <c16:uniqueId val="{00000005-E9F1-4C69-9DA8-C3133C7836E8}"/>
            </c:ext>
          </c:extLst>
        </c:ser>
        <c:dLbls>
          <c:showLegendKey val="0"/>
          <c:showVal val="0"/>
          <c:showCatName val="0"/>
          <c:showSerName val="0"/>
          <c:showPercent val="0"/>
          <c:showBubbleSize val="0"/>
        </c:dLbls>
        <c:gapWidth val="150"/>
        <c:overlap val="100"/>
        <c:axId val="1116491664"/>
        <c:axId val="1116493960"/>
      </c:barChart>
      <c:scatterChart>
        <c:scatterStyle val="lineMarker"/>
        <c:varyColors val="0"/>
        <c:ser>
          <c:idx val="6"/>
          <c:order val="6"/>
          <c:tx>
            <c:strRef>
              <c:f>'MEA different CAP'!$M$65</c:f>
              <c:strCache>
                <c:ptCount val="1"/>
                <c:pt idx="0">
                  <c:v>Net negative emissions</c:v>
                </c:pt>
              </c:strCache>
            </c:strRef>
          </c:tx>
          <c:spPr>
            <a:ln w="25400" cap="rnd">
              <a:noFill/>
              <a:round/>
            </a:ln>
            <a:effectLst/>
          </c:spPr>
          <c:marker>
            <c:symbol val="circle"/>
            <c:size val="5"/>
            <c:spPr>
              <a:solidFill>
                <a:srgbClr val="00B0F0"/>
              </a:solidFill>
              <a:ln w="41275">
                <a:solidFill>
                  <a:srgbClr val="00B0F0"/>
                </a:solidFill>
              </a:ln>
              <a:effectLst/>
            </c:spPr>
          </c:marker>
          <c:xVal>
            <c:strRef>
              <c:f>'MEA different CAP'!$N$57:$S$58</c:f>
              <c:strCache>
                <c:ptCount val="6"/>
                <c:pt idx="0">
                  <c:v>50%</c:v>
                </c:pt>
                <c:pt idx="1">
                  <c:v>60%</c:v>
                </c:pt>
                <c:pt idx="2">
                  <c:v>70%</c:v>
                </c:pt>
                <c:pt idx="3">
                  <c:v>80%</c:v>
                </c:pt>
                <c:pt idx="4">
                  <c:v>90%</c:v>
                </c:pt>
                <c:pt idx="5">
                  <c:v>100%</c:v>
                </c:pt>
              </c:strCache>
            </c:strRef>
          </c:xVal>
          <c:yVal>
            <c:numRef>
              <c:f>'Membrane 50%CCR'!$N$65:$S$65</c:f>
              <c:numCache>
                <c:formatCode>0.000</c:formatCode>
                <c:ptCount val="6"/>
                <c:pt idx="0">
                  <c:v>-0.47359934042235619</c:v>
                </c:pt>
                <c:pt idx="1">
                  <c:v>-0.43724918091888343</c:v>
                </c:pt>
                <c:pt idx="2">
                  <c:v>-0.40105330508246362</c:v>
                </c:pt>
                <c:pt idx="3">
                  <c:v>-0.36633978162463698</c:v>
                </c:pt>
                <c:pt idx="4">
                  <c:v>-0.33042729803219517</c:v>
                </c:pt>
                <c:pt idx="5">
                  <c:v>-0.2905893829923572</c:v>
                </c:pt>
              </c:numCache>
            </c:numRef>
          </c:yVal>
          <c:smooth val="0"/>
          <c:extLst>
            <c:ext xmlns:c16="http://schemas.microsoft.com/office/drawing/2014/chart" uri="{C3380CC4-5D6E-409C-BE32-E72D297353CC}">
              <c16:uniqueId val="{00000006-E9F1-4C69-9DA8-C3133C7836E8}"/>
            </c:ext>
          </c:extLst>
        </c:ser>
        <c:dLbls>
          <c:showLegendKey val="0"/>
          <c:showVal val="0"/>
          <c:showCatName val="0"/>
          <c:showSerName val="0"/>
          <c:showPercent val="0"/>
          <c:showBubbleSize val="0"/>
        </c:dLbls>
        <c:axId val="799456416"/>
        <c:axId val="799466584"/>
      </c:scatterChart>
      <c:catAx>
        <c:axId val="11164916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CO₂ capture installed capacity compared to full-capacity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0%"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116493960"/>
        <c:crosses val="autoZero"/>
        <c:auto val="1"/>
        <c:lblAlgn val="ctr"/>
        <c:lblOffset val="100"/>
        <c:noMultiLvlLbl val="0"/>
      </c:catAx>
      <c:valAx>
        <c:axId val="1116493960"/>
        <c:scaling>
          <c:orientation val="minMax"/>
          <c:max val="24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CO</a:t>
                </a:r>
                <a:r>
                  <a:rPr lang="en-GB" baseline="-25000"/>
                  <a:t>2</a:t>
                </a:r>
                <a:r>
                  <a:rPr lang="en-GB"/>
                  <a:t> avoidance</a:t>
                </a:r>
                <a:r>
                  <a:rPr lang="en-GB" baseline="0"/>
                  <a:t> cost (€/tCO</a:t>
                </a:r>
                <a:r>
                  <a:rPr lang="en-GB" baseline="-25000"/>
                  <a:t>2</a:t>
                </a:r>
                <a:r>
                  <a:rPr lang="en-GB" baseline="0"/>
                  <a:t>,avoided)</a:t>
                </a:r>
                <a:endParaRPr lang="en-GB"/>
              </a:p>
            </c:rich>
          </c:tx>
          <c:layout>
            <c:manualLayout>
              <c:xMode val="edge"/>
              <c:yMode val="edge"/>
              <c:x val="0"/>
              <c:y val="0.13861927564397961"/>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0" sourceLinked="1"/>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116491664"/>
        <c:crosses val="autoZero"/>
        <c:crossBetween val="between"/>
        <c:majorUnit val="40"/>
      </c:valAx>
      <c:valAx>
        <c:axId val="799466584"/>
        <c:scaling>
          <c:orientation val="minMax"/>
          <c:max val="0.8"/>
          <c:min val="-0.5"/>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a:t>Net negative emissions (tCO</a:t>
                </a:r>
                <a:r>
                  <a:rPr lang="en-GB" sz="1000" baseline="-25000"/>
                  <a:t>2</a:t>
                </a:r>
                <a:r>
                  <a:rPr lang="en-GB" sz="1000"/>
                  <a:t>/MWh)</a:t>
                </a:r>
              </a:p>
            </c:rich>
          </c:tx>
          <c:layout>
            <c:manualLayout>
              <c:xMode val="edge"/>
              <c:yMode val="edge"/>
              <c:x val="0.96783921485172064"/>
              <c:y val="0.1791938984726145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0.0" sourceLinked="0"/>
        <c:majorTickMark val="out"/>
        <c:minorTickMark val="out"/>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799456416"/>
        <c:crosses val="max"/>
        <c:crossBetween val="midCat"/>
        <c:minorUnit val="0.1"/>
      </c:valAx>
      <c:valAx>
        <c:axId val="799456416"/>
        <c:scaling>
          <c:orientation val="minMax"/>
        </c:scaling>
        <c:delete val="1"/>
        <c:axPos val="b"/>
        <c:numFmt formatCode="General" sourceLinked="1"/>
        <c:majorTickMark val="out"/>
        <c:minorTickMark val="none"/>
        <c:tickLblPos val="nextTo"/>
        <c:crossAx val="799466584"/>
        <c:crosses val="autoZero"/>
        <c:crossBetween val="midCat"/>
      </c:valAx>
      <c:spPr>
        <a:noFill/>
        <a:ln>
          <a:noFill/>
        </a:ln>
        <a:effectLst/>
      </c:spPr>
    </c:plotArea>
    <c:legend>
      <c:legendPos val="r"/>
      <c:legendEntry>
        <c:idx val="0"/>
        <c:delete val="1"/>
      </c:legendEntry>
      <c:layout>
        <c:manualLayout>
          <c:xMode val="edge"/>
          <c:yMode val="edge"/>
          <c:x val="3.3693197988805515E-3"/>
          <c:y val="0.89630074866595877"/>
          <c:w val="0.99181140309268567"/>
          <c:h val="9.922835981380190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nb-N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56508941055265"/>
          <c:y val="3.6529685141308693E-2"/>
          <c:w val="0.84721269654377318"/>
          <c:h val="0.72925306076662133"/>
        </c:manualLayout>
      </c:layout>
      <c:scatterChart>
        <c:scatterStyle val="lineMarker"/>
        <c:varyColors val="0"/>
        <c:ser>
          <c:idx val="0"/>
          <c:order val="0"/>
          <c:tx>
            <c:strRef>
              <c:f>'CO2 profiles'!$D$4</c:f>
              <c:strCache>
                <c:ptCount val="1"/>
                <c:pt idx="0">
                  <c:v>CO₂ imported via ship</c:v>
                </c:pt>
              </c:strCache>
            </c:strRef>
          </c:tx>
          <c:spPr>
            <a:ln w="19050" cap="rnd">
              <a:solidFill>
                <a:schemeClr val="accent1"/>
              </a:solidFill>
              <a:round/>
            </a:ln>
            <a:effectLst/>
          </c:spPr>
          <c:marker>
            <c:symbol val="none"/>
          </c:marker>
          <c:xVal>
            <c:numRef>
              <c:f>'CO2 profiles'!$C$5:$C$29</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'CO2 profiles'!$D$5:$D$29</c:f>
              <c:numCache>
                <c:formatCode>0.00</c:formatCode>
                <c:ptCount val="25"/>
                <c:pt idx="0">
                  <c:v>1.4514063040000003</c:v>
                </c:pt>
                <c:pt idx="1">
                  <c:v>1.4514063040000003</c:v>
                </c:pt>
                <c:pt idx="2">
                  <c:v>1.4514063040000003</c:v>
                </c:pt>
                <c:pt idx="3">
                  <c:v>1.4514063040000003</c:v>
                </c:pt>
                <c:pt idx="4">
                  <c:v>1.4514063040000003</c:v>
                </c:pt>
                <c:pt idx="5">
                  <c:v>1.4514063040000003</c:v>
                </c:pt>
                <c:pt idx="6">
                  <c:v>1.4514063040000003</c:v>
                </c:pt>
                <c:pt idx="7">
                  <c:v>1.4514063040000003</c:v>
                </c:pt>
                <c:pt idx="8">
                  <c:v>1.4514063040000003</c:v>
                </c:pt>
                <c:pt idx="9">
                  <c:v>1.4514063040000003</c:v>
                </c:pt>
                <c:pt idx="10">
                  <c:v>1.4514063040000003</c:v>
                </c:pt>
                <c:pt idx="11">
                  <c:v>1.4514063040000003</c:v>
                </c:pt>
                <c:pt idx="12">
                  <c:v>1.4514063040000003</c:v>
                </c:pt>
                <c:pt idx="13">
                  <c:v>1.4514063040000003</c:v>
                </c:pt>
                <c:pt idx="14">
                  <c:v>1.4514063040000003</c:v>
                </c:pt>
                <c:pt idx="15">
                  <c:v>1.4514063040000003</c:v>
                </c:pt>
                <c:pt idx="16">
                  <c:v>1.4514063040000003</c:v>
                </c:pt>
                <c:pt idx="17">
                  <c:v>1.4514063040000003</c:v>
                </c:pt>
                <c:pt idx="18">
                  <c:v>1.4514063040000003</c:v>
                </c:pt>
                <c:pt idx="19">
                  <c:v>1.4514063040000003</c:v>
                </c:pt>
                <c:pt idx="20">
                  <c:v>1.4514063040000003</c:v>
                </c:pt>
                <c:pt idx="21">
                  <c:v>1.4514063040000003</c:v>
                </c:pt>
                <c:pt idx="22">
                  <c:v>1.4514063040000003</c:v>
                </c:pt>
                <c:pt idx="23">
                  <c:v>1.4514063040000003</c:v>
                </c:pt>
                <c:pt idx="24">
                  <c:v>1.4514063040000003</c:v>
                </c:pt>
              </c:numCache>
            </c:numRef>
          </c:yVal>
          <c:smooth val="0"/>
          <c:extLst>
            <c:ext xmlns:c16="http://schemas.microsoft.com/office/drawing/2014/chart" uri="{C3380CC4-5D6E-409C-BE32-E72D297353CC}">
              <c16:uniqueId val="{00000000-F842-4E30-B48B-82087A3EDB2F}"/>
            </c:ext>
          </c:extLst>
        </c:ser>
        <c:ser>
          <c:idx val="1"/>
          <c:order val="1"/>
          <c:tx>
            <c:strRef>
              <c:f>'CO2 profiles'!$E$4</c:f>
              <c:strCache>
                <c:ptCount val="1"/>
                <c:pt idx="0">
                  <c:v>Imported CO₂ injected in the EOR storage</c:v>
                </c:pt>
              </c:strCache>
            </c:strRef>
          </c:tx>
          <c:spPr>
            <a:ln w="19050" cap="rnd">
              <a:solidFill>
                <a:schemeClr val="accent2"/>
              </a:solidFill>
              <a:round/>
            </a:ln>
            <a:effectLst/>
          </c:spPr>
          <c:marker>
            <c:symbol val="none"/>
          </c:marker>
          <c:xVal>
            <c:numRef>
              <c:f>'CO2 profiles'!$C$5:$C$29</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'CO2 profiles'!$E$5:$E$29</c:f>
              <c:numCache>
                <c:formatCode>0.00</c:formatCode>
                <c:ptCount val="25"/>
                <c:pt idx="0">
                  <c:v>1.4514063040000003</c:v>
                </c:pt>
                <c:pt idx="1">
                  <c:v>1.4514063040000003</c:v>
                </c:pt>
                <c:pt idx="2">
                  <c:v>1.1101941847276426</c:v>
                </c:pt>
                <c:pt idx="3">
                  <c:v>0.96945311200385109</c:v>
                </c:pt>
                <c:pt idx="4">
                  <c:v>0.856961314378899</c:v>
                </c:pt>
                <c:pt idx="5">
                  <c:v>0.76704865215464713</c:v>
                </c:pt>
                <c:pt idx="6">
                  <c:v>0.69518308507387661</c:v>
                </c:pt>
                <c:pt idx="7">
                  <c:v>0.6377422352082649</c:v>
                </c:pt>
                <c:pt idx="8">
                  <c:v>0.59183080130034837</c:v>
                </c:pt>
                <c:pt idx="9">
                  <c:v>0.55513462134457592</c:v>
                </c:pt>
                <c:pt idx="10">
                  <c:v>0.52580402744399546</c:v>
                </c:pt>
                <c:pt idx="11">
                  <c:v>0.50236061345383054</c:v>
                </c:pt>
                <c:pt idx="12">
                  <c:v>0.48362271604278023</c:v>
                </c:pt>
                <c:pt idx="13">
                  <c:v>0.46864585305113787</c:v>
                </c:pt>
                <c:pt idx="14">
                  <c:v>0.45667511694612833</c:v>
                </c:pt>
                <c:pt idx="15">
                  <c:v>0.44710712377053846</c:v>
                </c:pt>
                <c:pt idx="16">
                  <c:v>0.4394595996245651</c:v>
                </c:pt>
                <c:pt idx="17">
                  <c:v>0.43334707169002895</c:v>
                </c:pt>
                <c:pt idx="18">
                  <c:v>0.42846143850505131</c:v>
                </c:pt>
                <c:pt idx="19">
                  <c:v>0.42455644013550747</c:v>
                </c:pt>
                <c:pt idx="20">
                  <c:v>0.42143524546353989</c:v>
                </c:pt>
                <c:pt idx="21">
                  <c:v>0.41894053093144229</c:v>
                </c:pt>
                <c:pt idx="22">
                  <c:v>0.41694655066082503</c:v>
                </c:pt>
                <c:pt idx="23">
                  <c:v>0.41535279824207921</c:v>
                </c:pt>
                <c:pt idx="24">
                  <c:v>0.41407894071716406</c:v>
                </c:pt>
              </c:numCache>
            </c:numRef>
          </c:yVal>
          <c:smooth val="0"/>
          <c:extLst>
            <c:ext xmlns:c16="http://schemas.microsoft.com/office/drawing/2014/chart" uri="{C3380CC4-5D6E-409C-BE32-E72D297353CC}">
              <c16:uniqueId val="{00000001-F842-4E30-B48B-82087A3EDB2F}"/>
            </c:ext>
          </c:extLst>
        </c:ser>
        <c:ser>
          <c:idx val="2"/>
          <c:order val="2"/>
          <c:tx>
            <c:strRef>
              <c:f>'CO2 profiles'!$F$4</c:f>
              <c:strCache>
                <c:ptCount val="1"/>
                <c:pt idx="0">
                  <c:v>Excess CO₂ injected in the Saline Aquifer</c:v>
                </c:pt>
              </c:strCache>
            </c:strRef>
          </c:tx>
          <c:spPr>
            <a:ln w="19050" cap="rnd">
              <a:solidFill>
                <a:schemeClr val="accent3"/>
              </a:solidFill>
              <a:round/>
            </a:ln>
            <a:effectLst/>
          </c:spPr>
          <c:marker>
            <c:symbol val="none"/>
          </c:marker>
          <c:xVal>
            <c:numRef>
              <c:f>'CO2 profiles'!$C$5:$C$29</c:f>
              <c:numCache>
                <c:formatCode>General</c:formatCode>
                <c:ptCount val="25"/>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numCache>
            </c:numRef>
          </c:xVal>
          <c:yVal>
            <c:numRef>
              <c:f>'CO2 profiles'!$F$5:$F$29</c:f>
              <c:numCache>
                <c:formatCode>0.00</c:formatCode>
                <c:ptCount val="25"/>
                <c:pt idx="0">
                  <c:v>0</c:v>
                </c:pt>
                <c:pt idx="1">
                  <c:v>0</c:v>
                </c:pt>
                <c:pt idx="2">
                  <c:v>0.34121211927235762</c:v>
                </c:pt>
                <c:pt idx="3">
                  <c:v>0.48195319199614917</c:v>
                </c:pt>
                <c:pt idx="4">
                  <c:v>0.59444498962110126</c:v>
                </c:pt>
                <c:pt idx="5">
                  <c:v>0.68435765184535313</c:v>
                </c:pt>
                <c:pt idx="6">
                  <c:v>0.75622321892612365</c:v>
                </c:pt>
                <c:pt idx="7">
                  <c:v>0.81366406879173536</c:v>
                </c:pt>
                <c:pt idx="8">
                  <c:v>0.85957550269965188</c:v>
                </c:pt>
                <c:pt idx="9">
                  <c:v>0.89627168265542434</c:v>
                </c:pt>
                <c:pt idx="10">
                  <c:v>0.9256022765560048</c:v>
                </c:pt>
                <c:pt idx="11">
                  <c:v>0.94904569054616972</c:v>
                </c:pt>
                <c:pt idx="12">
                  <c:v>0.96778358795722008</c:v>
                </c:pt>
                <c:pt idx="13">
                  <c:v>0.98276045094886233</c:v>
                </c:pt>
                <c:pt idx="14">
                  <c:v>0.99473118705387198</c:v>
                </c:pt>
                <c:pt idx="15">
                  <c:v>1.0042991802294619</c:v>
                </c:pt>
                <c:pt idx="16">
                  <c:v>1.0119467043754351</c:v>
                </c:pt>
                <c:pt idx="17">
                  <c:v>1.0180592323099713</c:v>
                </c:pt>
                <c:pt idx="18">
                  <c:v>1.0229448654949489</c:v>
                </c:pt>
                <c:pt idx="19">
                  <c:v>1.0268498638644927</c:v>
                </c:pt>
                <c:pt idx="20">
                  <c:v>1.0299710585364603</c:v>
                </c:pt>
                <c:pt idx="21">
                  <c:v>1.032465773068558</c:v>
                </c:pt>
                <c:pt idx="22">
                  <c:v>1.0344597533391753</c:v>
                </c:pt>
                <c:pt idx="23">
                  <c:v>1.036053505757921</c:v>
                </c:pt>
                <c:pt idx="24">
                  <c:v>1.0373273632828361</c:v>
                </c:pt>
              </c:numCache>
            </c:numRef>
          </c:yVal>
          <c:smooth val="0"/>
          <c:extLst>
            <c:ext xmlns:c16="http://schemas.microsoft.com/office/drawing/2014/chart" uri="{C3380CC4-5D6E-409C-BE32-E72D297353CC}">
              <c16:uniqueId val="{00000002-F842-4E30-B48B-82087A3EDB2F}"/>
            </c:ext>
          </c:extLst>
        </c:ser>
        <c:dLbls>
          <c:showLegendKey val="0"/>
          <c:showVal val="0"/>
          <c:showCatName val="0"/>
          <c:showSerName val="0"/>
          <c:showPercent val="0"/>
          <c:showBubbleSize val="0"/>
        </c:dLbls>
        <c:axId val="1092624864"/>
        <c:axId val="1092624208"/>
      </c:scatterChart>
      <c:valAx>
        <c:axId val="1092624864"/>
        <c:scaling>
          <c:orientation val="minMax"/>
          <c:max val="25"/>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092624208"/>
        <c:crosses val="autoZero"/>
        <c:crossBetween val="midCat"/>
      </c:valAx>
      <c:valAx>
        <c:axId val="10926242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Amount of CO</a:t>
                </a:r>
                <a:r>
                  <a:rPr lang="en-GB" baseline="-25000"/>
                  <a:t>2</a:t>
                </a:r>
                <a:r>
                  <a:rPr lang="en-GB"/>
                  <a:t> (MtCO</a:t>
                </a:r>
                <a:r>
                  <a:rPr lang="en-GB" baseline="-25000"/>
                  <a:t>2</a:t>
                </a:r>
                <a:r>
                  <a:rPr lang="en-GB" baseline="0"/>
                  <a:t>/Y)</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b-NO"/>
            </a:p>
          </c:tx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crossAx val="1092624864"/>
        <c:crosses val="autoZero"/>
        <c:crossBetween val="midCat"/>
        <c:majorUnit val="0.25"/>
      </c:valAx>
      <c:spPr>
        <a:noFill/>
        <a:ln>
          <a:noFill/>
        </a:ln>
        <a:effectLst/>
      </c:spPr>
    </c:plotArea>
    <c:legend>
      <c:legendPos val="b"/>
      <c:layout>
        <c:manualLayout>
          <c:xMode val="edge"/>
          <c:yMode val="edge"/>
          <c:x val="6.5525547624303996E-3"/>
          <c:y val="0.89290082046666475"/>
          <c:w val="0.98422429906542053"/>
          <c:h val="0.1070991795333352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b-N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nb-N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661</Words>
  <Characters>3506</Characters>
  <Application>Microsoft Office Word</Application>
  <DocSecurity>0</DocSecurity>
  <Lines>29</Lines>
  <Paragraphs>8</Paragraphs>
  <ScaleCrop>false</ScaleCrop>
  <Company/>
  <LinksUpToDate>false</LinksUpToDate>
  <CharactersWithSpaces>4159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Frontiers</dc:creator>
  <cp:keywords/>
  <dc:description/>
  <cp:lastModifiedBy>Simon Roussanaly</cp:lastModifiedBy>
  <cp:revision>2</cp:revision>
  <dcterms:created xsi:type="dcterms:W3CDTF">2020-02-13T22:20:00Z</dcterms:created>
  <dcterms:modified xsi:type="dcterms:W3CDTF">2020-02-13T22:20:00Z</dcterms:modified>
</cp:coreProperties>
</file>