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9E" w:rsidRPr="00F46CC4" w:rsidRDefault="006C639E" w:rsidP="006C639E">
      <w:pPr>
        <w:widowControl/>
        <w:spacing w:before="120"/>
        <w:jc w:val="both"/>
        <w:rPr>
          <w:rFonts w:ascii="Times New Roman" w:hAnsi="Times New Roman" w:cs="Times New Roman"/>
          <w:b/>
          <w:szCs w:val="24"/>
        </w:rPr>
      </w:pPr>
      <w:r w:rsidRPr="00F46CC4">
        <w:rPr>
          <w:rFonts w:ascii="Times New Roman" w:hAnsi="Times New Roman" w:cs="Times New Roman"/>
          <w:b/>
          <w:szCs w:val="24"/>
        </w:rPr>
        <w:t>Appendix</w:t>
      </w:r>
    </w:p>
    <w:p w:rsidR="006C639E" w:rsidRPr="00F46CC4" w:rsidRDefault="006C639E" w:rsidP="006C639E">
      <w:pPr>
        <w:widowControl/>
        <w:spacing w:before="120"/>
        <w:jc w:val="both"/>
        <w:rPr>
          <w:rFonts w:ascii="Times New Roman" w:hAnsi="Times New Roman" w:cs="Times New Roman"/>
          <w:szCs w:val="24"/>
        </w:rPr>
      </w:pPr>
      <w:r w:rsidRPr="00F46CC4">
        <w:rPr>
          <w:rFonts w:ascii="Times New Roman" w:hAnsi="Times New Roman" w:cs="Times New Roman"/>
          <w:szCs w:val="24"/>
        </w:rPr>
        <w:t xml:space="preserve">In order to model the </w:t>
      </w:r>
      <w:proofErr w:type="spellStart"/>
      <w:r w:rsidRPr="00F46CC4">
        <w:rPr>
          <w:rFonts w:ascii="Times New Roman" w:hAnsi="Times New Roman" w:cs="Times New Roman"/>
          <w:szCs w:val="24"/>
        </w:rPr>
        <w:t>cointegrated</w:t>
      </w:r>
      <w:proofErr w:type="spellEnd"/>
      <w:r w:rsidRPr="00F46CC4">
        <w:rPr>
          <w:rFonts w:ascii="Times New Roman" w:hAnsi="Times New Roman" w:cs="Times New Roman"/>
          <w:szCs w:val="24"/>
        </w:rPr>
        <w:t xml:space="preserve"> relationship between population health (measured by life expectancy at birth) and economic development (measured by real GDP per capita) with a deterministic trend, we define these two variables </w:t>
      </w:r>
      <w:r w:rsidRPr="00F46CC4">
        <w:rPr>
          <w:rFonts w:ascii="Times New Roman" w:hAnsi="Times New Roman" w:cs="Times New Roman"/>
          <w:color w:val="FF0000"/>
          <w:szCs w:val="24"/>
          <w:u w:val="single"/>
        </w:rPr>
        <w:t xml:space="preserve">based on </w:t>
      </w:r>
      <w:proofErr w:type="spellStart"/>
      <w:r w:rsidRPr="00F46CC4">
        <w:rPr>
          <w:rFonts w:ascii="Times New Roman" w:hAnsi="Times New Roman" w:cs="Times New Roman"/>
          <w:color w:val="FF0000"/>
          <w:szCs w:val="24"/>
          <w:u w:val="single"/>
        </w:rPr>
        <w:t>Hatemi</w:t>
      </w:r>
      <w:proofErr w:type="spellEnd"/>
      <w:r w:rsidRPr="00F46CC4">
        <w:rPr>
          <w:rFonts w:ascii="Times New Roman" w:hAnsi="Times New Roman" w:cs="Times New Roman"/>
          <w:color w:val="FF0000"/>
          <w:szCs w:val="24"/>
          <w:u w:val="single"/>
        </w:rPr>
        <w:t xml:space="preserve">-J (2014), </w:t>
      </w:r>
      <w:proofErr w:type="spellStart"/>
      <w:r w:rsidRPr="00F46CC4">
        <w:rPr>
          <w:rFonts w:ascii="Times New Roman" w:hAnsi="Times New Roman" w:cs="Times New Roman"/>
          <w:color w:val="FF0000"/>
          <w:szCs w:val="24"/>
          <w:u w:val="single"/>
        </w:rPr>
        <w:t>Hatemi</w:t>
      </w:r>
      <w:proofErr w:type="spellEnd"/>
      <w:r w:rsidRPr="00F46CC4">
        <w:rPr>
          <w:rFonts w:ascii="Times New Roman" w:hAnsi="Times New Roman" w:cs="Times New Roman"/>
          <w:color w:val="FF0000"/>
          <w:szCs w:val="24"/>
          <w:u w:val="single"/>
        </w:rPr>
        <w:t>-J and El-</w:t>
      </w:r>
      <w:proofErr w:type="spellStart"/>
      <w:r w:rsidRPr="00F46CC4">
        <w:rPr>
          <w:rFonts w:ascii="Times New Roman" w:hAnsi="Times New Roman" w:cs="Times New Roman"/>
          <w:color w:val="FF0000"/>
          <w:szCs w:val="24"/>
          <w:u w:val="single"/>
        </w:rPr>
        <w:t>Khatib</w:t>
      </w:r>
      <w:proofErr w:type="spellEnd"/>
      <w:r w:rsidRPr="00F46CC4">
        <w:rPr>
          <w:rFonts w:ascii="Times New Roman" w:hAnsi="Times New Roman" w:cs="Times New Roman"/>
          <w:color w:val="FF0000"/>
          <w:szCs w:val="24"/>
          <w:u w:val="single"/>
        </w:rPr>
        <w:t xml:space="preserve"> (2016), and </w:t>
      </w:r>
      <w:proofErr w:type="spellStart"/>
      <w:r w:rsidRPr="00F46CC4">
        <w:rPr>
          <w:rFonts w:ascii="Times New Roman" w:hAnsi="Times New Roman" w:cs="Times New Roman"/>
          <w:color w:val="FF0000"/>
          <w:szCs w:val="24"/>
          <w:u w:val="single"/>
        </w:rPr>
        <w:t>Hatemi</w:t>
      </w:r>
      <w:proofErr w:type="spellEnd"/>
      <w:r w:rsidRPr="00F46CC4">
        <w:rPr>
          <w:rFonts w:ascii="Times New Roman" w:hAnsi="Times New Roman" w:cs="Times New Roman"/>
          <w:color w:val="FF0000"/>
          <w:szCs w:val="24"/>
          <w:u w:val="single"/>
        </w:rPr>
        <w:t>-J (2014)</w:t>
      </w:r>
      <w:r w:rsidRPr="00F46CC4">
        <w:rPr>
          <w:rFonts w:ascii="Times New Roman" w:hAnsi="Times New Roman" w:cs="Times New Roman"/>
          <w:szCs w:val="24"/>
        </w:rPr>
        <w:t xml:space="preserve"> as follows:</w:t>
      </w:r>
    </w:p>
    <w:p w:rsidR="006C639E" w:rsidRPr="00F46CC4" w:rsidRDefault="006C639E" w:rsidP="006C639E">
      <w:pPr>
        <w:widowControl/>
        <w:suppressLineNumbers/>
        <w:jc w:val="both"/>
        <w:rPr>
          <w:rFonts w:ascii="Times New Roman" w:hAnsi="Times New Roman" w:cs="Times New Roman"/>
          <w:szCs w:val="24"/>
        </w:rPr>
      </w:pPr>
    </w:p>
    <w:p w:rsidR="006C639E" w:rsidRPr="00F46CC4" w:rsidRDefault="006C639E" w:rsidP="006C639E">
      <w:pPr>
        <w:jc w:val="center"/>
        <w:rPr>
          <w:rFonts w:ascii="Times New Roman" w:eastAsia="PMingLiU" w:hAnsi="Times New Roman" w:cs="Times New Roman"/>
          <w:szCs w:val="24"/>
        </w:rPr>
      </w:pPr>
      <w:bookmarkStart w:id="0" w:name="_GoBack"/>
      <w:bookmarkEnd w:id="0"/>
      <w:r w:rsidRPr="00F46CC4">
        <w:rPr>
          <w:rFonts w:ascii="Times New Roman" w:eastAsia="PMingLiU" w:hAnsi="Times New Roman" w:cs="Times New Roman"/>
          <w:szCs w:val="24"/>
        </w:rPr>
        <w:t xml:space="preserve">[A1] </w:t>
      </w:r>
      <w:r w:rsidRPr="00F46CC4">
        <w:rPr>
          <w:rFonts w:ascii="Times New Roman" w:eastAsia="PMingLiU" w:hAnsi="Times New Roman" w:cs="Times New Roman"/>
          <w:position w:val="-64"/>
          <w:szCs w:val="24"/>
        </w:rPr>
        <w:object w:dxaOrig="63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in" o:ole="">
            <v:imagedata r:id="rId6" o:title=""/>
          </v:shape>
          <o:OLEObject Type="Embed" ProgID="Equation.3" ShapeID="_x0000_i1025" DrawAspect="Content" ObjectID="_1642251193" r:id="rId7"/>
        </w:object>
      </w:r>
    </w:p>
    <w:p w:rsidR="006C639E" w:rsidRPr="00F46CC4" w:rsidRDefault="006C639E" w:rsidP="006C639E">
      <w:pPr>
        <w:suppressLineNumbers/>
        <w:jc w:val="both"/>
        <w:rPr>
          <w:rFonts w:ascii="Times New Roman" w:hAnsi="Times New Roman" w:cs="Times New Roman"/>
          <w:szCs w:val="24"/>
        </w:rPr>
      </w:pPr>
    </w:p>
    <w:p w:rsidR="006C639E" w:rsidRPr="00F46CC4" w:rsidRDefault="006C639E" w:rsidP="006C639E">
      <w:pPr>
        <w:jc w:val="both"/>
        <w:rPr>
          <w:rFonts w:ascii="Times New Roman" w:hAnsi="Times New Roman" w:cs="Times New Roman"/>
          <w:szCs w:val="24"/>
        </w:rPr>
      </w:pPr>
      <w:r w:rsidRPr="00F46CC4">
        <w:rPr>
          <w:rFonts w:ascii="Times New Roman" w:hAnsi="Times New Roman" w:cs="Times New Roman"/>
          <w:szCs w:val="24"/>
        </w:rPr>
        <w:t xml:space="preserve">where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499" w:dyaOrig="380">
          <v:shape id="_x0000_i1026" type="#_x0000_t75" style="width:21.75pt;height:21.75pt" o:ole="">
            <v:imagedata r:id="rId8" o:title=""/>
          </v:shape>
          <o:OLEObject Type="Embed" ProgID="Equation.DSMT4" ShapeID="_x0000_i1026" DrawAspect="Content" ObjectID="_1642251194" r:id="rId9"/>
        </w:object>
      </w:r>
      <w:r w:rsidRPr="00F46CC4">
        <w:rPr>
          <w:rFonts w:ascii="Times New Roman" w:hAnsi="Times New Roman" w:cs="Times New Roman"/>
          <w:szCs w:val="24"/>
        </w:rPr>
        <w:t xml:space="preserve"> and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740" w:dyaOrig="400">
          <v:shape id="_x0000_i1027" type="#_x0000_t75" style="width:36pt;height:21.75pt" o:ole="">
            <v:imagedata r:id="rId10" o:title=""/>
          </v:shape>
          <o:OLEObject Type="Embed" ProgID="Equation.3" ShapeID="_x0000_i1027" DrawAspect="Content" ObjectID="_1642251195" r:id="rId11"/>
        </w:object>
      </w:r>
      <w:r w:rsidRPr="00F46CC4">
        <w:rPr>
          <w:rFonts w:ascii="Times New Roman" w:hAnsi="Times New Roman" w:cs="Times New Roman"/>
          <w:szCs w:val="24"/>
        </w:rPr>
        <w:t xml:space="preserve"> represent life expectancy at birth and GDP per capita, respectively. Subscript </w:t>
      </w:r>
      <w:proofErr w:type="spellStart"/>
      <w:r w:rsidRPr="00F46CC4">
        <w:rPr>
          <w:rFonts w:ascii="Times New Roman" w:eastAsia="PMingLiU" w:hAnsi="Times New Roman" w:cs="Times New Roman"/>
          <w:i/>
          <w:szCs w:val="24"/>
        </w:rPr>
        <w:t>i</w:t>
      </w:r>
      <w:proofErr w:type="spellEnd"/>
      <w:r w:rsidRPr="00F46CC4">
        <w:rPr>
          <w:rFonts w:ascii="Times New Roman" w:eastAsia="PMingLiU" w:hAnsi="Times New Roman" w:cs="Times New Roman"/>
          <w:szCs w:val="24"/>
        </w:rPr>
        <w:t>=1,</w:t>
      </w:r>
      <w:proofErr w:type="gramStart"/>
      <w:r w:rsidRPr="00F46CC4">
        <w:rPr>
          <w:rFonts w:ascii="Times New Roman" w:eastAsia="PMingLiU" w:hAnsi="Times New Roman" w:cs="Times New Roman"/>
          <w:szCs w:val="24"/>
        </w:rPr>
        <w:t>2,3,…</w:t>
      </w:r>
      <w:proofErr w:type="gramEnd"/>
      <w:r w:rsidRPr="00F46CC4">
        <w:rPr>
          <w:rFonts w:ascii="Times New Roman" w:eastAsia="PMingLiU" w:hAnsi="Times New Roman" w:cs="Times New Roman"/>
          <w:szCs w:val="24"/>
        </w:rPr>
        <w:t>,</w:t>
      </w:r>
      <w:r w:rsidRPr="00F46CC4">
        <w:rPr>
          <w:rFonts w:ascii="Times New Roman" w:eastAsia="PMingLiU" w:hAnsi="Times New Roman" w:cs="Times New Roman"/>
          <w:i/>
          <w:szCs w:val="24"/>
        </w:rPr>
        <w:t>N</w:t>
      </w:r>
      <w:r w:rsidRPr="00F46CC4">
        <w:rPr>
          <w:rFonts w:ascii="Times New Roman" w:eastAsia="PMingLiU" w:hAnsi="Times New Roman" w:cs="Times New Roman"/>
          <w:szCs w:val="24"/>
        </w:rPr>
        <w:t xml:space="preserve"> denotes the individual country, and </w:t>
      </w:r>
      <w:r w:rsidRPr="00F46CC4">
        <w:rPr>
          <w:rFonts w:ascii="Times New Roman" w:eastAsia="PMingLiU" w:hAnsi="Times New Roman" w:cs="Times New Roman"/>
          <w:i/>
          <w:szCs w:val="24"/>
        </w:rPr>
        <w:t>N</w:t>
      </w:r>
      <w:r w:rsidRPr="00F46CC4">
        <w:rPr>
          <w:rFonts w:ascii="Times New Roman" w:eastAsia="PMingLiU" w:hAnsi="Times New Roman" w:cs="Times New Roman"/>
          <w:szCs w:val="24"/>
        </w:rPr>
        <w:t xml:space="preserve"> represents the total number of countries included in our study. </w:t>
      </w:r>
      <w:r w:rsidRPr="00F46CC4">
        <w:rPr>
          <w:rFonts w:ascii="Times New Roman" w:hAnsi="Times New Roman" w:cs="Times New Roman"/>
          <w:position w:val="-12"/>
          <w:szCs w:val="24"/>
        </w:rPr>
        <w:object w:dxaOrig="260" w:dyaOrig="380">
          <v:shape id="_x0000_i1028" type="#_x0000_t75" style="width:14.25pt;height:21.75pt" o:ole="">
            <v:imagedata r:id="rId12" o:title=""/>
          </v:shape>
          <o:OLEObject Type="Embed" ProgID="Equation.3" ShapeID="_x0000_i1028" DrawAspect="Content" ObjectID="_1642251196" r:id="rId13"/>
        </w:object>
      </w:r>
      <w:r w:rsidRPr="00F46CC4">
        <w:rPr>
          <w:rFonts w:ascii="Times New Roman" w:hAnsi="Times New Roman" w:cs="Times New Roman"/>
          <w:szCs w:val="24"/>
        </w:rPr>
        <w:t xml:space="preserve"> and </w:t>
      </w:r>
      <w:r w:rsidRPr="00F46CC4">
        <w:rPr>
          <w:rFonts w:ascii="Times New Roman" w:hAnsi="Times New Roman" w:cs="Times New Roman"/>
          <w:position w:val="-12"/>
          <w:szCs w:val="24"/>
        </w:rPr>
        <w:object w:dxaOrig="240" w:dyaOrig="380">
          <v:shape id="_x0000_i1029" type="#_x0000_t75" style="width:14.25pt;height:21.75pt" o:ole="">
            <v:imagedata r:id="rId14" o:title=""/>
          </v:shape>
          <o:OLEObject Type="Embed" ProgID="Equation.3" ShapeID="_x0000_i1029" DrawAspect="Content" ObjectID="_1642251197" r:id="rId15"/>
        </w:object>
      </w:r>
      <w:r w:rsidRPr="00F46CC4">
        <w:rPr>
          <w:rFonts w:ascii="Times New Roman" w:hAnsi="Times New Roman" w:cs="Times New Roman"/>
          <w:szCs w:val="24"/>
        </w:rPr>
        <w:t xml:space="preserve"> are the drifts, and </w:t>
      </w:r>
      <w:r w:rsidRPr="00F46CC4">
        <w:rPr>
          <w:rFonts w:ascii="Times New Roman" w:hAnsi="Times New Roman" w:cs="Times New Roman"/>
          <w:i/>
          <w:szCs w:val="24"/>
        </w:rPr>
        <w:t>t</w:t>
      </w:r>
      <w:r w:rsidRPr="00F46CC4">
        <w:rPr>
          <w:rFonts w:ascii="Times New Roman" w:hAnsi="Times New Roman" w:cs="Times New Roman"/>
          <w:szCs w:val="24"/>
        </w:rPr>
        <w:t>=</w:t>
      </w:r>
      <w:r w:rsidRPr="00F46CC4">
        <w:rPr>
          <w:rFonts w:ascii="Times New Roman" w:eastAsia="PMingLiU" w:hAnsi="Times New Roman" w:cs="Times New Roman"/>
          <w:szCs w:val="24"/>
        </w:rPr>
        <w:t>1,2,3,…,</w:t>
      </w:r>
      <w:r w:rsidRPr="00F46CC4">
        <w:rPr>
          <w:rFonts w:ascii="Times New Roman" w:eastAsia="PMingLiU" w:hAnsi="Times New Roman" w:cs="Times New Roman"/>
          <w:i/>
          <w:szCs w:val="24"/>
        </w:rPr>
        <w:t>T</w:t>
      </w:r>
      <w:r w:rsidRPr="00F46CC4">
        <w:rPr>
          <w:rFonts w:ascii="Times New Roman" w:hAnsi="Times New Roman" w:cs="Times New Roman"/>
          <w:szCs w:val="24"/>
        </w:rPr>
        <w:t xml:space="preserve"> is the deterministic trend component. </w:t>
      </w:r>
      <w:r w:rsidRPr="00F46CC4">
        <w:rPr>
          <w:rFonts w:ascii="Times New Roman" w:hAnsi="Times New Roman" w:cs="Times New Roman"/>
          <w:position w:val="-12"/>
          <w:szCs w:val="24"/>
        </w:rPr>
        <w:object w:dxaOrig="240" w:dyaOrig="380">
          <v:shape id="_x0000_i1030" type="#_x0000_t75" style="width:14.25pt;height:21.75pt" o:ole="">
            <v:imagedata r:id="rId16" o:title=""/>
          </v:shape>
          <o:OLEObject Type="Embed" ProgID="Equation.3" ShapeID="_x0000_i1030" DrawAspect="Content" ObjectID="_1642251198" r:id="rId17"/>
        </w:object>
      </w:r>
      <w:r w:rsidRPr="00F46CC4">
        <w:rPr>
          <w:rFonts w:ascii="Times New Roman" w:hAnsi="Times New Roman" w:cs="Times New Roman"/>
          <w:szCs w:val="24"/>
        </w:rPr>
        <w:t xml:space="preserve"> and </w:t>
      </w:r>
      <w:r w:rsidRPr="00F46CC4">
        <w:rPr>
          <w:rFonts w:ascii="Times New Roman" w:hAnsi="Times New Roman" w:cs="Times New Roman"/>
          <w:position w:val="-12"/>
          <w:szCs w:val="24"/>
        </w:rPr>
        <w:object w:dxaOrig="279" w:dyaOrig="380">
          <v:shape id="_x0000_i1031" type="#_x0000_t75" style="width:14.25pt;height:21.75pt" o:ole="">
            <v:imagedata r:id="rId18" o:title=""/>
          </v:shape>
          <o:OLEObject Type="Embed" ProgID="Equation.3" ShapeID="_x0000_i1031" DrawAspect="Content" ObjectID="_1642251199" r:id="rId19"/>
        </w:object>
      </w:r>
      <w:r w:rsidRPr="00F46CC4">
        <w:rPr>
          <w:rFonts w:ascii="Times New Roman" w:hAnsi="Times New Roman" w:cs="Times New Roman"/>
          <w:szCs w:val="24"/>
        </w:rPr>
        <w:t xml:space="preserve"> are coefficients corresponding to the deterministic trend components for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980" w:dyaOrig="400">
          <v:shape id="_x0000_i1032" type="#_x0000_t75" style="width:38.25pt;height:19.5pt" o:ole="">
            <v:imagedata r:id="rId20" o:title=""/>
          </v:shape>
          <o:OLEObject Type="Embed" ProgID="Equation.3" ShapeID="_x0000_i1032" DrawAspect="Content" ObjectID="_1642251200" r:id="rId21"/>
        </w:object>
      </w:r>
      <w:r w:rsidRPr="00F46C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46CC4">
        <w:rPr>
          <w:rFonts w:ascii="Times New Roman" w:hAnsi="Times New Roman" w:cs="Times New Roman"/>
          <w:szCs w:val="24"/>
        </w:rPr>
        <w:t>and</w:t>
      </w:r>
      <w:proofErr w:type="spellEnd"/>
      <w:r w:rsidRPr="00F46CC4">
        <w:rPr>
          <w:rFonts w:ascii="Times New Roman" w:hAnsi="Times New Roman" w:cs="Times New Roman"/>
          <w:szCs w:val="24"/>
        </w:rPr>
        <w:t xml:space="preserve">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200" w:dyaOrig="400">
          <v:shape id="_x0000_i1033" type="#_x0000_t75" style="width:68.25pt;height:19.5pt" o:ole="">
            <v:imagedata r:id="rId22" o:title=""/>
          </v:shape>
          <o:OLEObject Type="Embed" ProgID="Equation.3" ShapeID="_x0000_i1033" DrawAspect="Content" ObjectID="_1642251201" r:id="rId23"/>
        </w:object>
      </w:r>
      <w:r w:rsidRPr="00F46CC4">
        <w:rPr>
          <w:rFonts w:ascii="Times New Roman" w:hAnsi="Times New Roman" w:cs="Times New Roman"/>
          <w:szCs w:val="24"/>
        </w:rPr>
        <w:t>.</w:t>
      </w:r>
      <w:r w:rsidRPr="00F46CC4">
        <w:rPr>
          <w:rFonts w:ascii="Times New Roman" w:eastAsia="PMingLiU" w:hAnsi="Times New Roman" w:cs="Times New Roman"/>
          <w:szCs w:val="24"/>
        </w:rPr>
        <w:t xml:space="preserve">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400" w:dyaOrig="400">
          <v:shape id="_x0000_i1034" type="#_x0000_t75" style="width:21.75pt;height:21.75pt" o:ole="">
            <v:imagedata r:id="rId24" o:title=""/>
          </v:shape>
          <o:OLEObject Type="Embed" ProgID="Equation.3" ShapeID="_x0000_i1034" DrawAspect="Content" ObjectID="_1642251202" r:id="rId25"/>
        </w:object>
      </w:r>
      <w:r w:rsidRPr="00F46CC4">
        <w:rPr>
          <w:rFonts w:ascii="Times New Roman" w:hAnsi="Times New Roman" w:cs="Times New Roman"/>
          <w:szCs w:val="24"/>
        </w:rPr>
        <w:t xml:space="preserve"> (for </w:t>
      </w:r>
      <w:r w:rsidRPr="00F46CC4">
        <w:rPr>
          <w:rFonts w:ascii="Times New Roman" w:hAnsi="Times New Roman" w:cs="Times New Roman"/>
          <w:i/>
          <w:szCs w:val="24"/>
        </w:rPr>
        <w:t>h</w:t>
      </w:r>
      <w:r w:rsidRPr="00F46CC4">
        <w:rPr>
          <w:rFonts w:ascii="Times New Roman" w:hAnsi="Times New Roman" w:cs="Times New Roman"/>
          <w:szCs w:val="24"/>
        </w:rPr>
        <w:t xml:space="preserve">=1,2) is white noise residual, and </w:t>
      </w:r>
      <w:r w:rsidRPr="00F46CC4">
        <w:rPr>
          <w:position w:val="-30"/>
          <w:szCs w:val="24"/>
        </w:rPr>
        <w:object w:dxaOrig="740" w:dyaOrig="720">
          <v:shape id="_x0000_i1035" type="#_x0000_t75" style="width:36pt;height:36pt" o:ole="">
            <v:imagedata r:id="rId26" o:title=""/>
          </v:shape>
          <o:OLEObject Type="Embed" ProgID="Equation.3" ShapeID="_x0000_i1035" DrawAspect="Content" ObjectID="_1642251203" r:id="rId27"/>
        </w:object>
      </w:r>
      <w:r w:rsidRPr="00F46CC4">
        <w:rPr>
          <w:rFonts w:ascii="Times New Roman" w:hAnsi="Times New Roman" w:cs="Times New Roman"/>
          <w:szCs w:val="24"/>
        </w:rPr>
        <w:t xml:space="preserve">(for </w:t>
      </w:r>
      <w:r w:rsidRPr="00F46CC4">
        <w:rPr>
          <w:rFonts w:ascii="Times New Roman" w:hAnsi="Times New Roman" w:cs="Times New Roman"/>
          <w:i/>
          <w:szCs w:val="24"/>
        </w:rPr>
        <w:t>h</w:t>
      </w:r>
      <w:r w:rsidRPr="00F46CC4">
        <w:rPr>
          <w:rFonts w:ascii="Times New Roman" w:hAnsi="Times New Roman" w:cs="Times New Roman"/>
          <w:szCs w:val="24"/>
        </w:rPr>
        <w:t xml:space="preserve">=1,2) is the cumulative sum of the residuals. </w:t>
      </w:r>
      <w:r w:rsidRPr="00F46CC4">
        <w:rPr>
          <w:rFonts w:ascii="Times New Roman" w:eastAsia="PMingLiU" w:hAnsi="Times New Roman" w:cs="Times New Roman"/>
          <w:szCs w:val="24"/>
        </w:rPr>
        <w:t xml:space="preserve">In order to model the asymmetric </w:t>
      </w:r>
      <w:proofErr w:type="spellStart"/>
      <w:r w:rsidRPr="00F46CC4">
        <w:rPr>
          <w:rFonts w:ascii="Times New Roman" w:eastAsia="PMingLiU" w:hAnsi="Times New Roman" w:cs="Times New Roman"/>
          <w:szCs w:val="24"/>
        </w:rPr>
        <w:t>cointegrated</w:t>
      </w:r>
      <w:proofErr w:type="spellEnd"/>
      <w:r w:rsidRPr="00F46CC4">
        <w:rPr>
          <w:rFonts w:ascii="Times New Roman" w:eastAsia="PMingLiU" w:hAnsi="Times New Roman" w:cs="Times New Roman"/>
          <w:szCs w:val="24"/>
        </w:rPr>
        <w:t xml:space="preserve"> relationship between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980" w:dyaOrig="400">
          <v:shape id="_x0000_i1036" type="#_x0000_t75" style="width:38.25pt;height:19.5pt" o:ole="">
            <v:imagedata r:id="rId20" o:title=""/>
          </v:shape>
          <o:OLEObject Type="Embed" ProgID="Equation.3" ShapeID="_x0000_i1036" DrawAspect="Content" ObjectID="_1642251204" r:id="rId28"/>
        </w:object>
      </w:r>
      <w:r w:rsidRPr="00F46CC4">
        <w:rPr>
          <w:rFonts w:ascii="Times New Roman" w:hAnsi="Times New Roman" w:cs="Times New Roman"/>
          <w:szCs w:val="24"/>
        </w:rPr>
        <w:t xml:space="preserve"> and</w:t>
      </w:r>
      <w:r>
        <w:rPr>
          <w:rFonts w:ascii="Times New Roman" w:hAnsi="Times New Roman" w:cs="Times New Roman"/>
          <w:szCs w:val="24"/>
        </w:rPr>
        <w:t xml:space="preserve">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200" w:dyaOrig="400">
          <v:shape id="_x0000_i1037" type="#_x0000_t75" style="width:69pt;height:19.5pt" o:ole="">
            <v:imagedata r:id="rId29" o:title=""/>
          </v:shape>
          <o:OLEObject Type="Embed" ProgID="Equation.3" ShapeID="_x0000_i1037" DrawAspect="Content" ObjectID="_1642251205" r:id="rId30"/>
        </w:object>
      </w:r>
      <w:r w:rsidRPr="00F46CC4">
        <w:rPr>
          <w:rFonts w:ascii="Times New Roman" w:hAnsi="Times New Roman" w:cs="Times New Roman"/>
          <w:szCs w:val="24"/>
        </w:rPr>
        <w:t>, the positive and negative shocks for these two panel variables are defined as follows:</w:t>
      </w:r>
    </w:p>
    <w:p w:rsidR="006C639E" w:rsidRPr="00F46CC4" w:rsidRDefault="006C639E" w:rsidP="006C639E">
      <w:pPr>
        <w:suppressLineNumbers/>
        <w:jc w:val="both"/>
        <w:rPr>
          <w:rFonts w:ascii="Times New Roman" w:hAnsi="Times New Roman" w:cs="Times New Roman"/>
          <w:szCs w:val="24"/>
        </w:rPr>
      </w:pPr>
    </w:p>
    <w:p w:rsidR="006C639E" w:rsidRPr="00F46CC4" w:rsidRDefault="006C639E" w:rsidP="006C639E">
      <w:pPr>
        <w:jc w:val="center"/>
        <w:rPr>
          <w:rFonts w:ascii="Times New Roman" w:eastAsia="PMingLiU" w:hAnsi="Times New Roman" w:cs="Times New Roman"/>
          <w:szCs w:val="24"/>
        </w:rPr>
      </w:pPr>
      <w:r w:rsidRPr="00F46CC4">
        <w:rPr>
          <w:rFonts w:ascii="Times New Roman" w:eastAsia="PMingLiU" w:hAnsi="Times New Roman" w:cs="Times New Roman"/>
          <w:szCs w:val="24"/>
        </w:rPr>
        <w:t xml:space="preserve">[A2] </w:t>
      </w:r>
      <w:r w:rsidRPr="00F46CC4">
        <w:rPr>
          <w:rFonts w:ascii="Times New Roman" w:eastAsia="PMingLiU" w:hAnsi="Times New Roman" w:cs="Times New Roman"/>
          <w:position w:val="-38"/>
          <w:szCs w:val="24"/>
        </w:rPr>
        <w:object w:dxaOrig="4700" w:dyaOrig="900">
          <v:shape id="_x0000_i1038" type="#_x0000_t75" style="width:237.75pt;height:43.5pt" o:ole="">
            <v:imagedata r:id="rId31" o:title=""/>
          </v:shape>
          <o:OLEObject Type="Embed" ProgID="Equation.3" ShapeID="_x0000_i1038" DrawAspect="Content" ObjectID="_1642251206" r:id="rId32"/>
        </w:object>
      </w:r>
    </w:p>
    <w:p w:rsidR="006C639E" w:rsidRPr="00F46CC4" w:rsidRDefault="006C639E" w:rsidP="006C639E">
      <w:pPr>
        <w:widowControl/>
        <w:suppressLineNumbers/>
        <w:jc w:val="both"/>
        <w:rPr>
          <w:rFonts w:ascii="Times New Roman" w:hAnsi="Times New Roman" w:cs="Times New Roman"/>
          <w:szCs w:val="24"/>
        </w:rPr>
      </w:pPr>
    </w:p>
    <w:p w:rsidR="006C639E" w:rsidRPr="00F46CC4" w:rsidRDefault="006C639E" w:rsidP="006C639E">
      <w:pPr>
        <w:widowControl/>
        <w:jc w:val="both"/>
        <w:rPr>
          <w:rFonts w:ascii="Times New Roman" w:hAnsi="Times New Roman" w:cs="Times New Roman"/>
          <w:szCs w:val="24"/>
        </w:rPr>
      </w:pPr>
      <w:r w:rsidRPr="00F46CC4">
        <w:rPr>
          <w:rFonts w:ascii="Times New Roman" w:hAnsi="Times New Roman" w:cs="Times New Roman"/>
          <w:szCs w:val="24"/>
        </w:rPr>
        <w:t xml:space="preserve">It follows that the positive and negative components could be defined as follows: </w:t>
      </w:r>
    </w:p>
    <w:p w:rsidR="006C639E" w:rsidRPr="00F46CC4" w:rsidRDefault="006C639E" w:rsidP="006C639E">
      <w:pPr>
        <w:widowControl/>
        <w:suppressLineNumbers/>
        <w:jc w:val="both"/>
        <w:rPr>
          <w:rFonts w:ascii="Times New Roman" w:hAnsi="Times New Roman" w:cs="Times New Roman"/>
          <w:szCs w:val="24"/>
        </w:rPr>
      </w:pPr>
    </w:p>
    <w:p w:rsidR="006C639E" w:rsidRPr="00F46CC4" w:rsidRDefault="006C639E" w:rsidP="006C639E">
      <w:pPr>
        <w:widowControl/>
        <w:jc w:val="center"/>
        <w:rPr>
          <w:rFonts w:ascii="Times New Roman" w:eastAsia="PMingLiU" w:hAnsi="Times New Roman" w:cs="Times New Roman"/>
          <w:szCs w:val="24"/>
        </w:rPr>
      </w:pPr>
      <w:r w:rsidRPr="00F46CC4">
        <w:rPr>
          <w:rFonts w:ascii="Times New Roman" w:hAnsi="Times New Roman" w:cs="Times New Roman"/>
          <w:szCs w:val="24"/>
        </w:rPr>
        <w:t xml:space="preserve">[A3] </w:t>
      </w:r>
      <w:r w:rsidRPr="00F46CC4">
        <w:rPr>
          <w:rFonts w:ascii="Times New Roman" w:eastAsia="PMingLiU" w:hAnsi="Times New Roman" w:cs="Times New Roman"/>
          <w:position w:val="-138"/>
          <w:szCs w:val="24"/>
        </w:rPr>
        <w:object w:dxaOrig="6020" w:dyaOrig="2900">
          <v:shape id="_x0000_i1039" type="#_x0000_t75" style="width:295.5pt;height:2in" o:ole="">
            <v:imagedata r:id="rId33" o:title=""/>
          </v:shape>
          <o:OLEObject Type="Embed" ProgID="Equation.3" ShapeID="_x0000_i1039" DrawAspect="Content" ObjectID="_1642251207" r:id="rId34"/>
        </w:object>
      </w:r>
    </w:p>
    <w:p w:rsidR="006C639E" w:rsidRPr="00F46CC4" w:rsidRDefault="006C639E" w:rsidP="006C639E">
      <w:pPr>
        <w:widowControl/>
        <w:suppressLineNumbers/>
        <w:jc w:val="both"/>
        <w:rPr>
          <w:rFonts w:ascii="Times New Roman" w:eastAsia="PMingLiU" w:hAnsi="Times New Roman" w:cs="Times New Roman"/>
          <w:szCs w:val="24"/>
        </w:rPr>
      </w:pPr>
    </w:p>
    <w:p w:rsidR="006C639E" w:rsidRPr="00F46CC4" w:rsidRDefault="006C639E" w:rsidP="006C639E">
      <w:pPr>
        <w:widowControl/>
        <w:suppressLineNumbers/>
        <w:rPr>
          <w:rFonts w:ascii="Times New Roman" w:hAnsi="Times New Roman" w:cs="Times New Roman"/>
          <w:szCs w:val="24"/>
        </w:rPr>
      </w:pPr>
      <w:r w:rsidRPr="00F46CC4">
        <w:rPr>
          <w:rFonts w:ascii="Times New Roman" w:hAnsi="Times New Roman" w:cs="Times New Roman"/>
          <w:szCs w:val="24"/>
        </w:rPr>
        <w:t xml:space="preserve">where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040" w:dyaOrig="420">
          <v:shape id="_x0000_i1040" type="#_x0000_t75" style="width:43.5pt;height:21.75pt" o:ole="">
            <v:imagedata r:id="rId35" o:title=""/>
          </v:shape>
          <o:OLEObject Type="Embed" ProgID="Equation.3" ShapeID="_x0000_i1040" DrawAspect="Content" ObjectID="_1642251208" r:id="rId36"/>
        </w:object>
      </w:r>
      <w:r w:rsidRPr="00F46CC4">
        <w:rPr>
          <w:rFonts w:ascii="Times New Roman" w:hAnsi="Times New Roman" w:cs="Times New Roman"/>
          <w:szCs w:val="24"/>
        </w:rPr>
        <w:t>=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040" w:dyaOrig="420">
          <v:shape id="_x0000_i1041" type="#_x0000_t75" style="width:50.25pt;height:21.75pt" o:ole="">
            <v:imagedata r:id="rId37" o:title=""/>
          </v:shape>
          <o:OLEObject Type="Embed" ProgID="Equation.3" ShapeID="_x0000_i1041" DrawAspect="Content" ObjectID="_1642251209" r:id="rId38"/>
        </w:object>
      </w:r>
      <w:r w:rsidRPr="00F46CC4">
        <w:rPr>
          <w:rFonts w:ascii="Times New Roman" w:hAnsi="Times New Roman" w:cs="Times New Roman"/>
          <w:szCs w:val="24"/>
        </w:rPr>
        <w:t>+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040" w:dyaOrig="420">
          <v:shape id="_x0000_i1042" type="#_x0000_t75" style="width:50.25pt;height:21.75pt" o:ole="">
            <v:imagedata r:id="rId39" o:title=""/>
          </v:shape>
          <o:OLEObject Type="Embed" ProgID="Equation.3" ShapeID="_x0000_i1042" DrawAspect="Content" ObjectID="_1642251210" r:id="rId40"/>
        </w:object>
      </w:r>
      <w:r w:rsidRPr="00F46CC4">
        <w:rPr>
          <w:rFonts w:ascii="Times New Roman" w:hAnsi="Times New Roman" w:cs="Times New Roman"/>
          <w:szCs w:val="24"/>
        </w:rPr>
        <w:t xml:space="preserve"> and 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260" w:dyaOrig="420">
          <v:shape id="_x0000_i1043" type="#_x0000_t75" style="width:57.75pt;height:21.75pt" o:ole="">
            <v:imagedata r:id="rId41" o:title=""/>
          </v:shape>
          <o:OLEObject Type="Embed" ProgID="Equation.3" ShapeID="_x0000_i1043" DrawAspect="Content" ObjectID="_1642251211" r:id="rId42"/>
        </w:object>
      </w:r>
      <w:r w:rsidRPr="00F46CC4">
        <w:rPr>
          <w:rFonts w:ascii="Times New Roman" w:hAnsi="Times New Roman" w:cs="Times New Roman"/>
          <w:szCs w:val="24"/>
        </w:rPr>
        <w:t>=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260" w:dyaOrig="420">
          <v:shape id="_x0000_i1044" type="#_x0000_t75" style="width:57.75pt;height:21.75pt" o:ole="">
            <v:imagedata r:id="rId43" o:title=""/>
          </v:shape>
          <o:OLEObject Type="Embed" ProgID="Equation.3" ShapeID="_x0000_i1044" DrawAspect="Content" ObjectID="_1642251212" r:id="rId44"/>
        </w:object>
      </w:r>
      <w:r w:rsidRPr="00F46CC4">
        <w:rPr>
          <w:rFonts w:ascii="Times New Roman" w:hAnsi="Times New Roman" w:cs="Times New Roman"/>
          <w:szCs w:val="24"/>
        </w:rPr>
        <w:t>+</w:t>
      </w:r>
      <w:r w:rsidRPr="00F46CC4">
        <w:rPr>
          <w:rFonts w:ascii="Times New Roman" w:hAnsi="Times New Roman" w:cs="Times New Roman"/>
          <w:position w:val="-14"/>
          <w:szCs w:val="24"/>
        </w:rPr>
        <w:object w:dxaOrig="1260" w:dyaOrig="420">
          <v:shape id="_x0000_i1045" type="#_x0000_t75" style="width:57.75pt;height:21.75pt" o:ole="">
            <v:imagedata r:id="rId45" o:title=""/>
          </v:shape>
          <o:OLEObject Type="Embed" ProgID="Equation.3" ShapeID="_x0000_i1045" DrawAspect="Content" ObjectID="_1642251213" r:id="rId46"/>
        </w:object>
      </w:r>
      <w:r w:rsidRPr="00F46CC4">
        <w:rPr>
          <w:rFonts w:ascii="Times New Roman" w:hAnsi="Times New Roman" w:cs="Times New Roman"/>
          <w:szCs w:val="24"/>
        </w:rPr>
        <w:t xml:space="preserve">. </w:t>
      </w:r>
      <w:r w:rsidRPr="00F46CC4">
        <w:rPr>
          <w:rFonts w:ascii="Times New Roman" w:hAnsi="Times New Roman" w:cs="Times New Roman"/>
          <w:position w:val="-30"/>
          <w:szCs w:val="24"/>
        </w:rPr>
        <w:object w:dxaOrig="740" w:dyaOrig="720">
          <v:shape id="_x0000_i1046" type="#_x0000_t75" style="width:28.5pt;height:28.5pt" o:ole="">
            <v:imagedata r:id="rId47" o:title=""/>
          </v:shape>
          <o:OLEObject Type="Embed" ProgID="Equation.3" ShapeID="_x0000_i1046" DrawAspect="Content" ObjectID="_1642251214" r:id="rId48"/>
        </w:object>
      </w:r>
      <w:r w:rsidRPr="00F46CC4">
        <w:rPr>
          <w:rFonts w:ascii="Times New Roman" w:hAnsi="Times New Roman" w:cs="Times New Roman"/>
          <w:szCs w:val="24"/>
        </w:rPr>
        <w:t xml:space="preserve"> and </w:t>
      </w:r>
      <w:r w:rsidRPr="00F46CC4">
        <w:rPr>
          <w:rFonts w:ascii="Times New Roman" w:hAnsi="Times New Roman" w:cs="Times New Roman"/>
          <w:position w:val="-30"/>
          <w:szCs w:val="24"/>
        </w:rPr>
        <w:object w:dxaOrig="740" w:dyaOrig="720">
          <v:shape id="_x0000_i1047" type="#_x0000_t75" style="width:28.5pt;height:28.5pt" o:ole="">
            <v:imagedata r:id="rId49" o:title=""/>
          </v:shape>
          <o:OLEObject Type="Embed" ProgID="Equation.3" ShapeID="_x0000_i1047" DrawAspect="Content" ObjectID="_1642251215" r:id="rId50"/>
        </w:object>
      </w:r>
      <w:r w:rsidRPr="00F46CC4">
        <w:rPr>
          <w:rFonts w:ascii="Times New Roman" w:hAnsi="Times New Roman" w:cs="Times New Roman"/>
          <w:szCs w:val="24"/>
        </w:rPr>
        <w:t xml:space="preserve"> (for </w:t>
      </w:r>
      <w:r w:rsidRPr="00F46CC4">
        <w:rPr>
          <w:rFonts w:ascii="Times New Roman" w:hAnsi="Times New Roman" w:cs="Times New Roman"/>
          <w:i/>
          <w:szCs w:val="24"/>
        </w:rPr>
        <w:t>h</w:t>
      </w:r>
      <w:r w:rsidRPr="00F46CC4">
        <w:rPr>
          <w:rFonts w:ascii="Times New Roman" w:hAnsi="Times New Roman" w:cs="Times New Roman"/>
          <w:szCs w:val="24"/>
        </w:rPr>
        <w:t>=1,2) are positive and negative cumulative sum of shocks, respectively.</w:t>
      </w:r>
    </w:p>
    <w:p w:rsidR="006C639E" w:rsidRPr="00F46CC4" w:rsidRDefault="006C639E" w:rsidP="006C639E">
      <w:pPr>
        <w:widowControl/>
        <w:suppressLineNumbers/>
        <w:rPr>
          <w:rFonts w:ascii="Times New Roman" w:hAnsi="Times New Roman" w:cs="Times New Roman"/>
          <w:szCs w:val="24"/>
        </w:rPr>
      </w:pPr>
    </w:p>
    <w:p w:rsidR="000C4497" w:rsidRDefault="000C4497"/>
    <w:sectPr w:rsidR="000C4497" w:rsidSect="006C639E">
      <w:pgSz w:w="11907" w:h="16839" w:code="9"/>
      <w:pgMar w:top="1138" w:right="1181" w:bottom="1138" w:left="1282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B" w:rsidRDefault="0025152B" w:rsidP="006C639E">
      <w:r>
        <w:separator/>
      </w:r>
    </w:p>
  </w:endnote>
  <w:endnote w:type="continuationSeparator" w:id="0">
    <w:p w:rsidR="0025152B" w:rsidRDefault="0025152B" w:rsidP="006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B" w:rsidRDefault="0025152B" w:rsidP="006C639E">
      <w:r>
        <w:separator/>
      </w:r>
    </w:p>
  </w:footnote>
  <w:footnote w:type="continuationSeparator" w:id="0">
    <w:p w:rsidR="0025152B" w:rsidRDefault="0025152B" w:rsidP="006C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9E"/>
    <w:rsid w:val="000C4497"/>
    <w:rsid w:val="0025152B"/>
    <w:rsid w:val="006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570E-C982-4270-9227-0A019D5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9E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639E"/>
    <w:rPr>
      <w:rFonts w:eastAsiaTheme="minorEastAsia"/>
      <w:kern w:val="2"/>
      <w:sz w:val="20"/>
      <w:szCs w:val="20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6C639E"/>
  </w:style>
  <w:style w:type="paragraph" w:styleId="Footer">
    <w:name w:val="footer"/>
    <w:basedOn w:val="Normal"/>
    <w:link w:val="FooterChar"/>
    <w:uiPriority w:val="99"/>
    <w:unhideWhenUsed/>
    <w:rsid w:val="006C6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9E"/>
    <w:rPr>
      <w:rFonts w:eastAsiaTheme="minorEastAsia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2020-02-03T10:33:00Z</dcterms:created>
  <dcterms:modified xsi:type="dcterms:W3CDTF">2020-02-03T10:36:00Z</dcterms:modified>
</cp:coreProperties>
</file>