
<file path=[Content_Types].xml><?xml version="1.0" encoding="utf-8"?>
<Types xmlns="http://schemas.openxmlformats.org/package/2006/content-types">
  <Default Extension="xml" ContentType="application/xml"/>
  <Default Extension="tiff" ContentType="image/tif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5"/>
        <w:widowControl/>
        <w:spacing w:before="45" w:after="60"/>
        <w:jc w:val="both"/>
        <w:rPr>
          <w:rFonts w:ascii="Times New Roman" w:hAnsi="Times New Roman"/>
          <w:b/>
          <w:bCs/>
          <w:szCs w:val="24"/>
        </w:rPr>
      </w:pPr>
      <w:r>
        <w:rPr>
          <w:rFonts w:ascii="Times New Roman" w:hAnsi="Times New Roman"/>
          <w:b/>
          <w:bCs/>
        </w:rPr>
        <w:drawing>
          <wp:inline distT="0" distB="0" distL="0" distR="0">
            <wp:extent cx="5274310" cy="2849245"/>
            <wp:effectExtent l="0" t="0" r="2540" b="8255"/>
            <wp:docPr id="4" name="图片 4" descr="G:\刘霞\发表图修改\sb-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G:\刘霞\发表图修改\sb-1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49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bCs/>
        </w:rPr>
        <w:t xml:space="preserve">Supplementary </w:t>
      </w:r>
      <w:r>
        <w:rPr>
          <w:rFonts w:ascii="Times New Roman" w:hAnsi="Times New Roman"/>
          <w:b/>
          <w:bCs/>
          <w:szCs w:val="24"/>
        </w:rPr>
        <w:t>Fig</w:t>
      </w:r>
      <w:r>
        <w:rPr>
          <w:rFonts w:hint="eastAsia" w:ascii="Times New Roman" w:hAnsi="Times New Roman"/>
          <w:b/>
          <w:bCs/>
          <w:szCs w:val="24"/>
        </w:rPr>
        <w:t>ure 1.</w:t>
      </w:r>
      <w:r>
        <w:rPr>
          <w:rFonts w:ascii="Times New Roman" w:hAnsi="Times New Roman"/>
          <w:b/>
          <w:bCs/>
          <w:szCs w:val="24"/>
        </w:rPr>
        <w:t xml:space="preserve"> </w:t>
      </w:r>
      <w:r>
        <w:rPr>
          <w:rFonts w:ascii="Times New Roman" w:hAnsi="Times New Roman" w:eastAsiaTheme="minorEastAsia"/>
          <w:szCs w:val="24"/>
        </w:rPr>
        <w:t xml:space="preserve">The effect of miR-124 agomir on the infiltration of CD4 positive T cells and IL-6 level in colon tissue. Mice were treated as Figure.1. Colon tissue section was performed immunofluorescence histochemistry of CD4 and IL-6. </w:t>
      </w:r>
      <w:r>
        <w:rPr>
          <w:rFonts w:ascii="Times New Roman" w:hAnsi="Times New Roman" w:eastAsia="AdvP403A40"/>
          <w:szCs w:val="24"/>
        </w:rPr>
        <w:t xml:space="preserve">Nuclei were stained with DAPI. </w:t>
      </w:r>
      <w:r>
        <w:rPr>
          <w:rFonts w:hint="eastAsia" w:ascii="Times New Roman" w:hAnsi="Times New Roman" w:eastAsiaTheme="minorEastAsia"/>
          <w:szCs w:val="24"/>
        </w:rPr>
        <w:t>P</w:t>
      </w:r>
      <w:r>
        <w:rPr>
          <w:rFonts w:ascii="Times New Roman" w:hAnsi="Times New Roman" w:eastAsiaTheme="minorEastAsia"/>
          <w:szCs w:val="24"/>
        </w:rPr>
        <w:t>anels</w:t>
      </w:r>
      <w:r>
        <w:rPr>
          <w:rFonts w:hint="eastAsia" w:ascii="Times New Roman" w:hAnsi="Times New Roman" w:eastAsiaTheme="minorEastAsia"/>
          <w:szCs w:val="24"/>
        </w:rPr>
        <w:t xml:space="preserve"> from left to right</w:t>
      </w:r>
      <w:r>
        <w:rPr>
          <w:rFonts w:ascii="Times New Roman" w:hAnsi="Times New Roman" w:eastAsiaTheme="minorEastAsia"/>
          <w:szCs w:val="24"/>
        </w:rPr>
        <w:t xml:space="preserve">: </w:t>
      </w:r>
      <w:r>
        <w:rPr>
          <w:rFonts w:hint="eastAsia" w:ascii="Times New Roman" w:hAnsi="Times New Roman" w:eastAsiaTheme="minorEastAsia"/>
          <w:szCs w:val="24"/>
        </w:rPr>
        <w:t xml:space="preserve">Merged; IL-6, green; </w:t>
      </w:r>
      <w:r>
        <w:rPr>
          <w:rFonts w:ascii="Times New Roman" w:hAnsi="Times New Roman" w:eastAsiaTheme="minorEastAsia"/>
          <w:szCs w:val="24"/>
        </w:rPr>
        <w:t xml:space="preserve">CD4 positive T cells, </w:t>
      </w:r>
      <w:r>
        <w:rPr>
          <w:rFonts w:hint="eastAsia" w:ascii="Times New Roman" w:hAnsi="Times New Roman" w:eastAsiaTheme="minorEastAsia"/>
          <w:szCs w:val="24"/>
        </w:rPr>
        <w:t>rose</w:t>
      </w:r>
      <w:r>
        <w:rPr>
          <w:rFonts w:ascii="Times New Roman" w:hAnsi="Times New Roman" w:eastAsiaTheme="minorEastAsia"/>
          <w:szCs w:val="24"/>
        </w:rPr>
        <w:t xml:space="preserve">; </w:t>
      </w:r>
      <w:r>
        <w:rPr>
          <w:rFonts w:hint="eastAsia" w:ascii="Times New Roman" w:hAnsi="Times New Roman" w:eastAsiaTheme="minorEastAsia"/>
          <w:szCs w:val="24"/>
        </w:rPr>
        <w:t xml:space="preserve">DAPI, blue. </w:t>
      </w:r>
      <w:r>
        <w:rPr>
          <w:rFonts w:ascii="Times New Roman" w:hAnsi="Times New Roman" w:eastAsiaTheme="minorEastAsia"/>
          <w:szCs w:val="24"/>
        </w:rPr>
        <w:t>White arrows den</w:t>
      </w:r>
      <w:r>
        <w:rPr>
          <w:rFonts w:ascii="Times New Roman" w:hAnsi="Times New Roman"/>
          <w:szCs w:val="24"/>
        </w:rPr>
        <w:t xml:space="preserve">ote co-localization of </w:t>
      </w:r>
      <w:r>
        <w:rPr>
          <w:rFonts w:hint="eastAsia" w:ascii="Times New Roman" w:hAnsi="Times New Roman"/>
          <w:szCs w:val="24"/>
        </w:rPr>
        <w:t>IL-6</w:t>
      </w:r>
      <w:r>
        <w:rPr>
          <w:rFonts w:ascii="Times New Roman" w:hAnsi="Times New Roman"/>
          <w:szCs w:val="24"/>
        </w:rPr>
        <w:t xml:space="preserve"> (green) and CD4+ T cells (</w:t>
      </w:r>
      <w:r>
        <w:rPr>
          <w:rFonts w:hint="eastAsia" w:ascii="Times New Roman" w:hAnsi="Times New Roman"/>
          <w:szCs w:val="24"/>
        </w:rPr>
        <w:t>rose</w:t>
      </w:r>
      <w:r>
        <w:rPr>
          <w:rFonts w:ascii="Times New Roman" w:hAnsi="Times New Roman"/>
          <w:szCs w:val="24"/>
        </w:rPr>
        <w:t>)</w:t>
      </w:r>
      <w:r>
        <w:rPr>
          <w:rFonts w:hint="eastAsia" w:ascii="Times New Roman" w:hAnsi="Times New Roman"/>
          <w:szCs w:val="24"/>
        </w:rPr>
        <w:t xml:space="preserve">. </w:t>
      </w:r>
      <w:r>
        <w:rPr>
          <w:rFonts w:ascii="Times New Roman" w:hAnsi="Times New Roman" w:eastAsia="AdvP403A40"/>
          <w:szCs w:val="24"/>
        </w:rPr>
        <w:t xml:space="preserve">Original magnification </w:t>
      </w:r>
      <w:r>
        <w:rPr>
          <w:rFonts w:hint="eastAsia" w:ascii="Times New Roman" w:hAnsi="Times New Roman"/>
          <w:szCs w:val="24"/>
        </w:rPr>
        <w:t>189</w:t>
      </w:r>
      <w:r>
        <w:rPr>
          <w:rFonts w:ascii="Arial" w:hAnsi="Arial" w:cs="Arial"/>
          <w:szCs w:val="24"/>
        </w:rPr>
        <w:t>×</w:t>
      </w:r>
      <w:r>
        <w:rPr>
          <w:rFonts w:ascii="Times New Roman" w:hAnsi="Times New Roman" w:eastAsia="AdvP403A40"/>
          <w:szCs w:val="24"/>
        </w:rPr>
        <w:t xml:space="preserve">; Bar = </w:t>
      </w:r>
      <w:r>
        <w:rPr>
          <w:rFonts w:hint="eastAsia" w:ascii="Times New Roman" w:hAnsi="Times New Roman"/>
          <w:szCs w:val="24"/>
        </w:rPr>
        <w:t>1</w:t>
      </w:r>
      <w:r>
        <w:rPr>
          <w:rFonts w:ascii="Times New Roman" w:hAnsi="Times New Roman" w:eastAsia="AdvP403A40"/>
          <w:szCs w:val="24"/>
        </w:rPr>
        <w:t xml:space="preserve">0 </w:t>
      </w:r>
      <w:r>
        <w:rPr>
          <w:rFonts w:ascii="Times New Roman" w:hAnsi="Times New Roman" w:eastAsia="AdvP697C"/>
          <w:szCs w:val="24"/>
        </w:rPr>
        <w:t>µ</w:t>
      </w:r>
      <w:r>
        <w:rPr>
          <w:rFonts w:ascii="Times New Roman" w:hAnsi="Times New Roman" w:eastAsia="AdvP403A40"/>
          <w:szCs w:val="24"/>
        </w:rPr>
        <w:t>m</w:t>
      </w:r>
    </w:p>
    <w:p>
      <w:pPr>
        <w:pStyle w:val="5"/>
        <w:widowControl/>
        <w:spacing w:before="45" w:after="60"/>
        <w:jc w:val="both"/>
        <w:rPr>
          <w:rFonts w:ascii="Times New Roman" w:hAnsi="Times New Roman" w:eastAsiaTheme="minorEastAsia"/>
          <w:szCs w:val="24"/>
        </w:rPr>
      </w:pPr>
    </w:p>
    <w:p>
      <w:pPr>
        <w:pStyle w:val="5"/>
        <w:widowControl/>
        <w:spacing w:before="45" w:after="60"/>
        <w:jc w:val="both"/>
        <w:rPr>
          <w:rFonts w:ascii="Times New Roman" w:hAnsi="Times New Roman" w:eastAsiaTheme="minorEastAsia"/>
          <w:szCs w:val="24"/>
        </w:rPr>
      </w:pPr>
    </w:p>
    <w:p>
      <w:pPr>
        <w:pStyle w:val="5"/>
        <w:widowControl/>
        <w:spacing w:before="45" w:after="60"/>
        <w:jc w:val="both"/>
        <w:rPr>
          <w:rFonts w:ascii="Times New Roman" w:hAnsi="Times New Roman" w:eastAsia="AdvP403A40"/>
          <w:szCs w:val="24"/>
        </w:rPr>
      </w:pPr>
      <w:r>
        <w:rPr>
          <w:rFonts w:ascii="Times New Roman" w:hAnsi="Times New Roman" w:eastAsia="AdvP403A40"/>
          <w:szCs w:val="24"/>
        </w:rPr>
        <w:drawing>
          <wp:inline distT="0" distB="0" distL="0" distR="0">
            <wp:extent cx="5219700" cy="2848610"/>
            <wp:effectExtent l="0" t="0" r="0" b="8890"/>
            <wp:docPr id="5" name="图片 5" descr="G:\刘霞\发表图修改\sb-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G:\刘霞\发表图修改\sb-2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0"/>
                    <a:stretch>
                      <a:fillRect/>
                    </a:stretch>
                  </pic:blipFill>
                  <pic:spPr>
                    <a:xfrm>
                      <a:off x="0" y="0"/>
                      <a:ext cx="5221541" cy="2849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widowControl/>
        <w:spacing w:before="45" w:after="60"/>
        <w:jc w:val="both"/>
        <w:rPr>
          <w:rFonts w:ascii="Times New Roman" w:hAnsi="Times New Roman"/>
          <w:b/>
          <w:bCs/>
          <w:szCs w:val="24"/>
        </w:rPr>
      </w:pPr>
      <w:r>
        <w:rPr>
          <w:rFonts w:ascii="Times New Roman" w:hAnsi="Times New Roman"/>
          <w:b/>
          <w:bCs/>
        </w:rPr>
        <w:t xml:space="preserve">Supplementary </w:t>
      </w:r>
      <w:r>
        <w:rPr>
          <w:rFonts w:ascii="Times New Roman" w:hAnsi="Times New Roman"/>
          <w:b/>
          <w:bCs/>
          <w:szCs w:val="24"/>
        </w:rPr>
        <w:t>Fig</w:t>
      </w:r>
      <w:r>
        <w:rPr>
          <w:rFonts w:hint="eastAsia" w:ascii="Times New Roman" w:hAnsi="Times New Roman"/>
          <w:b/>
          <w:bCs/>
          <w:szCs w:val="24"/>
        </w:rPr>
        <w:t xml:space="preserve">ure 2. </w:t>
      </w:r>
      <w:r>
        <w:rPr>
          <w:rFonts w:ascii="Times New Roman" w:hAnsi="Times New Roman" w:eastAsiaTheme="minorEastAsia"/>
          <w:szCs w:val="24"/>
        </w:rPr>
        <w:t>The effect of miR-124 LNA on the infiltration of CD4 positive T cells and IL-6 level in colon tissue. Mice were treated as Figure.2</w:t>
      </w:r>
      <w:r>
        <w:rPr>
          <w:rFonts w:hint="eastAsia" w:ascii="Times New Roman" w:hAnsi="Times New Roman" w:eastAsiaTheme="minorEastAsia"/>
          <w:szCs w:val="24"/>
        </w:rPr>
        <w:t>.</w:t>
      </w:r>
      <w:r>
        <w:rPr>
          <w:rFonts w:ascii="Times New Roman" w:hAnsi="Times New Roman" w:eastAsiaTheme="minorEastAsia"/>
          <w:szCs w:val="24"/>
        </w:rPr>
        <w:t xml:space="preserve"> Colon tissue section was performed immunofluorescence histochemistry of CD4 and IL-6</w:t>
      </w:r>
      <w:r>
        <w:rPr>
          <w:rFonts w:hint="eastAsia" w:ascii="Times New Roman" w:hAnsi="Times New Roman" w:eastAsiaTheme="minorEastAsia"/>
          <w:szCs w:val="24"/>
        </w:rPr>
        <w:t>.</w:t>
      </w:r>
      <w:r>
        <w:rPr>
          <w:rFonts w:ascii="Times New Roman" w:hAnsi="Times New Roman" w:eastAsiaTheme="minorEastAsia"/>
          <w:szCs w:val="24"/>
        </w:rPr>
        <w:t xml:space="preserve"> </w:t>
      </w:r>
      <w:r>
        <w:rPr>
          <w:rFonts w:ascii="Times New Roman" w:hAnsi="Times New Roman" w:eastAsia="AdvP403A40"/>
          <w:szCs w:val="24"/>
        </w:rPr>
        <w:t xml:space="preserve">Nuclei were stained with DAPI. </w:t>
      </w:r>
      <w:r>
        <w:rPr>
          <w:rFonts w:hint="eastAsia" w:ascii="Times New Roman" w:hAnsi="Times New Roman" w:eastAsiaTheme="minorEastAsia"/>
          <w:szCs w:val="24"/>
        </w:rPr>
        <w:t>P</w:t>
      </w:r>
      <w:r>
        <w:rPr>
          <w:rFonts w:ascii="Times New Roman" w:hAnsi="Times New Roman" w:eastAsiaTheme="minorEastAsia"/>
          <w:szCs w:val="24"/>
        </w:rPr>
        <w:t>anels</w:t>
      </w:r>
      <w:r>
        <w:rPr>
          <w:rFonts w:hint="eastAsia" w:ascii="Times New Roman" w:hAnsi="Times New Roman" w:eastAsiaTheme="minorEastAsia"/>
          <w:szCs w:val="24"/>
        </w:rPr>
        <w:t xml:space="preserve"> from left to right</w:t>
      </w:r>
      <w:r>
        <w:rPr>
          <w:rFonts w:ascii="Times New Roman" w:hAnsi="Times New Roman" w:eastAsiaTheme="minorEastAsia"/>
          <w:szCs w:val="24"/>
        </w:rPr>
        <w:t xml:space="preserve">: </w:t>
      </w:r>
      <w:r>
        <w:rPr>
          <w:rFonts w:hint="eastAsia" w:ascii="Times New Roman" w:hAnsi="Times New Roman" w:eastAsiaTheme="minorEastAsia"/>
          <w:szCs w:val="24"/>
        </w:rPr>
        <w:t xml:space="preserve">Merged; IL-6, green; </w:t>
      </w:r>
      <w:r>
        <w:rPr>
          <w:rFonts w:ascii="Times New Roman" w:hAnsi="Times New Roman" w:eastAsiaTheme="minorEastAsia"/>
          <w:szCs w:val="24"/>
        </w:rPr>
        <w:t xml:space="preserve">CD4 positive T cells, </w:t>
      </w:r>
      <w:r>
        <w:rPr>
          <w:rFonts w:hint="eastAsia" w:ascii="Times New Roman" w:hAnsi="Times New Roman" w:eastAsiaTheme="minorEastAsia"/>
          <w:szCs w:val="24"/>
        </w:rPr>
        <w:t>rose</w:t>
      </w:r>
      <w:r>
        <w:rPr>
          <w:rFonts w:ascii="Times New Roman" w:hAnsi="Times New Roman" w:eastAsiaTheme="minorEastAsia"/>
          <w:szCs w:val="24"/>
        </w:rPr>
        <w:t xml:space="preserve">; </w:t>
      </w:r>
      <w:r>
        <w:rPr>
          <w:rFonts w:hint="eastAsia" w:ascii="Times New Roman" w:hAnsi="Times New Roman" w:eastAsiaTheme="minorEastAsia"/>
          <w:szCs w:val="24"/>
        </w:rPr>
        <w:t xml:space="preserve">DAPI, blue. </w:t>
      </w:r>
      <w:r>
        <w:rPr>
          <w:rFonts w:ascii="Times New Roman" w:hAnsi="Times New Roman" w:eastAsiaTheme="minorEastAsia"/>
          <w:szCs w:val="24"/>
        </w:rPr>
        <w:t>White arrows den</w:t>
      </w:r>
      <w:r>
        <w:rPr>
          <w:rFonts w:ascii="Times New Roman" w:hAnsi="Times New Roman"/>
          <w:szCs w:val="24"/>
        </w:rPr>
        <w:t xml:space="preserve">ote co-localization of </w:t>
      </w:r>
      <w:r>
        <w:rPr>
          <w:rFonts w:hint="eastAsia" w:ascii="Times New Roman" w:hAnsi="Times New Roman"/>
          <w:szCs w:val="24"/>
        </w:rPr>
        <w:t>IL-6</w:t>
      </w:r>
      <w:r>
        <w:rPr>
          <w:rFonts w:ascii="Times New Roman" w:hAnsi="Times New Roman"/>
          <w:szCs w:val="24"/>
        </w:rPr>
        <w:t xml:space="preserve"> (green) and CD4+ T cells (</w:t>
      </w:r>
      <w:r>
        <w:rPr>
          <w:rFonts w:hint="eastAsia" w:ascii="Times New Roman" w:hAnsi="Times New Roman"/>
          <w:szCs w:val="24"/>
        </w:rPr>
        <w:t>rose</w:t>
      </w:r>
      <w:r>
        <w:rPr>
          <w:rFonts w:ascii="Times New Roman" w:hAnsi="Times New Roman"/>
          <w:szCs w:val="24"/>
        </w:rPr>
        <w:t>)</w:t>
      </w:r>
      <w:r>
        <w:rPr>
          <w:rFonts w:hint="eastAsia" w:ascii="Times New Roman" w:hAnsi="Times New Roman"/>
          <w:szCs w:val="24"/>
        </w:rPr>
        <w:t xml:space="preserve">. </w:t>
      </w:r>
      <w:r>
        <w:rPr>
          <w:rFonts w:ascii="Times New Roman" w:hAnsi="Times New Roman" w:eastAsia="AdvP403A40"/>
          <w:szCs w:val="24"/>
        </w:rPr>
        <w:t xml:space="preserve">Original magnification </w:t>
      </w:r>
      <w:r>
        <w:rPr>
          <w:rFonts w:hint="eastAsia" w:ascii="Times New Roman" w:hAnsi="Times New Roman"/>
          <w:szCs w:val="24"/>
        </w:rPr>
        <w:t>189</w:t>
      </w:r>
      <w:r>
        <w:rPr>
          <w:rFonts w:ascii="Arial" w:hAnsi="Arial" w:cs="Arial"/>
          <w:szCs w:val="24"/>
        </w:rPr>
        <w:t>×</w:t>
      </w:r>
      <w:r>
        <w:rPr>
          <w:rFonts w:ascii="Times New Roman" w:hAnsi="Times New Roman" w:eastAsia="AdvP403A40"/>
          <w:szCs w:val="24"/>
        </w:rPr>
        <w:t xml:space="preserve">; Bar = </w:t>
      </w:r>
      <w:r>
        <w:rPr>
          <w:rFonts w:hint="eastAsia" w:ascii="Times New Roman" w:hAnsi="Times New Roman"/>
          <w:szCs w:val="24"/>
        </w:rPr>
        <w:t>1</w:t>
      </w:r>
      <w:r>
        <w:rPr>
          <w:rFonts w:ascii="Times New Roman" w:hAnsi="Times New Roman" w:eastAsia="AdvP403A40"/>
          <w:szCs w:val="24"/>
        </w:rPr>
        <w:t xml:space="preserve">0 </w:t>
      </w:r>
      <w:r>
        <w:rPr>
          <w:rFonts w:ascii="Times New Roman" w:hAnsi="Times New Roman" w:eastAsia="AdvP697C"/>
          <w:szCs w:val="24"/>
        </w:rPr>
        <w:t>µ</w:t>
      </w:r>
      <w:r>
        <w:rPr>
          <w:rFonts w:ascii="Times New Roman" w:hAnsi="Times New Roman" w:eastAsia="AdvP403A40"/>
          <w:szCs w:val="24"/>
        </w:rPr>
        <w:t xml:space="preserve">m </w:t>
      </w:r>
    </w:p>
    <w:p/>
    <w:p>
      <w:pPr>
        <w:adjustRightInd w:val="0"/>
        <w:spacing w:before="156" w:beforeLines="50"/>
        <w:outlineLvl w:val="1"/>
      </w:pPr>
      <w:bookmarkStart w:id="0" w:name="_GoBack"/>
      <w:r>
        <w:rPr>
          <w:rFonts w:ascii="Times New Roman" w:hAnsi="Times New Roman" w:cs="Times New Roman"/>
          <w:b/>
          <w:bCs/>
          <w:sz w:val="24"/>
          <w:szCs w:val="24"/>
        </w:rPr>
        <w:drawing>
          <wp:inline distT="0" distB="0" distL="114300" distR="114300">
            <wp:extent cx="5269865" cy="5973445"/>
            <wp:effectExtent l="0" t="0" r="6985" b="8255"/>
            <wp:docPr id="1" name="图片 1" descr="sb-3'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sb-3'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5973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ascii="Times New Roman" w:hAnsi="Times New Roman" w:cs="Times New Roman"/>
          <w:b/>
          <w:bCs/>
          <w:sz w:val="24"/>
          <w:szCs w:val="24"/>
        </w:rPr>
        <w:t>Supplementary Fig</w:t>
      </w:r>
      <w:r>
        <w:rPr>
          <w:rFonts w:hint="eastAsia" w:ascii="Times New Roman" w:hAnsi="Times New Roman" w:cs="Times New Roman"/>
          <w:b/>
          <w:bCs/>
          <w:sz w:val="24"/>
          <w:szCs w:val="24"/>
        </w:rPr>
        <w:t xml:space="preserve">ure 3. </w:t>
      </w:r>
      <w:r>
        <w:rPr>
          <w:rFonts w:ascii="Times New Roman" w:hAnsi="Times New Roman" w:cs="Times New Roman"/>
          <w:bCs/>
          <w:sz w:val="24"/>
          <w:szCs w:val="24"/>
        </w:rPr>
        <w:t xml:space="preserve">MiR-124 mediates the protective role of nicotine in murine DSS colitis. Mice were daily tail-vein injected with 10 mg/kg of LNA-miR-124 or matched scramble control for 3 days. They were then given 3% DSS in drinking water and subcutaneous injection of nicotine (0.3 mg/kg) for consecutive 7 days. </w:t>
      </w:r>
      <w:r>
        <w:rPr>
          <w:rFonts w:ascii="Times New Roman" w:hAnsi="Times New Roman" w:cs="Times New Roman"/>
          <w:sz w:val="24"/>
          <w:szCs w:val="24"/>
        </w:rPr>
        <w:t>Body weight change (%) (</w:t>
      </w:r>
      <w:r>
        <w:rPr>
          <w:rFonts w:hint="eastAsia" w:ascii="Times New Roman" w:hAnsi="Times New Roman" w:cs="Times New Roman"/>
          <w:b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) and Disease activity index score (DAI,</w:t>
      </w:r>
      <w:r>
        <w:rPr>
          <w:rFonts w:hint="eastAsia" w:ascii="Times New Roman" w:hAnsi="Times New Roman" w:cs="Times New Roman"/>
          <w:sz w:val="24"/>
          <w:szCs w:val="24"/>
        </w:rPr>
        <w:t xml:space="preserve"> </w:t>
      </w:r>
      <w:r>
        <w:rPr>
          <w:rFonts w:hint="eastAsia" w:ascii="Times New Roman" w:hAnsi="Times New Roman" w:cs="Times New Roman"/>
          <w:b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</w:rPr>
        <w:t>) were analyzed by repetitive measurement deviation analysis and Bonferroni post</w:t>
      </w:r>
      <w:r>
        <w:rPr>
          <w:rFonts w:hint="eastAsia" w:ascii="Times New Roman" w:hAnsi="Times New Roman" w:cs="Times New Roman"/>
          <w:sz w:val="24"/>
          <w:szCs w:val="24"/>
        </w:rPr>
        <w:t xml:space="preserve"> hoc </w:t>
      </w:r>
      <w:r>
        <w:rPr>
          <w:rFonts w:ascii="Times New Roman" w:hAnsi="Times New Roman" w:cs="Times New Roman"/>
          <w:sz w:val="24"/>
          <w:szCs w:val="24"/>
        </w:rPr>
        <w:t>tests. Colon length (</w:t>
      </w:r>
      <w:r>
        <w:rPr>
          <w:rFonts w:hint="eastAsia" w:ascii="Times New Roman" w:hAnsi="Times New Roman" w:cs="Times New Roman"/>
          <w:b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) and HE score (</w:t>
      </w:r>
      <w:r>
        <w:rPr>
          <w:rFonts w:hint="eastAsia" w:ascii="Times New Roman" w:hAnsi="Times New Roman" w:cs="Times New Roman"/>
          <w:b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 xml:space="preserve">) were analyzed by one-way ANOVA followed by Tukey’s post-hoc test. </w:t>
      </w:r>
      <w:r>
        <w:rPr>
          <w:rFonts w:ascii="Times New Roman" w:hAnsi="Times New Roman" w:cs="Times New Roman"/>
          <w:bCs/>
          <w:sz w:val="24"/>
          <w:szCs w:val="24"/>
        </w:rPr>
        <w:t>(</w:t>
      </w:r>
      <w:r>
        <w:rPr>
          <w:rFonts w:hint="eastAsia" w:ascii="Times New Roman" w:hAnsi="Times New Roman" w:cs="Times New Roman"/>
          <w:b/>
          <w:bCs/>
          <w:sz w:val="24"/>
          <w:szCs w:val="24"/>
        </w:rPr>
        <w:t>D</w:t>
      </w:r>
      <w:r>
        <w:rPr>
          <w:rFonts w:ascii="Times New Roman" w:hAnsi="Times New Roman" w:cs="Times New Roman"/>
          <w:b/>
          <w:bCs/>
          <w:sz w:val="24"/>
          <w:szCs w:val="24"/>
        </w:rPr>
        <w:t>,</w:t>
      </w:r>
      <w:r>
        <w:rPr>
          <w:rFonts w:hint="eastAsia" w:ascii="Times New Roman" w:hAnsi="Times New Roman" w:cs="Times New Roman"/>
          <w:b/>
          <w:bCs/>
          <w:sz w:val="24"/>
          <w:szCs w:val="24"/>
        </w:rPr>
        <w:t xml:space="preserve"> F</w:t>
      </w:r>
      <w:r>
        <w:rPr>
          <w:rFonts w:ascii="Times New Roman" w:hAnsi="Times New Roman" w:cs="Times New Roman"/>
          <w:bCs/>
          <w:sz w:val="24"/>
          <w:szCs w:val="24"/>
        </w:rPr>
        <w:t>) Representative images of colon measurement and HE staining. N=7-10 per group.</w:t>
      </w:r>
      <w:r>
        <w:rPr>
          <w:rFonts w:hint="eastAsia"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All data represent means ± SEM. *</w:t>
      </w:r>
      <w:r>
        <w:rPr>
          <w:rFonts w:ascii="Times New Roman" w:hAnsi="Times New Roman" w:cs="Times New Roman"/>
          <w:i/>
          <w:iCs/>
          <w:sz w:val="24"/>
          <w:szCs w:val="24"/>
        </w:rPr>
        <w:t>p</w:t>
      </w:r>
      <w:r>
        <w:rPr>
          <w:rFonts w:hint="eastAsia"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&lt;</w:t>
      </w:r>
      <w:r>
        <w:rPr>
          <w:rFonts w:hint="eastAsia"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0.05, **</w:t>
      </w:r>
      <w:r>
        <w:rPr>
          <w:rFonts w:ascii="Times New Roman" w:hAnsi="Times New Roman" w:cs="Times New Roman"/>
          <w:i/>
          <w:iCs/>
          <w:sz w:val="24"/>
          <w:szCs w:val="24"/>
        </w:rPr>
        <w:t>p</w:t>
      </w:r>
      <w:r>
        <w:rPr>
          <w:rFonts w:hint="eastAsia"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&lt;</w:t>
      </w:r>
      <w:r>
        <w:rPr>
          <w:rFonts w:hint="eastAsia"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0.01 </w:t>
      </w:r>
      <w:r>
        <w:rPr>
          <w:rFonts w:hint="eastAsia" w:ascii="Times New Roman" w:hAnsi="Times New Roman" w:cs="Times New Roman"/>
          <w:sz w:val="24"/>
          <w:szCs w:val="24"/>
        </w:rPr>
        <w:t xml:space="preserve">scramble + Nic. </w:t>
      </w:r>
      <w:r>
        <w:rPr>
          <w:rFonts w:ascii="Times New Roman" w:hAnsi="Times New Roman" w:cs="Times New Roman"/>
          <w:sz w:val="24"/>
          <w:szCs w:val="24"/>
        </w:rPr>
        <w:t xml:space="preserve">versus </w:t>
      </w:r>
      <w:r>
        <w:rPr>
          <w:rFonts w:hint="eastAsia" w:ascii="Times New Roman" w:hAnsi="Times New Roman" w:cs="Times New Roman"/>
          <w:sz w:val="24"/>
          <w:szCs w:val="24"/>
        </w:rPr>
        <w:t>scramble</w:t>
      </w:r>
      <w:r>
        <w:rPr>
          <w:rFonts w:ascii="Times New Roman" w:hAnsi="Times New Roman" w:cs="Times New Roman"/>
          <w:sz w:val="24"/>
          <w:szCs w:val="24"/>
        </w:rPr>
        <w:t xml:space="preserve"> group</w:t>
      </w:r>
      <w:r>
        <w:rPr>
          <w:rFonts w:hint="eastAsia" w:ascii="Times New Roman" w:hAnsi="Times New Roman" w:cs="Times New Roman"/>
          <w:sz w:val="24"/>
          <w:szCs w:val="24"/>
        </w:rPr>
        <w:t>; #</w:t>
      </w:r>
      <w:r>
        <w:rPr>
          <w:rFonts w:ascii="Times New Roman" w:hAnsi="Times New Roman" w:cs="Times New Roman"/>
          <w:i/>
          <w:iCs/>
          <w:sz w:val="24"/>
          <w:szCs w:val="24"/>
        </w:rPr>
        <w:t>p</w:t>
      </w:r>
      <w:r>
        <w:rPr>
          <w:rFonts w:ascii="Times New Roman" w:hAnsi="Times New Roman" w:cs="Times New Roman"/>
          <w:sz w:val="24"/>
          <w:szCs w:val="24"/>
        </w:rPr>
        <w:t xml:space="preserve">&lt;0.05, </w:t>
      </w:r>
      <w:r>
        <w:rPr>
          <w:rFonts w:hint="eastAsia" w:ascii="Times New Roman" w:hAnsi="Times New Roman" w:cs="Times New Roman"/>
          <w:sz w:val="24"/>
          <w:szCs w:val="24"/>
        </w:rPr>
        <w:t>##</w:t>
      </w:r>
      <w:r>
        <w:rPr>
          <w:rFonts w:ascii="Times New Roman" w:hAnsi="Times New Roman" w:cs="Times New Roman"/>
          <w:i/>
          <w:iCs/>
          <w:sz w:val="24"/>
          <w:szCs w:val="24"/>
        </w:rPr>
        <w:t>p</w:t>
      </w:r>
      <w:r>
        <w:rPr>
          <w:rFonts w:ascii="Times New Roman" w:hAnsi="Times New Roman" w:cs="Times New Roman"/>
          <w:sz w:val="24"/>
          <w:szCs w:val="24"/>
        </w:rPr>
        <w:t xml:space="preserve">&lt;0.01 </w:t>
      </w:r>
      <w:r>
        <w:rPr>
          <w:rFonts w:hint="eastAsia" w:ascii="Times New Roman" w:hAnsi="Times New Roman" w:cs="Times New Roman"/>
          <w:sz w:val="24"/>
          <w:szCs w:val="24"/>
        </w:rPr>
        <w:t xml:space="preserve">LNA </w:t>
      </w:r>
      <w:r>
        <w:rPr>
          <w:rFonts w:ascii="Times New Roman" w:hAnsi="Times New Roman" w:cs="Times New Roman"/>
          <w:sz w:val="24"/>
          <w:szCs w:val="24"/>
        </w:rPr>
        <w:t xml:space="preserve">versus </w:t>
      </w:r>
      <w:r>
        <w:rPr>
          <w:rFonts w:hint="eastAsia" w:ascii="Times New Roman" w:hAnsi="Times New Roman" w:cs="Times New Roman"/>
          <w:sz w:val="24"/>
          <w:szCs w:val="24"/>
        </w:rPr>
        <w:t>scramble</w:t>
      </w:r>
      <w:r>
        <w:rPr>
          <w:rFonts w:ascii="Times New Roman" w:hAnsi="Times New Roman" w:cs="Times New Roman"/>
          <w:sz w:val="24"/>
          <w:szCs w:val="24"/>
        </w:rPr>
        <w:t xml:space="preserve"> group. 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DengXian">
    <w:altName w:val="宋体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AdvP403A40">
    <w:altName w:val="Arial"/>
    <w:panose1 w:val="00000000000000000000"/>
    <w:charset w:val="00"/>
    <w:family w:val="swiss"/>
    <w:pitch w:val="default"/>
    <w:sig w:usb0="00000000" w:usb1="00000000" w:usb2="00000000" w:usb3="00000000" w:csb0="00000001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AdvP697C">
    <w:altName w:val="宋体"/>
    <w:panose1 w:val="00000000000000000000"/>
    <w:charset w:val="86"/>
    <w:family w:val="auto"/>
    <w:pitch w:val="default"/>
    <w:sig w:usb0="00000000" w:usb1="0000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 w:val="1"/>
  <w:bordersDoNotSurroundFooter w:val="1"/>
  <w:hideSpellingErrors/>
  <w:hideGrammaticalErrors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yMjUyMjYysDA1MjM2NDVV0lEKTi0uzszPAykwrAUAbFKFgSwAAAA="/>
  </w:docVars>
  <w:rsids>
    <w:rsidRoot w:val="00172A27"/>
    <w:rsid w:val="00014C2A"/>
    <w:rsid w:val="00037219"/>
    <w:rsid w:val="000A57B7"/>
    <w:rsid w:val="000E0309"/>
    <w:rsid w:val="00130FC2"/>
    <w:rsid w:val="00172A27"/>
    <w:rsid w:val="002C4203"/>
    <w:rsid w:val="002F1ED7"/>
    <w:rsid w:val="0032735D"/>
    <w:rsid w:val="00346689"/>
    <w:rsid w:val="00383869"/>
    <w:rsid w:val="003C399B"/>
    <w:rsid w:val="003D561F"/>
    <w:rsid w:val="00421B67"/>
    <w:rsid w:val="00436BAF"/>
    <w:rsid w:val="00470C13"/>
    <w:rsid w:val="005148BC"/>
    <w:rsid w:val="005A7480"/>
    <w:rsid w:val="005C2139"/>
    <w:rsid w:val="005E1FB0"/>
    <w:rsid w:val="005E5C8A"/>
    <w:rsid w:val="00675E91"/>
    <w:rsid w:val="00755C83"/>
    <w:rsid w:val="008474C3"/>
    <w:rsid w:val="00853E95"/>
    <w:rsid w:val="008D6A55"/>
    <w:rsid w:val="008F1C00"/>
    <w:rsid w:val="009D7FA6"/>
    <w:rsid w:val="00A22D3F"/>
    <w:rsid w:val="00A4510A"/>
    <w:rsid w:val="00A464E4"/>
    <w:rsid w:val="00A70A75"/>
    <w:rsid w:val="00AA7B14"/>
    <w:rsid w:val="00AF14CC"/>
    <w:rsid w:val="00B17C99"/>
    <w:rsid w:val="00BB225E"/>
    <w:rsid w:val="00BE17DA"/>
    <w:rsid w:val="00C05559"/>
    <w:rsid w:val="00C41DD2"/>
    <w:rsid w:val="00CB5E2E"/>
    <w:rsid w:val="00CC3CA0"/>
    <w:rsid w:val="00CC5D30"/>
    <w:rsid w:val="00D01592"/>
    <w:rsid w:val="00D1487D"/>
    <w:rsid w:val="00D21673"/>
    <w:rsid w:val="00D35916"/>
    <w:rsid w:val="00D438C2"/>
    <w:rsid w:val="00D56214"/>
    <w:rsid w:val="00DE36C2"/>
    <w:rsid w:val="00E3536A"/>
    <w:rsid w:val="00E445D4"/>
    <w:rsid w:val="00EB479B"/>
    <w:rsid w:val="00F57342"/>
    <w:rsid w:val="00FD7C64"/>
    <w:rsid w:val="17C21984"/>
    <w:rsid w:val="50BD2492"/>
    <w:rsid w:val="50E15200"/>
    <w:rsid w:val="5FD33F26"/>
    <w:rsid w:val="628A483D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DengXian" w:hAnsi="DengXian" w:eastAsia="DengXian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iPriority="39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黑体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8">
    <w:name w:val="Normal Table"/>
    <w:semiHidden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1"/>
    <w:semiHidden/>
    <w:unhideWhenUsed/>
    <w:uiPriority w:val="99"/>
    <w:rPr>
      <w:sz w:val="18"/>
      <w:szCs w:val="18"/>
    </w:rPr>
  </w:style>
  <w:style w:type="paragraph" w:styleId="3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semiHidden/>
    <w:unhideWhenUsed/>
    <w:qFormat/>
    <w:uiPriority w:val="0"/>
    <w:pPr>
      <w:jc w:val="left"/>
    </w:pPr>
    <w:rPr>
      <w:rFonts w:cs="Times New Roman"/>
      <w:kern w:val="0"/>
      <w:sz w:val="24"/>
    </w:rPr>
  </w:style>
  <w:style w:type="character" w:styleId="7">
    <w:name w:val="Emphasis"/>
    <w:basedOn w:val="6"/>
    <w:qFormat/>
    <w:uiPriority w:val="20"/>
    <w:rPr>
      <w:i/>
      <w:iCs/>
    </w:rPr>
  </w:style>
  <w:style w:type="character" w:customStyle="1" w:styleId="9">
    <w:name w:val="Header Char"/>
    <w:basedOn w:val="6"/>
    <w:link w:val="4"/>
    <w:qFormat/>
    <w:uiPriority w:val="99"/>
    <w:rPr>
      <w:rFonts w:ascii="Calibri" w:hAnsi="Calibri" w:eastAsia="宋体" w:cs="黑体"/>
      <w:sz w:val="18"/>
      <w:szCs w:val="18"/>
    </w:rPr>
  </w:style>
  <w:style w:type="character" w:customStyle="1" w:styleId="10">
    <w:name w:val="Footer Char"/>
    <w:basedOn w:val="6"/>
    <w:link w:val="3"/>
    <w:qFormat/>
    <w:uiPriority w:val="99"/>
    <w:rPr>
      <w:rFonts w:ascii="Calibri" w:hAnsi="Calibri" w:eastAsia="宋体" w:cs="黑体"/>
      <w:sz w:val="18"/>
      <w:szCs w:val="18"/>
    </w:rPr>
  </w:style>
  <w:style w:type="character" w:customStyle="1" w:styleId="11">
    <w:name w:val="Balloon Text Char"/>
    <w:basedOn w:val="6"/>
    <w:link w:val="2"/>
    <w:semiHidden/>
    <w:qFormat/>
    <w:uiPriority w:val="99"/>
    <w:rPr>
      <w:rFonts w:ascii="Calibri" w:hAnsi="Calibri" w:eastAsia="宋体" w:cs="黑体"/>
      <w:sz w:val="18"/>
      <w:szCs w:val="18"/>
    </w:rPr>
  </w:style>
  <w:style w:type="paragraph" w:styleId="12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2</Pages>
  <Words>264</Words>
  <Characters>1511</Characters>
  <Lines>12</Lines>
  <Paragraphs>3</Paragraphs>
  <TotalTime>19</TotalTime>
  <ScaleCrop>false</ScaleCrop>
  <LinksUpToDate>false</LinksUpToDate>
  <CharactersWithSpaces>1772</CharactersWithSpaces>
  <Application>WPS Office_10.1.0.7401_F1E327BC-269C-435d-A152-05C5408002CA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2020-01-18T12:32:00Z</dcterms:created>
  <dc:creator>Lenovo</dc:creator>
  <cp:lastModifiedBy>asus</cp:lastModifiedBy>
  <dcterms:modified xsi:type="dcterms:W3CDTF">2020-02-13T17:22:04Z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2052-10.1.0.7401</vt:lpwstr>
  </property>
</Properties>
</file>