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448F1" w14:textId="7F693653" w:rsidR="007B075C" w:rsidRPr="001B00EE" w:rsidRDefault="007B075C" w:rsidP="007B075C">
      <w:pPr>
        <w:pStyle w:val="SupplementaryMaterial"/>
        <w:rPr>
          <w:b w:val="0"/>
        </w:rPr>
      </w:pPr>
      <w:bookmarkStart w:id="0" w:name="_GoBack"/>
      <w:bookmarkEnd w:id="0"/>
      <w:r w:rsidRPr="001B00EE">
        <w:t xml:space="preserve">Supplementary Material </w:t>
      </w:r>
      <w:r w:rsidR="00F03335">
        <w:t>4</w:t>
      </w:r>
      <w:r w:rsidRPr="001B00EE">
        <w:t xml:space="preserve">: Comparison of results of seven generic risk assessment tools with two bespoke models </w:t>
      </w:r>
    </w:p>
    <w:p w14:paraId="6C2EF162" w14:textId="77777777" w:rsidR="007B075C" w:rsidRPr="001B00EE" w:rsidRDefault="007B075C" w:rsidP="007B075C">
      <w:pPr>
        <w:keepNext/>
        <w:rPr>
          <w:rFonts w:cs="Times New Roman"/>
          <w:b/>
          <w:szCs w:val="24"/>
        </w:rPr>
      </w:pPr>
    </w:p>
    <w:p w14:paraId="5FEF2068" w14:textId="77777777" w:rsidR="007B075C" w:rsidRPr="001B00EE" w:rsidRDefault="007B075C" w:rsidP="007B075C">
      <w:pPr>
        <w:keepNext/>
        <w:rPr>
          <w:rFonts w:cs="Times New Roman"/>
          <w:b/>
          <w:szCs w:val="24"/>
        </w:rPr>
      </w:pPr>
      <w:r w:rsidRPr="001B00EE">
        <w:rPr>
          <w:rFonts w:cs="Times New Roman"/>
          <w:b/>
          <w:noProof/>
          <w:szCs w:val="24"/>
          <w:lang w:val="nl-NL" w:eastAsia="nl-NL"/>
        </w:rPr>
        <w:drawing>
          <wp:inline distT="0" distB="0" distL="0" distR="0" wp14:anchorId="6019A555" wp14:editId="52E8A0BE">
            <wp:extent cx="3060192" cy="324002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_IRTA.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192" cy="3240024"/>
                    </a:xfrm>
                    <a:prstGeom prst="rect">
                      <a:avLst/>
                    </a:prstGeom>
                  </pic:spPr>
                </pic:pic>
              </a:graphicData>
            </a:graphic>
          </wp:inline>
        </w:drawing>
      </w:r>
    </w:p>
    <w:p w14:paraId="73BB0D85" w14:textId="3AE0289D" w:rsidR="007B075C" w:rsidRPr="001B00EE" w:rsidRDefault="007B075C" w:rsidP="007B075C">
      <w:pPr>
        <w:keepNext/>
        <w:rPr>
          <w:rFonts w:cs="Times New Roman"/>
          <w:szCs w:val="24"/>
        </w:rPr>
      </w:pPr>
      <w:r w:rsidRPr="001B00EE">
        <w:rPr>
          <w:rFonts w:cs="Times New Roman"/>
          <w:b/>
          <w:szCs w:val="24"/>
        </w:rPr>
        <w:t xml:space="preserve">Supplementary Figure </w:t>
      </w:r>
      <w:r w:rsidRPr="001B00EE">
        <w:rPr>
          <w:rFonts w:cs="Times New Roman"/>
          <w:b/>
          <w:szCs w:val="24"/>
        </w:rPr>
        <w:fldChar w:fldCharType="begin"/>
      </w:r>
      <w:r w:rsidRPr="001B00EE">
        <w:rPr>
          <w:rFonts w:cs="Times New Roman"/>
          <w:b/>
          <w:szCs w:val="24"/>
        </w:rPr>
        <w:instrText xml:space="preserve"> SEQ Figure \* ARABIC </w:instrText>
      </w:r>
      <w:r w:rsidRPr="001B00EE">
        <w:rPr>
          <w:rFonts w:cs="Times New Roman"/>
          <w:b/>
          <w:szCs w:val="24"/>
        </w:rPr>
        <w:fldChar w:fldCharType="separate"/>
      </w:r>
      <w:r w:rsidRPr="001B00EE">
        <w:rPr>
          <w:rFonts w:cs="Times New Roman"/>
          <w:b/>
          <w:noProof/>
          <w:szCs w:val="24"/>
        </w:rPr>
        <w:t>1</w:t>
      </w:r>
      <w:r w:rsidRPr="001B00EE">
        <w:rPr>
          <w:rFonts w:cs="Times New Roman"/>
          <w:b/>
          <w:szCs w:val="24"/>
        </w:rPr>
        <w:fldChar w:fldCharType="end"/>
      </w:r>
      <w:r w:rsidRPr="001B00EE">
        <w:rPr>
          <w:rFonts w:cs="Times New Roman"/>
          <w:b/>
          <w:szCs w:val="24"/>
        </w:rPr>
        <w:t>.</w:t>
      </w:r>
      <w:r w:rsidRPr="001B00EE">
        <w:rPr>
          <w:rFonts w:cs="Times New Roman"/>
          <w:szCs w:val="24"/>
        </w:rPr>
        <w:t xml:space="preserve"> Relative risk of introducing </w:t>
      </w:r>
      <w:r w:rsidR="00727DD8">
        <w:rPr>
          <w:rFonts w:cs="Times New Roman"/>
          <w:szCs w:val="24"/>
        </w:rPr>
        <w:t xml:space="preserve">African swine fever </w:t>
      </w:r>
      <w:r w:rsidRPr="001B00EE">
        <w:rPr>
          <w:rFonts w:cs="Times New Roman"/>
          <w:szCs w:val="24"/>
        </w:rPr>
        <w:t>into the Netherlands compared to Finland in the baseline scenario (2017 situation) by (a) trade in live animals and (b) movement of wild boar</w:t>
      </w:r>
      <w:r w:rsidR="000072CA">
        <w:rPr>
          <w:rFonts w:cs="Times New Roman"/>
          <w:szCs w:val="24"/>
        </w:rPr>
        <w:t xml:space="preserve"> for seven generic risk assessment tools (SPARE, COMPARE, RRAT, MINTRISK, IDM, NORA, SVARRA) and two bespoke models (</w:t>
      </w:r>
      <w:proofErr w:type="spellStart"/>
      <w:r w:rsidR="000072CA">
        <w:rPr>
          <w:rFonts w:cs="Times New Roman"/>
          <w:szCs w:val="24"/>
        </w:rPr>
        <w:t>IRTA_Live</w:t>
      </w:r>
      <w:proofErr w:type="spellEnd"/>
      <w:r w:rsidR="000072CA">
        <w:rPr>
          <w:rFonts w:cs="Times New Roman"/>
          <w:szCs w:val="24"/>
        </w:rPr>
        <w:t xml:space="preserve"> Animals and </w:t>
      </w:r>
      <w:proofErr w:type="spellStart"/>
      <w:r w:rsidR="000072CA">
        <w:rPr>
          <w:rFonts w:cs="Times New Roman"/>
          <w:szCs w:val="24"/>
        </w:rPr>
        <w:t>IRTA_Wild</w:t>
      </w:r>
      <w:proofErr w:type="spellEnd"/>
      <w:r w:rsidR="000072CA">
        <w:rPr>
          <w:rFonts w:cs="Times New Roman"/>
          <w:szCs w:val="24"/>
        </w:rPr>
        <w:t xml:space="preserve"> Boar)</w:t>
      </w:r>
      <w:r w:rsidRPr="001B00EE">
        <w:rPr>
          <w:rFonts w:cs="Times New Roman"/>
          <w:szCs w:val="24"/>
        </w:rPr>
        <w:t xml:space="preserve">. A relative risk above 1 (red line) denotes the Netherlands has a higher risk than Finland, while a relative risk below 1 denotes Finland has a higher risk. </w:t>
      </w:r>
      <w:r w:rsidRPr="001B00EE">
        <w:t>Please note the different scales used on the y-axes.</w:t>
      </w:r>
    </w:p>
    <w:p w14:paraId="6A029C0D" w14:textId="77777777" w:rsidR="007B075C" w:rsidRPr="001B00EE" w:rsidRDefault="007B075C" w:rsidP="007B075C">
      <w:pPr>
        <w:spacing w:before="0" w:after="200" w:line="276" w:lineRule="auto"/>
        <w:rPr>
          <w:rFonts w:cs="Times New Roman"/>
          <w:szCs w:val="24"/>
        </w:rPr>
      </w:pPr>
      <w:r w:rsidRPr="001B00EE">
        <w:rPr>
          <w:rFonts w:cs="Times New Roman"/>
          <w:szCs w:val="24"/>
        </w:rPr>
        <w:br w:type="page"/>
      </w:r>
    </w:p>
    <w:p w14:paraId="01299EEE" w14:textId="77777777" w:rsidR="007B075C" w:rsidRPr="001B00EE" w:rsidRDefault="007B075C" w:rsidP="007B075C">
      <w:pPr>
        <w:keepNext/>
        <w:rPr>
          <w:rFonts w:cs="Times New Roman"/>
          <w:szCs w:val="24"/>
        </w:rPr>
      </w:pPr>
    </w:p>
    <w:p w14:paraId="34C2BBC5" w14:textId="77777777" w:rsidR="007B075C" w:rsidRPr="001B00EE" w:rsidRDefault="007B075C" w:rsidP="007B075C">
      <w:pPr>
        <w:keepNext/>
        <w:rPr>
          <w:rFonts w:cs="Times New Roman"/>
          <w:b/>
          <w:szCs w:val="24"/>
        </w:rPr>
      </w:pPr>
      <w:r w:rsidRPr="001B00EE">
        <w:rPr>
          <w:rFonts w:cs="Times New Roman"/>
          <w:b/>
          <w:noProof/>
          <w:szCs w:val="24"/>
          <w:lang w:val="nl-NL" w:eastAsia="nl-NL"/>
        </w:rPr>
        <w:drawing>
          <wp:inline distT="0" distB="0" distL="0" distR="0" wp14:anchorId="416B8452" wp14:editId="54C01BD3">
            <wp:extent cx="6208395" cy="413766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_IRTA.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4137660"/>
                    </a:xfrm>
                    <a:prstGeom prst="rect">
                      <a:avLst/>
                    </a:prstGeom>
                  </pic:spPr>
                </pic:pic>
              </a:graphicData>
            </a:graphic>
          </wp:inline>
        </w:drawing>
      </w:r>
    </w:p>
    <w:p w14:paraId="2DAA4DF5" w14:textId="7C0DE9D8" w:rsidR="007B075C" w:rsidRPr="001B00EE" w:rsidRDefault="007B075C" w:rsidP="007B075C">
      <w:pPr>
        <w:keepNext/>
        <w:rPr>
          <w:rFonts w:cs="Times New Roman"/>
          <w:b/>
          <w:szCs w:val="24"/>
        </w:rPr>
      </w:pPr>
      <w:r w:rsidRPr="001B00EE">
        <w:rPr>
          <w:rFonts w:cs="Times New Roman"/>
          <w:b/>
          <w:szCs w:val="24"/>
        </w:rPr>
        <w:t>Supplementary Figure 2.</w:t>
      </w:r>
      <w:r w:rsidRPr="001B00EE">
        <w:rPr>
          <w:rFonts w:cs="Times New Roman"/>
          <w:szCs w:val="24"/>
        </w:rPr>
        <w:t xml:space="preserve"> Relative risk of introducing ASF into (a) the Netherlands and (b) Finland in the hypothetical scenario with ASF reported in wild boar in Germany (HS1) and (c) the Netherlands and (d) Finland with ASF reported in wild boar and domestic pigs in Germany (HS2) compared to the baseline scenario (2017 situation)</w:t>
      </w:r>
      <w:r w:rsidR="000072CA" w:rsidRPr="000072CA">
        <w:rPr>
          <w:rFonts w:cs="Times New Roman"/>
          <w:szCs w:val="24"/>
        </w:rPr>
        <w:t xml:space="preserve"> </w:t>
      </w:r>
      <w:r w:rsidR="000072CA">
        <w:rPr>
          <w:rFonts w:cs="Times New Roman"/>
          <w:szCs w:val="24"/>
        </w:rPr>
        <w:t>for seven generic risk assessment tools (SPARE, COMPARE, RRAT, MINTRISK, IDM, NORA, SVARRA) and two bespoke models (</w:t>
      </w:r>
      <w:proofErr w:type="spellStart"/>
      <w:r w:rsidR="000072CA">
        <w:rPr>
          <w:rFonts w:cs="Times New Roman"/>
          <w:szCs w:val="24"/>
        </w:rPr>
        <w:t>IRTA_Live</w:t>
      </w:r>
      <w:proofErr w:type="spellEnd"/>
      <w:r w:rsidR="000072CA">
        <w:rPr>
          <w:rFonts w:cs="Times New Roman"/>
          <w:szCs w:val="24"/>
        </w:rPr>
        <w:t xml:space="preserve"> Animals and </w:t>
      </w:r>
      <w:proofErr w:type="spellStart"/>
      <w:r w:rsidR="000072CA">
        <w:rPr>
          <w:rFonts w:cs="Times New Roman"/>
          <w:szCs w:val="24"/>
        </w:rPr>
        <w:t>IRTA_Wild</w:t>
      </w:r>
      <w:proofErr w:type="spellEnd"/>
      <w:r w:rsidR="000072CA">
        <w:rPr>
          <w:rFonts w:cs="Times New Roman"/>
          <w:szCs w:val="24"/>
        </w:rPr>
        <w:t xml:space="preserve"> Boar)</w:t>
      </w:r>
      <w:r w:rsidRPr="001B00EE">
        <w:rPr>
          <w:rFonts w:cs="Times New Roman"/>
          <w:szCs w:val="24"/>
        </w:rPr>
        <w:t xml:space="preserve">. A relative risk of 1 (red line) denotes no increased risk. </w:t>
      </w:r>
      <w:r w:rsidRPr="001B00EE">
        <w:t>Please note the different scales used on the y-axes.</w:t>
      </w:r>
    </w:p>
    <w:p w14:paraId="797D89BA" w14:textId="77777777" w:rsidR="007B075C" w:rsidRPr="001B00EE" w:rsidRDefault="007B075C" w:rsidP="007B075C">
      <w:pPr>
        <w:spacing w:before="240"/>
      </w:pPr>
    </w:p>
    <w:p w14:paraId="7B65BC41" w14:textId="77777777" w:rsidR="00DE23E8" w:rsidRPr="007B075C" w:rsidRDefault="00DE23E8" w:rsidP="007B075C"/>
    <w:sectPr w:rsidR="00DE23E8" w:rsidRPr="007B075C"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E3F502" w14:textId="77777777" w:rsidR="00136632" w:rsidRDefault="00136632" w:rsidP="00117666">
      <w:pPr>
        <w:spacing w:after="0"/>
      </w:pPr>
      <w:r>
        <w:separator/>
      </w:r>
    </w:p>
  </w:endnote>
  <w:endnote w:type="continuationSeparator" w:id="0">
    <w:p w14:paraId="6C12CD2F" w14:textId="77777777" w:rsidR="00136632" w:rsidRDefault="0013663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nl-NL" w:eastAsia="nl-NL"/>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6CF2ABE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072CA">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6CF2ABE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072CA">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nl-NL" w:eastAsia="nl-NL"/>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8DA3A7" w14:textId="77777777" w:rsidR="00136632" w:rsidRDefault="00136632" w:rsidP="00117666">
      <w:pPr>
        <w:spacing w:after="0"/>
      </w:pPr>
      <w:r>
        <w:separator/>
      </w:r>
    </w:p>
  </w:footnote>
  <w:footnote w:type="continuationSeparator" w:id="0">
    <w:p w14:paraId="5EC85B39" w14:textId="77777777" w:rsidR="00136632" w:rsidRDefault="0013663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nl-NL" w:eastAsia="nl-NL"/>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trackRevisions/>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072CA"/>
    <w:rsid w:val="0001436A"/>
    <w:rsid w:val="00034304"/>
    <w:rsid w:val="00035434"/>
    <w:rsid w:val="00052A14"/>
    <w:rsid w:val="00077D53"/>
    <w:rsid w:val="00105FD9"/>
    <w:rsid w:val="00117666"/>
    <w:rsid w:val="00136632"/>
    <w:rsid w:val="00142E5D"/>
    <w:rsid w:val="001549D3"/>
    <w:rsid w:val="00160065"/>
    <w:rsid w:val="00177D84"/>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27DD8"/>
    <w:rsid w:val="007501BE"/>
    <w:rsid w:val="00790BB3"/>
    <w:rsid w:val="00796678"/>
    <w:rsid w:val="007B075C"/>
    <w:rsid w:val="007C206C"/>
    <w:rsid w:val="00817DD6"/>
    <w:rsid w:val="0083759F"/>
    <w:rsid w:val="00885156"/>
    <w:rsid w:val="009151AA"/>
    <w:rsid w:val="0093429D"/>
    <w:rsid w:val="00934A80"/>
    <w:rsid w:val="00943573"/>
    <w:rsid w:val="00964134"/>
    <w:rsid w:val="00970F7D"/>
    <w:rsid w:val="00994A3D"/>
    <w:rsid w:val="009C2B12"/>
    <w:rsid w:val="00A174D9"/>
    <w:rsid w:val="00A26B61"/>
    <w:rsid w:val="00AA4D24"/>
    <w:rsid w:val="00AB6715"/>
    <w:rsid w:val="00B05998"/>
    <w:rsid w:val="00B1671E"/>
    <w:rsid w:val="00B25EB8"/>
    <w:rsid w:val="00B37F4D"/>
    <w:rsid w:val="00BB381B"/>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03335"/>
    <w:rsid w:val="00F46900"/>
    <w:rsid w:val="00F61D89"/>
    <w:rsid w:val="00FB1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B4F6800CA5BD4E9A4366965444632F" ma:contentTypeVersion="10" ma:contentTypeDescription="Een nieuw document maken." ma:contentTypeScope="" ma:versionID="147fd3b336dcf6e45c84dd3977aadfa0">
  <xsd:schema xmlns:xsd="http://www.w3.org/2001/XMLSchema" xmlns:xs="http://www.w3.org/2001/XMLSchema" xmlns:p="http://schemas.microsoft.com/office/2006/metadata/properties" xmlns:ns3="11e2cb7e-c261-4bb3-8003-89b8f04ef9c6" targetNamespace="http://schemas.microsoft.com/office/2006/metadata/properties" ma:root="true" ma:fieldsID="8af7e874c3809917c091d5044746eb4c" ns3:_="">
    <xsd:import namespace="11e2cb7e-c261-4bb3-8003-89b8f04ef9c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e2cb7e-c261-4bb3-8003-89b8f04ef9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F2F211F-6FBB-42A0-8548-C5390BDB1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e2cb7e-c261-4bb3-8003-89b8f04ef9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FBF0F5-9C0F-4C54-9C02-5D9683015E0D}">
  <ds:schemaRefs>
    <ds:schemaRef ds:uri="http://schemas.microsoft.com/sharepoint/v3/contenttype/forms"/>
  </ds:schemaRefs>
</ds:datastoreItem>
</file>

<file path=customXml/itemProps3.xml><?xml version="1.0" encoding="utf-8"?>
<ds:datastoreItem xmlns:ds="http://schemas.openxmlformats.org/officeDocument/2006/customXml" ds:itemID="{49D420BE-3078-4B36-942B-35A67116D698}">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 ds:uri="11e2cb7e-c261-4bb3-8003-89b8f04ef9c6"/>
    <ds:schemaRef ds:uri="http://www.w3.org/XML/1998/namespace"/>
    <ds:schemaRef ds:uri="http://purl.org/dc/dcmitype/"/>
  </ds:schemaRefs>
</ds:datastoreItem>
</file>

<file path=customXml/itemProps4.xml><?xml version="1.0" encoding="utf-8"?>
<ds:datastoreItem xmlns:ds="http://schemas.openxmlformats.org/officeDocument/2006/customXml" ds:itemID="{D70DD67A-7134-4FA7-831D-A57CF7526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2</TotalTime>
  <Pages>2</Pages>
  <Words>203</Words>
  <Characters>1122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Vos, Clazien de</cp:lastModifiedBy>
  <cp:revision>3</cp:revision>
  <cp:lastPrinted>2013-10-03T12:51:00Z</cp:lastPrinted>
  <dcterms:created xsi:type="dcterms:W3CDTF">2020-02-05T11:06:00Z</dcterms:created>
  <dcterms:modified xsi:type="dcterms:W3CDTF">2020-02-05T11:08:00Z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0x0101008DB4F6800CA5BD4E9A4366965444632F</vt:lpwstr>
  </property>
</Properties>
</file>