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A2C2" w14:textId="1B1AF49B" w:rsidR="00631252" w:rsidRDefault="008276FA">
      <w:pPr>
        <w:autoSpaceDE w:val="0"/>
        <w:autoSpaceDN w:val="0"/>
        <w:adjustRightInd w:val="0"/>
        <w:spacing w:line="360" w:lineRule="auto"/>
        <w:rPr>
          <w:b/>
          <w:bCs/>
          <w:kern w:val="0"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 xml:space="preserve">Figure </w:t>
      </w:r>
      <w:r w:rsidR="008D2B35">
        <w:rPr>
          <w:rFonts w:hint="eastAsia"/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 xml:space="preserve">1. </w:t>
      </w:r>
      <w:r>
        <w:rPr>
          <w:b/>
          <w:bCs/>
          <w:kern w:val="0"/>
          <w:sz w:val="24"/>
        </w:rPr>
        <w:t>Serum levels of IL-4 and IL-17A</w:t>
      </w:r>
      <w:r>
        <w:rPr>
          <w:rFonts w:hint="eastAsia"/>
          <w:b/>
          <w:bCs/>
          <w:sz w:val="24"/>
        </w:rPr>
        <w:t xml:space="preserve"> and circulating </w:t>
      </w:r>
      <w:r w:rsidR="008B2DE0">
        <w:rPr>
          <w:rFonts w:hint="eastAsia"/>
          <w:b/>
          <w:bCs/>
          <w:sz w:val="24"/>
        </w:rPr>
        <w:t>IL-4</w:t>
      </w:r>
      <w:r w:rsidR="008B2DE0" w:rsidRPr="00C55B8E">
        <w:rPr>
          <w:b/>
          <w:bCs/>
          <w:sz w:val="24"/>
          <w:vertAlign w:val="superscript"/>
        </w:rPr>
        <w:t>+</w:t>
      </w:r>
      <w:r>
        <w:rPr>
          <w:rFonts w:hint="eastAsia"/>
          <w:b/>
          <w:bCs/>
          <w:sz w:val="24"/>
        </w:rPr>
        <w:t xml:space="preserve">Th2 and </w:t>
      </w:r>
      <w:r w:rsidR="008B2DE0">
        <w:rPr>
          <w:rFonts w:hint="eastAsia"/>
          <w:b/>
          <w:bCs/>
          <w:sz w:val="24"/>
        </w:rPr>
        <w:t>IL-17A</w:t>
      </w:r>
      <w:r w:rsidR="008B2DE0" w:rsidRPr="00C55B8E">
        <w:rPr>
          <w:b/>
          <w:bCs/>
          <w:sz w:val="24"/>
          <w:vertAlign w:val="superscript"/>
        </w:rPr>
        <w:t>+</w:t>
      </w:r>
      <w:r>
        <w:rPr>
          <w:rFonts w:hint="eastAsia"/>
          <w:b/>
          <w:bCs/>
          <w:sz w:val="24"/>
        </w:rPr>
        <w:t>Th17 analysis among UC patients</w:t>
      </w:r>
    </w:p>
    <w:p w14:paraId="00E5C2B9" w14:textId="77777777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. Serum levels of both IL-4 and IL-17A were measured in serum of three groups, including active UC patients (n=44), UC patients in stable remission (n=44) and healthy controls (n=44) by ELISA</w:t>
      </w:r>
      <w:r>
        <w:rPr>
          <w:rFonts w:hint="eastAsia"/>
          <w:kern w:val="0"/>
          <w:sz w:val="24"/>
        </w:rPr>
        <w:t>.</w:t>
      </w:r>
    </w:p>
    <w:p w14:paraId="096BE94F" w14:textId="4DB46950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>. Peripheral blood w</w:t>
      </w:r>
      <w:r>
        <w:rPr>
          <w:rFonts w:hint="eastAsia"/>
          <w:kern w:val="0"/>
          <w:sz w:val="24"/>
        </w:rPr>
        <w:t>as</w:t>
      </w:r>
      <w:r>
        <w:rPr>
          <w:kern w:val="0"/>
          <w:sz w:val="24"/>
        </w:rPr>
        <w:t xml:space="preserve"> incubated with PMA, ionomycin and BFA for 5h and cytokines within </w:t>
      </w:r>
      <w:r w:rsidR="008B2DE0">
        <w:rPr>
          <w:rFonts w:hint="eastAsia"/>
          <w:kern w:val="0"/>
          <w:sz w:val="24"/>
        </w:rPr>
        <w:t>CD4</w:t>
      </w:r>
      <w:r w:rsidR="008B2DE0" w:rsidRPr="00C55B8E">
        <w:rPr>
          <w:kern w:val="0"/>
          <w:sz w:val="24"/>
          <w:vertAlign w:val="superscript"/>
        </w:rPr>
        <w:t>+</w:t>
      </w:r>
      <w:r w:rsidR="008B2DE0">
        <w:rPr>
          <w:rFonts w:hint="eastAsia"/>
          <w:kern w:val="0"/>
          <w:sz w:val="24"/>
        </w:rPr>
        <w:t xml:space="preserve"> T cells</w:t>
      </w:r>
      <w:r>
        <w:rPr>
          <w:kern w:val="0"/>
          <w:sz w:val="24"/>
        </w:rPr>
        <w:t xml:space="preserve"> were analyzed by intracellular staining.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Percentages (up) and absolute numbers per liter (bottom) of </w:t>
      </w:r>
      <w:r w:rsidR="008B2DE0">
        <w:rPr>
          <w:kern w:val="0"/>
          <w:sz w:val="24"/>
        </w:rPr>
        <w:t>IL-4</w:t>
      </w:r>
      <w:r w:rsidR="008B2DE0"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 xml:space="preserve">Th2 and </w:t>
      </w:r>
      <w:r w:rsidR="008B2DE0">
        <w:rPr>
          <w:kern w:val="0"/>
          <w:sz w:val="24"/>
        </w:rPr>
        <w:t>IL-17A</w:t>
      </w:r>
      <w:r w:rsidR="008B2DE0"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Th17 subsets were compared among active UC patients (n=18), stable remission UC patients (n=18) and healthy controls (n=16).</w:t>
      </w:r>
    </w:p>
    <w:p w14:paraId="0BE234B9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000D64F5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1CE6A844" w14:textId="3049A5E4" w:rsidR="00631252" w:rsidRDefault="008276FA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Figure </w:t>
      </w:r>
      <w:r w:rsidR="008D2B35">
        <w:rPr>
          <w:rFonts w:hint="eastAsia"/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 xml:space="preserve">2. </w:t>
      </w:r>
      <w:r>
        <w:rPr>
          <w:b/>
          <w:bCs/>
          <w:kern w:val="0"/>
          <w:sz w:val="24"/>
        </w:rPr>
        <w:t>Comparison of sub</w:t>
      </w:r>
      <w:r>
        <w:rPr>
          <w:rFonts w:hint="eastAsia"/>
          <w:b/>
          <w:bCs/>
          <w:kern w:val="0"/>
          <w:sz w:val="24"/>
        </w:rPr>
        <w:t>group</w:t>
      </w:r>
      <w:r>
        <w:rPr>
          <w:b/>
          <w:bCs/>
          <w:kern w:val="0"/>
          <w:sz w:val="24"/>
        </w:rPr>
        <w:t xml:space="preserve">s of circulating TFR cells from UC patients and healthy controls (HC) according to TIGIT and CD226 </w:t>
      </w:r>
    </w:p>
    <w:p w14:paraId="57D1FCB3" w14:textId="77777777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Peripheral blood from UC patients, including active UC patients (n=22) and stable remission UC patients (n=22) and healthy controls (n=22) were collected and functional subsets of TFR cells were analyzed through staining for CD3, CD4, CXCR5, FoxP3, TIGIT and CD226. </w:t>
      </w:r>
    </w:p>
    <w:p w14:paraId="2DD85381" w14:textId="77777777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Representative dot plots for analyzing expression of </w:t>
      </w:r>
      <w:r>
        <w:rPr>
          <w:rFonts w:hint="eastAsia"/>
          <w:kern w:val="0"/>
          <w:sz w:val="24"/>
        </w:rPr>
        <w:t xml:space="preserve">both </w:t>
      </w:r>
      <w:r>
        <w:rPr>
          <w:kern w:val="0"/>
          <w:sz w:val="24"/>
        </w:rPr>
        <w:t xml:space="preserve">TIGIT </w:t>
      </w:r>
      <w:r>
        <w:rPr>
          <w:rFonts w:hint="eastAsia"/>
          <w:kern w:val="0"/>
          <w:sz w:val="24"/>
        </w:rPr>
        <w:t>and</w:t>
      </w:r>
      <w:r>
        <w:rPr>
          <w:kern w:val="0"/>
          <w:sz w:val="24"/>
        </w:rPr>
        <w:t xml:space="preserve"> CD226 among TFR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 xml:space="preserve"> Numbers </w:t>
      </w:r>
      <w:r>
        <w:rPr>
          <w:rFonts w:hint="eastAsia"/>
          <w:kern w:val="0"/>
          <w:sz w:val="24"/>
        </w:rPr>
        <w:t>in each q</w:t>
      </w:r>
      <w:r>
        <w:rPr>
          <w:kern w:val="0"/>
          <w:sz w:val="24"/>
        </w:rPr>
        <w:t>uadrant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represent percentages in CD3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CD4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CXCR5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FoxP3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 xml:space="preserve"> TFR cells.</w:t>
      </w:r>
    </w:p>
    <w:p w14:paraId="5F085061" w14:textId="77777777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>. Percentages and absolute numbers (per liter) of CD226</w:t>
      </w:r>
      <w:r>
        <w:rPr>
          <w:kern w:val="0"/>
          <w:sz w:val="24"/>
          <w:vertAlign w:val="superscript"/>
        </w:rPr>
        <w:t>+</w:t>
      </w:r>
      <w:r>
        <w:rPr>
          <w:rFonts w:hint="eastAsia"/>
          <w:kern w:val="0"/>
          <w:sz w:val="24"/>
        </w:rPr>
        <w:t>TIGIT</w:t>
      </w:r>
      <w:r>
        <w:rPr>
          <w:rFonts w:hint="eastAsia"/>
          <w:kern w:val="0"/>
          <w:sz w:val="24"/>
          <w:vertAlign w:val="superscript"/>
        </w:rPr>
        <w:t>-</w:t>
      </w:r>
      <w:r>
        <w:rPr>
          <w:kern w:val="0"/>
          <w:sz w:val="24"/>
        </w:rPr>
        <w:t xml:space="preserve"> TFR or </w:t>
      </w:r>
      <w:r>
        <w:rPr>
          <w:rFonts w:hint="eastAsia"/>
          <w:kern w:val="0"/>
          <w:sz w:val="24"/>
        </w:rPr>
        <w:t>CD226</w:t>
      </w:r>
      <w:r>
        <w:rPr>
          <w:rFonts w:hint="eastAsia"/>
          <w:kern w:val="0"/>
          <w:sz w:val="24"/>
          <w:vertAlign w:val="superscript"/>
        </w:rPr>
        <w:t>-</w:t>
      </w:r>
      <w:r>
        <w:rPr>
          <w:kern w:val="0"/>
          <w:sz w:val="24"/>
        </w:rPr>
        <w:t>TIGIT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 xml:space="preserve"> TFR subsets among TFR cells were compared among active UC patients, stable remission UC patients and healthy controls.</w:t>
      </w:r>
    </w:p>
    <w:p w14:paraId="5D00953E" w14:textId="77777777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All symbols represent individual subjects and bars show the mean±SD. *,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 &lt; 0.05; **,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 &lt; 0.01; ***,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 &lt; 0.001; ns, not significant.</w:t>
      </w:r>
    </w:p>
    <w:p w14:paraId="7A6A5CF6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5D7D49B8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2A81F787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5701CE28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7B4EC5BF" w14:textId="566B75D7" w:rsidR="00631252" w:rsidRDefault="008276FA">
      <w:pPr>
        <w:autoSpaceDE w:val="0"/>
        <w:autoSpaceDN w:val="0"/>
        <w:adjustRightInd w:val="0"/>
        <w:spacing w:line="360" w:lineRule="auto"/>
        <w:rPr>
          <w:b/>
          <w:bCs/>
          <w:kern w:val="0"/>
          <w:sz w:val="24"/>
        </w:rPr>
      </w:pPr>
      <w:r>
        <w:rPr>
          <w:rFonts w:hint="eastAsia"/>
          <w:b/>
          <w:bCs/>
          <w:sz w:val="24"/>
        </w:rPr>
        <w:lastRenderedPageBreak/>
        <w:t xml:space="preserve">Figure </w:t>
      </w:r>
      <w:r w:rsidR="008D2B35">
        <w:rPr>
          <w:rFonts w:hint="eastAsia"/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 xml:space="preserve">3. 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>TFR subsets analysis for UC patients and healthy controls according to CD45RA and FoxP3</w:t>
      </w:r>
    </w:p>
    <w:p w14:paraId="18051BD6" w14:textId="77777777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Peripheral blood from 22 cases of active UC patients</w:t>
      </w:r>
      <w:r>
        <w:rPr>
          <w:rFonts w:hint="eastAsia"/>
          <w:kern w:val="0"/>
          <w:sz w:val="24"/>
        </w:rPr>
        <w:t xml:space="preserve">, </w:t>
      </w:r>
      <w:r>
        <w:rPr>
          <w:kern w:val="0"/>
          <w:sz w:val="24"/>
        </w:rPr>
        <w:t>22 cases of stable remission UC patients and 22 healthy controls subsequently</w:t>
      </w:r>
      <w:r>
        <w:rPr>
          <w:rFonts w:hint="eastAsia"/>
          <w:kern w:val="0"/>
          <w:sz w:val="24"/>
        </w:rPr>
        <w:t xml:space="preserve"> recruited </w:t>
      </w:r>
      <w:r>
        <w:rPr>
          <w:kern w:val="0"/>
          <w:sz w:val="24"/>
        </w:rPr>
        <w:t xml:space="preserve">were stained with fluorescent antibodies to CD3, CD4, CXCR5, CD45RA, and FoxP3 and subsets of TFR cells were analysis according to expression of CD45RA and FoxP3. </w:t>
      </w:r>
    </w:p>
    <w:p w14:paraId="1709A681" w14:textId="739496C3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Representative dot plots of CD45RA and FoxP3 expression within the </w:t>
      </w:r>
      <w:r>
        <w:rPr>
          <w:rFonts w:hint="eastAsia"/>
          <w:kern w:val="0"/>
          <w:sz w:val="24"/>
        </w:rPr>
        <w:t>CD3</w:t>
      </w:r>
      <w:r>
        <w:rPr>
          <w:rFonts w:hint="eastAsia"/>
          <w:kern w:val="0"/>
          <w:sz w:val="24"/>
          <w:vertAlign w:val="superscript"/>
        </w:rPr>
        <w:t>+</w:t>
      </w:r>
      <w:r>
        <w:rPr>
          <w:kern w:val="0"/>
          <w:sz w:val="24"/>
        </w:rPr>
        <w:t>CD4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CXCR5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FoxP3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 xml:space="preserve"> </w:t>
      </w:r>
      <w:r w:rsidR="008B2DE0">
        <w:rPr>
          <w:rFonts w:hint="eastAsia"/>
          <w:kern w:val="0"/>
          <w:sz w:val="24"/>
        </w:rPr>
        <w:t>TFR cells</w:t>
      </w:r>
      <w:r>
        <w:rPr>
          <w:kern w:val="0"/>
          <w:sz w:val="24"/>
        </w:rPr>
        <w:t xml:space="preserve"> for three groups. Numbers show the percentages of CD45RA</w:t>
      </w:r>
      <w:r>
        <w:rPr>
          <w:kern w:val="0"/>
          <w:sz w:val="24"/>
          <w:vertAlign w:val="superscript"/>
        </w:rPr>
        <w:t>-</w:t>
      </w:r>
      <w:r>
        <w:rPr>
          <w:kern w:val="0"/>
          <w:sz w:val="24"/>
        </w:rPr>
        <w:t>FoxP3</w:t>
      </w:r>
      <w:r w:rsidR="009F6007">
        <w:rPr>
          <w:kern w:val="0"/>
          <w:sz w:val="24"/>
          <w:vertAlign w:val="superscript"/>
        </w:rPr>
        <w:t>hi</w:t>
      </w:r>
      <w:r>
        <w:rPr>
          <w:kern w:val="0"/>
          <w:sz w:val="24"/>
        </w:rPr>
        <w:t>TFR cells, CD45RA</w:t>
      </w:r>
      <w:r>
        <w:rPr>
          <w:kern w:val="0"/>
          <w:sz w:val="24"/>
          <w:vertAlign w:val="superscript"/>
        </w:rPr>
        <w:t>-</w:t>
      </w:r>
      <w:r>
        <w:rPr>
          <w:kern w:val="0"/>
          <w:sz w:val="24"/>
        </w:rPr>
        <w:t>FoxP3</w:t>
      </w:r>
      <w:r>
        <w:rPr>
          <w:kern w:val="0"/>
          <w:sz w:val="24"/>
          <w:vertAlign w:val="superscript"/>
        </w:rPr>
        <w:t xml:space="preserve">int </w:t>
      </w:r>
      <w:r>
        <w:rPr>
          <w:kern w:val="0"/>
          <w:sz w:val="24"/>
        </w:rPr>
        <w:t>TFR cells and CD45RA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FoxP3</w:t>
      </w:r>
      <w:r>
        <w:rPr>
          <w:kern w:val="0"/>
          <w:sz w:val="24"/>
          <w:vertAlign w:val="superscript"/>
        </w:rPr>
        <w:t xml:space="preserve">int </w:t>
      </w:r>
      <w:r>
        <w:rPr>
          <w:kern w:val="0"/>
          <w:sz w:val="24"/>
        </w:rPr>
        <w:t xml:space="preserve">TFR cells. </w:t>
      </w:r>
    </w:p>
    <w:p w14:paraId="68455A75" w14:textId="77777777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B. Percentage and absolute number (per liter) of CD45RA</w:t>
      </w:r>
      <w:r>
        <w:rPr>
          <w:kern w:val="0"/>
          <w:sz w:val="24"/>
          <w:vertAlign w:val="superscript"/>
        </w:rPr>
        <w:t>-</w:t>
      </w:r>
      <w:r>
        <w:rPr>
          <w:kern w:val="0"/>
          <w:sz w:val="24"/>
        </w:rPr>
        <w:t>FoxP3</w:t>
      </w:r>
      <w:r w:rsidR="009F6007">
        <w:rPr>
          <w:kern w:val="0"/>
          <w:sz w:val="24"/>
          <w:vertAlign w:val="superscript"/>
        </w:rPr>
        <w:t>hi</w:t>
      </w:r>
      <w:r>
        <w:rPr>
          <w:kern w:val="0"/>
          <w:sz w:val="24"/>
          <w:vertAlign w:val="superscript"/>
        </w:rPr>
        <w:t xml:space="preserve"> </w:t>
      </w:r>
      <w:r>
        <w:rPr>
          <w:kern w:val="0"/>
          <w:sz w:val="24"/>
        </w:rPr>
        <w:t>TFR cells, CD45RA</w:t>
      </w:r>
      <w:r>
        <w:rPr>
          <w:kern w:val="0"/>
          <w:sz w:val="24"/>
          <w:vertAlign w:val="superscript"/>
        </w:rPr>
        <w:t>-</w:t>
      </w:r>
      <w:r>
        <w:rPr>
          <w:kern w:val="0"/>
          <w:sz w:val="24"/>
        </w:rPr>
        <w:t>FoxP3</w:t>
      </w:r>
      <w:r>
        <w:rPr>
          <w:kern w:val="0"/>
          <w:sz w:val="24"/>
          <w:vertAlign w:val="superscript"/>
        </w:rPr>
        <w:t xml:space="preserve">int </w:t>
      </w:r>
      <w:r>
        <w:rPr>
          <w:kern w:val="0"/>
          <w:sz w:val="24"/>
        </w:rPr>
        <w:t>TFR cells and CD45RA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FoxP3</w:t>
      </w:r>
      <w:r>
        <w:rPr>
          <w:kern w:val="0"/>
          <w:sz w:val="24"/>
          <w:vertAlign w:val="superscript"/>
        </w:rPr>
        <w:t xml:space="preserve">int </w:t>
      </w:r>
      <w:r>
        <w:rPr>
          <w:kern w:val="0"/>
          <w:sz w:val="24"/>
        </w:rPr>
        <w:t xml:space="preserve">TFR cells were compared among the three groups of individuals. </w:t>
      </w:r>
    </w:p>
    <w:p w14:paraId="47AC322A" w14:textId="0B50F5FB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Symbols </w:t>
      </w:r>
      <w:proofErr w:type="gramStart"/>
      <w:r>
        <w:rPr>
          <w:kern w:val="0"/>
          <w:sz w:val="24"/>
        </w:rPr>
        <w:t>represent</w:t>
      </w:r>
      <w:proofErr w:type="gramEnd"/>
      <w:r>
        <w:rPr>
          <w:kern w:val="0"/>
          <w:sz w:val="24"/>
        </w:rPr>
        <w:t xml:space="preserve"> individual subjects and bars show the mean±SD.  **,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 &lt; 0.01; ***,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 &lt; 0.001; ns, not significant.</w:t>
      </w:r>
    </w:p>
    <w:p w14:paraId="340D522C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7E161E73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319B1205" w14:textId="3BF95B7A" w:rsidR="00631252" w:rsidRDefault="008276FA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Figure </w:t>
      </w:r>
      <w:r w:rsidR="008D2B35">
        <w:rPr>
          <w:rFonts w:hint="eastAsia"/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>4.</w:t>
      </w:r>
      <w:r>
        <w:rPr>
          <w:b/>
          <w:bCs/>
          <w:sz w:val="24"/>
        </w:rPr>
        <w:t xml:space="preserve"> Comparison of IgG between UC patients and healthy controls and correlation </w:t>
      </w:r>
      <w:r>
        <w:rPr>
          <w:rFonts w:hint="eastAsia"/>
          <w:b/>
          <w:bCs/>
          <w:sz w:val="24"/>
        </w:rPr>
        <w:t>analys</w:t>
      </w:r>
      <w:r w:rsidR="00897105">
        <w:rPr>
          <w:rFonts w:hint="eastAsia"/>
          <w:b/>
          <w:bCs/>
          <w:sz w:val="24"/>
        </w:rPr>
        <w:t>e</w:t>
      </w:r>
      <w:r>
        <w:rPr>
          <w:rFonts w:hint="eastAsia"/>
          <w:b/>
          <w:bCs/>
          <w:sz w:val="24"/>
        </w:rPr>
        <w:t xml:space="preserve">s </w:t>
      </w:r>
      <w:r w:rsidR="00897105">
        <w:rPr>
          <w:rFonts w:hint="eastAsia"/>
          <w:b/>
          <w:bCs/>
          <w:sz w:val="24"/>
        </w:rPr>
        <w:t>of</w:t>
      </w:r>
      <w:r>
        <w:rPr>
          <w:b/>
          <w:bCs/>
          <w:sz w:val="24"/>
        </w:rPr>
        <w:t xml:space="preserve"> IgG </w:t>
      </w:r>
      <w:r w:rsidR="00897105">
        <w:rPr>
          <w:rFonts w:hint="eastAsia"/>
          <w:b/>
          <w:bCs/>
          <w:sz w:val="24"/>
        </w:rPr>
        <w:t>with</w:t>
      </w:r>
      <w:r>
        <w:rPr>
          <w:b/>
          <w:bCs/>
          <w:sz w:val="24"/>
        </w:rPr>
        <w:t xml:space="preserve"> TFH</w:t>
      </w:r>
      <w:r w:rsidR="00897105">
        <w:rPr>
          <w:rFonts w:hint="eastAsia"/>
          <w:b/>
          <w:bCs/>
          <w:sz w:val="24"/>
        </w:rPr>
        <w:t>,</w:t>
      </w:r>
      <w:r>
        <w:rPr>
          <w:b/>
          <w:bCs/>
          <w:sz w:val="24"/>
        </w:rPr>
        <w:t xml:space="preserve"> TFR</w:t>
      </w:r>
      <w:r w:rsidR="00897105">
        <w:rPr>
          <w:rFonts w:hint="eastAsia"/>
          <w:b/>
          <w:bCs/>
          <w:sz w:val="24"/>
        </w:rPr>
        <w:t xml:space="preserve"> among all UC patients</w:t>
      </w:r>
    </w:p>
    <w:p w14:paraId="250F278E" w14:textId="7156E734" w:rsidR="00631252" w:rsidRDefault="008276FA">
      <w:pPr>
        <w:autoSpaceDE w:val="0"/>
        <w:autoSpaceDN w:val="0"/>
        <w:adjustRightInd w:val="0"/>
        <w:spacing w:line="360" w:lineRule="auto"/>
        <w:ind w:firstLineChars="50" w:firstLine="1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A. </w:t>
      </w:r>
      <w:r>
        <w:rPr>
          <w:kern w:val="0"/>
          <w:sz w:val="24"/>
        </w:rPr>
        <w:t xml:space="preserve">Levels of </w:t>
      </w:r>
      <w:r>
        <w:rPr>
          <w:rFonts w:hint="eastAsia"/>
          <w:kern w:val="0"/>
          <w:sz w:val="24"/>
        </w:rPr>
        <w:t>IgG</w:t>
      </w:r>
      <w:r>
        <w:rPr>
          <w:kern w:val="0"/>
          <w:sz w:val="24"/>
        </w:rPr>
        <w:t xml:space="preserve"> in </w:t>
      </w:r>
      <w:r>
        <w:rPr>
          <w:rFonts w:hint="eastAsia"/>
          <w:kern w:val="0"/>
          <w:sz w:val="24"/>
        </w:rPr>
        <w:t xml:space="preserve">serum of </w:t>
      </w:r>
      <w:r>
        <w:rPr>
          <w:kern w:val="0"/>
          <w:sz w:val="24"/>
        </w:rPr>
        <w:t>active UC patients (n = 44)</w:t>
      </w:r>
      <w:r>
        <w:rPr>
          <w:rFonts w:hint="eastAsia"/>
          <w:kern w:val="0"/>
          <w:sz w:val="24"/>
        </w:rPr>
        <w:t>, stable remission UC patients(n=44) and healthy controls(n=44)</w:t>
      </w:r>
      <w:r>
        <w:rPr>
          <w:kern w:val="0"/>
          <w:sz w:val="24"/>
        </w:rPr>
        <w:t xml:space="preserve"> were measured</w:t>
      </w:r>
      <w:r>
        <w:rPr>
          <w:rFonts w:hint="eastAsia"/>
          <w:kern w:val="0"/>
          <w:sz w:val="24"/>
        </w:rPr>
        <w:t xml:space="preserve"> and compared. </w:t>
      </w:r>
      <w:r>
        <w:rPr>
          <w:kern w:val="0"/>
          <w:sz w:val="24"/>
        </w:rPr>
        <w:t xml:space="preserve">All symbols represent individual subjects and bars show the mean±SD. ***,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 &lt; </w:t>
      </w:r>
      <w:proofErr w:type="gramStart"/>
      <w:r>
        <w:rPr>
          <w:kern w:val="0"/>
          <w:sz w:val="24"/>
        </w:rPr>
        <w:t>0.001;</w:t>
      </w:r>
      <w:proofErr w:type="gramEnd"/>
      <w:r>
        <w:rPr>
          <w:kern w:val="0"/>
          <w:sz w:val="24"/>
        </w:rPr>
        <w:t xml:space="preserve"> ns, not significant.</w:t>
      </w:r>
    </w:p>
    <w:p w14:paraId="516D2EFA" w14:textId="77777777" w:rsidR="00631252" w:rsidRDefault="008276FA">
      <w:pPr>
        <w:autoSpaceDE w:val="0"/>
        <w:autoSpaceDN w:val="0"/>
        <w:adjustRightInd w:val="0"/>
        <w:spacing w:line="360" w:lineRule="auto"/>
        <w:ind w:firstLineChars="50" w:firstLine="120"/>
        <w:rPr>
          <w:kern w:val="0"/>
          <w:sz w:val="24"/>
        </w:rPr>
      </w:pPr>
      <w:r>
        <w:rPr>
          <w:rFonts w:hint="eastAsia"/>
          <w:kern w:val="0"/>
          <w:sz w:val="24"/>
        </w:rPr>
        <w:t>B. C</w:t>
      </w:r>
      <w:r>
        <w:rPr>
          <w:kern w:val="0"/>
          <w:sz w:val="24"/>
        </w:rPr>
        <w:t>orrelation analysis with percentages of CD4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CXCR5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FoxP3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 xml:space="preserve"> TFR cells</w:t>
      </w:r>
      <w:r w:rsidR="007A2E2C">
        <w:rPr>
          <w:rFonts w:hint="eastAsia"/>
          <w:kern w:val="0"/>
          <w:sz w:val="24"/>
        </w:rPr>
        <w:t>(n=88)</w:t>
      </w:r>
      <w:r>
        <w:rPr>
          <w:kern w:val="0"/>
          <w:sz w:val="24"/>
        </w:rPr>
        <w:t>, CD4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CXCR5</w:t>
      </w:r>
      <w:r>
        <w:rPr>
          <w:kern w:val="0"/>
          <w:sz w:val="24"/>
          <w:vertAlign w:val="superscript"/>
        </w:rPr>
        <w:t>+</w:t>
      </w:r>
      <w:r>
        <w:rPr>
          <w:kern w:val="0"/>
          <w:sz w:val="24"/>
        </w:rPr>
        <w:t>FoxP3</w:t>
      </w:r>
      <w:r>
        <w:rPr>
          <w:kern w:val="0"/>
          <w:sz w:val="24"/>
          <w:vertAlign w:val="superscript"/>
        </w:rPr>
        <w:t>-</w:t>
      </w:r>
      <w:r>
        <w:rPr>
          <w:kern w:val="0"/>
          <w:sz w:val="24"/>
        </w:rPr>
        <w:t xml:space="preserve"> TFH cells</w:t>
      </w:r>
      <w:r w:rsidR="007A2E2C">
        <w:rPr>
          <w:rFonts w:hint="eastAsia"/>
          <w:kern w:val="0"/>
          <w:sz w:val="24"/>
        </w:rPr>
        <w:t>(n=88)</w:t>
      </w:r>
      <w:r>
        <w:rPr>
          <w:kern w:val="0"/>
          <w:sz w:val="24"/>
        </w:rPr>
        <w:t>, CXCR3</w:t>
      </w:r>
      <w:r>
        <w:rPr>
          <w:kern w:val="0"/>
          <w:sz w:val="24"/>
          <w:vertAlign w:val="superscript"/>
        </w:rPr>
        <w:t>-</w:t>
      </w:r>
      <w:r>
        <w:rPr>
          <w:kern w:val="0"/>
          <w:sz w:val="24"/>
        </w:rPr>
        <w:t>CCR6</w:t>
      </w:r>
      <w:r>
        <w:rPr>
          <w:kern w:val="0"/>
          <w:sz w:val="24"/>
          <w:vertAlign w:val="superscript"/>
        </w:rPr>
        <w:t>-</w:t>
      </w:r>
      <w:r>
        <w:rPr>
          <w:kern w:val="0"/>
          <w:sz w:val="24"/>
        </w:rPr>
        <w:t xml:space="preserve"> TFH2 subsets</w:t>
      </w:r>
      <w:r w:rsidR="007A2E2C">
        <w:rPr>
          <w:rFonts w:hint="eastAsia"/>
          <w:kern w:val="0"/>
          <w:sz w:val="24"/>
        </w:rPr>
        <w:t>(n=64)</w:t>
      </w:r>
      <w:r>
        <w:rPr>
          <w:kern w:val="0"/>
          <w:sz w:val="24"/>
        </w:rPr>
        <w:t xml:space="preserve"> were performed</w:t>
      </w:r>
      <w:r>
        <w:rPr>
          <w:rFonts w:hint="eastAsia"/>
          <w:kern w:val="0"/>
          <w:sz w:val="24"/>
        </w:rPr>
        <w:t xml:space="preserve"> </w:t>
      </w:r>
      <w:r w:rsidR="00963A62">
        <w:rPr>
          <w:rFonts w:hint="eastAsia"/>
          <w:kern w:val="0"/>
          <w:sz w:val="24"/>
        </w:rPr>
        <w:t>in</w:t>
      </w:r>
      <w:r>
        <w:rPr>
          <w:rFonts w:hint="eastAsia"/>
          <w:kern w:val="0"/>
          <w:sz w:val="24"/>
        </w:rPr>
        <w:t xml:space="preserve"> </w:t>
      </w:r>
      <w:r w:rsidR="007A2E2C">
        <w:rPr>
          <w:rFonts w:hint="eastAsia"/>
          <w:kern w:val="0"/>
          <w:sz w:val="24"/>
        </w:rPr>
        <w:t xml:space="preserve">both active and stable remission </w:t>
      </w:r>
      <w:r>
        <w:rPr>
          <w:rFonts w:hint="eastAsia"/>
          <w:kern w:val="0"/>
          <w:sz w:val="24"/>
        </w:rPr>
        <w:t>UC patients</w:t>
      </w:r>
      <w:r>
        <w:rPr>
          <w:kern w:val="0"/>
          <w:sz w:val="24"/>
        </w:rPr>
        <w:t>. Spearman’s correlation coefficients are shown. Data are presented as scatter</w:t>
      </w:r>
      <w:r w:rsidR="007A2E2C"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plots. </w:t>
      </w:r>
      <w:r>
        <w:rPr>
          <w:rFonts w:hint="eastAsia"/>
          <w:i/>
          <w:sz w:val="24"/>
        </w:rPr>
        <w:t>p</w:t>
      </w:r>
      <w:r>
        <w:rPr>
          <w:rFonts w:hint="eastAsia"/>
          <w:sz w:val="24"/>
        </w:rPr>
        <w:t xml:space="preserve"> &lt; </w:t>
      </w:r>
      <w:r>
        <w:rPr>
          <w:sz w:val="24"/>
        </w:rPr>
        <w:t>0.05 was linearly regressed to show relevant trends.</w:t>
      </w:r>
    </w:p>
    <w:p w14:paraId="64B01618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524C786D" w14:textId="041C8433" w:rsidR="00631252" w:rsidRDefault="008276FA">
      <w:pPr>
        <w:autoSpaceDE w:val="0"/>
        <w:autoSpaceDN w:val="0"/>
        <w:adjustRightIn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Figure </w:t>
      </w:r>
      <w:r w:rsidR="008D2B35">
        <w:rPr>
          <w:rFonts w:hint="eastAsia"/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 xml:space="preserve">5. </w:t>
      </w:r>
      <w:r>
        <w:rPr>
          <w:b/>
          <w:bCs/>
          <w:kern w:val="0"/>
          <w:sz w:val="24"/>
        </w:rPr>
        <w:t>Correlation</w:t>
      </w:r>
      <w:r w:rsidR="002448D8">
        <w:rPr>
          <w:rFonts w:hint="eastAsia"/>
          <w:b/>
          <w:bCs/>
          <w:kern w:val="0"/>
          <w:sz w:val="24"/>
        </w:rPr>
        <w:t>s</w:t>
      </w:r>
      <w:r>
        <w:rPr>
          <w:b/>
          <w:bCs/>
          <w:kern w:val="0"/>
          <w:sz w:val="24"/>
        </w:rPr>
        <w:t xml:space="preserve"> between CXCR5</w:t>
      </w:r>
      <w:r>
        <w:rPr>
          <w:b/>
          <w:bCs/>
          <w:kern w:val="0"/>
          <w:sz w:val="24"/>
          <w:vertAlign w:val="superscript"/>
        </w:rPr>
        <w:t>+</w:t>
      </w:r>
      <w:r>
        <w:rPr>
          <w:b/>
          <w:bCs/>
          <w:kern w:val="0"/>
          <w:sz w:val="24"/>
        </w:rPr>
        <w:t>FoxP3</w:t>
      </w:r>
      <w:r>
        <w:rPr>
          <w:b/>
          <w:bCs/>
          <w:kern w:val="0"/>
          <w:sz w:val="24"/>
          <w:vertAlign w:val="superscript"/>
        </w:rPr>
        <w:t>+</w:t>
      </w:r>
      <w:r>
        <w:rPr>
          <w:b/>
          <w:bCs/>
          <w:kern w:val="0"/>
          <w:sz w:val="24"/>
        </w:rPr>
        <w:t>TFR cells, CXCR5</w:t>
      </w:r>
      <w:r>
        <w:rPr>
          <w:b/>
          <w:bCs/>
          <w:kern w:val="0"/>
          <w:sz w:val="24"/>
          <w:vertAlign w:val="superscript"/>
        </w:rPr>
        <w:t>+</w:t>
      </w:r>
      <w:r>
        <w:rPr>
          <w:b/>
          <w:bCs/>
          <w:kern w:val="0"/>
          <w:sz w:val="24"/>
        </w:rPr>
        <w:t>FoxP3</w:t>
      </w:r>
      <w:r>
        <w:rPr>
          <w:b/>
          <w:bCs/>
          <w:kern w:val="0"/>
          <w:sz w:val="24"/>
          <w:vertAlign w:val="superscript"/>
        </w:rPr>
        <w:t>-</w:t>
      </w:r>
      <w:r>
        <w:rPr>
          <w:b/>
          <w:bCs/>
          <w:kern w:val="0"/>
          <w:sz w:val="24"/>
        </w:rPr>
        <w:t xml:space="preserve">TFH </w:t>
      </w:r>
      <w:r>
        <w:rPr>
          <w:b/>
          <w:bCs/>
          <w:kern w:val="0"/>
          <w:sz w:val="24"/>
        </w:rPr>
        <w:lastRenderedPageBreak/>
        <w:t>cells, CXCR3</w:t>
      </w:r>
      <w:r>
        <w:rPr>
          <w:b/>
          <w:bCs/>
          <w:kern w:val="0"/>
          <w:sz w:val="24"/>
          <w:vertAlign w:val="superscript"/>
        </w:rPr>
        <w:t>-</w:t>
      </w:r>
      <w:r>
        <w:rPr>
          <w:b/>
          <w:bCs/>
          <w:kern w:val="0"/>
          <w:sz w:val="24"/>
        </w:rPr>
        <w:t>CCR6</w:t>
      </w:r>
      <w:r w:rsidRPr="002448D8">
        <w:rPr>
          <w:b/>
          <w:bCs/>
          <w:kern w:val="0"/>
          <w:sz w:val="24"/>
          <w:vertAlign w:val="superscript"/>
        </w:rPr>
        <w:t>-</w:t>
      </w:r>
      <w:r>
        <w:rPr>
          <w:b/>
          <w:bCs/>
          <w:kern w:val="0"/>
          <w:sz w:val="24"/>
        </w:rPr>
        <w:t>TFH2 subsets and CRP</w:t>
      </w:r>
      <w:r>
        <w:rPr>
          <w:rFonts w:hint="eastAsia"/>
          <w:b/>
          <w:bCs/>
          <w:kern w:val="0"/>
          <w:sz w:val="24"/>
        </w:rPr>
        <w:t xml:space="preserve"> among</w:t>
      </w:r>
      <w:r>
        <w:rPr>
          <w:b/>
          <w:bCs/>
          <w:kern w:val="0"/>
          <w:sz w:val="24"/>
        </w:rPr>
        <w:t xml:space="preserve"> </w:t>
      </w:r>
      <w:r>
        <w:rPr>
          <w:rFonts w:hint="eastAsia"/>
          <w:b/>
          <w:bCs/>
          <w:kern w:val="0"/>
          <w:sz w:val="24"/>
        </w:rPr>
        <w:t>all UC patients</w:t>
      </w:r>
    </w:p>
    <w:p w14:paraId="5AB4C20A" w14:textId="77777777" w:rsidR="00631252" w:rsidRDefault="007A2E2C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 Levels of CRP in active</w:t>
      </w:r>
      <w:r w:rsidR="008276FA">
        <w:rPr>
          <w:kern w:val="0"/>
          <w:sz w:val="24"/>
        </w:rPr>
        <w:t xml:space="preserve"> </w:t>
      </w:r>
      <w:r w:rsidR="008276FA">
        <w:rPr>
          <w:rFonts w:hint="eastAsia"/>
          <w:kern w:val="0"/>
          <w:sz w:val="24"/>
        </w:rPr>
        <w:t>and</w:t>
      </w:r>
      <w:r w:rsidR="008276FA">
        <w:rPr>
          <w:kern w:val="0"/>
          <w:sz w:val="24"/>
        </w:rPr>
        <w:t xml:space="preserve"> </w:t>
      </w:r>
      <w:r w:rsidR="008276FA">
        <w:rPr>
          <w:rFonts w:hint="eastAsia"/>
          <w:kern w:val="0"/>
          <w:sz w:val="24"/>
        </w:rPr>
        <w:t>stable remission</w:t>
      </w:r>
      <w:r>
        <w:rPr>
          <w:rFonts w:hint="eastAsia"/>
          <w:kern w:val="0"/>
          <w:sz w:val="24"/>
        </w:rPr>
        <w:t xml:space="preserve"> </w:t>
      </w:r>
      <w:r w:rsidR="008276FA">
        <w:rPr>
          <w:kern w:val="0"/>
          <w:sz w:val="24"/>
        </w:rPr>
        <w:t>UC patients</w:t>
      </w:r>
      <w:r w:rsidR="008276FA">
        <w:rPr>
          <w:rFonts w:hint="eastAsia"/>
          <w:kern w:val="0"/>
          <w:sz w:val="24"/>
        </w:rPr>
        <w:t xml:space="preserve"> </w:t>
      </w:r>
      <w:r w:rsidR="008276FA">
        <w:rPr>
          <w:kern w:val="0"/>
          <w:sz w:val="24"/>
        </w:rPr>
        <w:t>were measured, and correlation analysis with percentages of CD4</w:t>
      </w:r>
      <w:r w:rsidR="008276FA">
        <w:rPr>
          <w:kern w:val="0"/>
          <w:sz w:val="24"/>
          <w:vertAlign w:val="superscript"/>
        </w:rPr>
        <w:t>+</w:t>
      </w:r>
      <w:r w:rsidR="008276FA">
        <w:rPr>
          <w:kern w:val="0"/>
          <w:sz w:val="24"/>
        </w:rPr>
        <w:t>CXCR5</w:t>
      </w:r>
      <w:r w:rsidR="008276FA">
        <w:rPr>
          <w:kern w:val="0"/>
          <w:sz w:val="24"/>
          <w:vertAlign w:val="superscript"/>
        </w:rPr>
        <w:t>+</w:t>
      </w:r>
      <w:r w:rsidR="008276FA">
        <w:rPr>
          <w:kern w:val="0"/>
          <w:sz w:val="24"/>
        </w:rPr>
        <w:t>FoxP3</w:t>
      </w:r>
      <w:r w:rsidR="008276FA">
        <w:rPr>
          <w:kern w:val="0"/>
          <w:sz w:val="24"/>
          <w:vertAlign w:val="superscript"/>
        </w:rPr>
        <w:t>+</w:t>
      </w:r>
      <w:r w:rsidR="008276FA">
        <w:rPr>
          <w:kern w:val="0"/>
          <w:sz w:val="24"/>
        </w:rPr>
        <w:t xml:space="preserve"> TFR cells</w:t>
      </w:r>
      <w:r>
        <w:rPr>
          <w:rFonts w:hint="eastAsia"/>
          <w:kern w:val="0"/>
          <w:sz w:val="24"/>
        </w:rPr>
        <w:t>(n=88)</w:t>
      </w:r>
      <w:r w:rsidR="008276FA">
        <w:rPr>
          <w:kern w:val="0"/>
          <w:sz w:val="24"/>
        </w:rPr>
        <w:t>, CD4</w:t>
      </w:r>
      <w:r w:rsidR="008276FA">
        <w:rPr>
          <w:kern w:val="0"/>
          <w:sz w:val="24"/>
          <w:vertAlign w:val="superscript"/>
        </w:rPr>
        <w:t>+</w:t>
      </w:r>
      <w:r w:rsidR="008276FA">
        <w:rPr>
          <w:kern w:val="0"/>
          <w:sz w:val="24"/>
        </w:rPr>
        <w:t>CXCR5</w:t>
      </w:r>
      <w:r w:rsidR="008276FA">
        <w:rPr>
          <w:kern w:val="0"/>
          <w:sz w:val="24"/>
          <w:vertAlign w:val="superscript"/>
        </w:rPr>
        <w:t>+</w:t>
      </w:r>
      <w:r w:rsidR="008276FA">
        <w:rPr>
          <w:kern w:val="0"/>
          <w:sz w:val="24"/>
        </w:rPr>
        <w:t>FoxP3</w:t>
      </w:r>
      <w:r w:rsidR="008276FA">
        <w:rPr>
          <w:kern w:val="0"/>
          <w:sz w:val="24"/>
          <w:vertAlign w:val="superscript"/>
        </w:rPr>
        <w:t>-</w:t>
      </w:r>
      <w:r w:rsidR="008276FA">
        <w:rPr>
          <w:kern w:val="0"/>
          <w:sz w:val="24"/>
        </w:rPr>
        <w:t xml:space="preserve"> TFH cells</w:t>
      </w:r>
      <w:r>
        <w:rPr>
          <w:rFonts w:hint="eastAsia"/>
          <w:kern w:val="0"/>
          <w:sz w:val="24"/>
        </w:rPr>
        <w:t>(n=88)</w:t>
      </w:r>
      <w:r w:rsidR="008276FA">
        <w:rPr>
          <w:kern w:val="0"/>
          <w:sz w:val="24"/>
        </w:rPr>
        <w:t>, CXCR3</w:t>
      </w:r>
      <w:r w:rsidR="008276FA">
        <w:rPr>
          <w:kern w:val="0"/>
          <w:sz w:val="24"/>
          <w:vertAlign w:val="superscript"/>
        </w:rPr>
        <w:t>-</w:t>
      </w:r>
      <w:r w:rsidR="008276FA">
        <w:rPr>
          <w:kern w:val="0"/>
          <w:sz w:val="24"/>
        </w:rPr>
        <w:t>CCR6</w:t>
      </w:r>
      <w:r w:rsidR="008276FA">
        <w:rPr>
          <w:kern w:val="0"/>
          <w:sz w:val="24"/>
          <w:vertAlign w:val="superscript"/>
        </w:rPr>
        <w:t>-</w:t>
      </w:r>
      <w:r w:rsidR="008276FA">
        <w:rPr>
          <w:kern w:val="0"/>
          <w:sz w:val="24"/>
        </w:rPr>
        <w:t xml:space="preserve"> TFH2 subsets</w:t>
      </w:r>
      <w:r>
        <w:rPr>
          <w:rFonts w:hint="eastAsia"/>
          <w:kern w:val="0"/>
          <w:sz w:val="24"/>
        </w:rPr>
        <w:t>(n=64)</w:t>
      </w:r>
      <w:r w:rsidR="008276FA">
        <w:rPr>
          <w:kern w:val="0"/>
          <w:sz w:val="24"/>
        </w:rPr>
        <w:t xml:space="preserve"> were performed</w:t>
      </w:r>
      <w:r w:rsidR="008276FA">
        <w:rPr>
          <w:rFonts w:hint="eastAsia"/>
          <w:kern w:val="0"/>
          <w:sz w:val="24"/>
        </w:rPr>
        <w:t xml:space="preserve"> among UC patients</w:t>
      </w:r>
      <w:r w:rsidR="008276FA">
        <w:rPr>
          <w:kern w:val="0"/>
          <w:sz w:val="24"/>
        </w:rPr>
        <w:t xml:space="preserve">. </w:t>
      </w:r>
    </w:p>
    <w:p w14:paraId="6384EEAB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7DC50BAE" w14:textId="77777777" w:rsidR="00631252" w:rsidRDefault="00631252">
      <w:pPr>
        <w:autoSpaceDE w:val="0"/>
        <w:autoSpaceDN w:val="0"/>
        <w:adjustRightInd w:val="0"/>
        <w:spacing w:line="360" w:lineRule="auto"/>
        <w:rPr>
          <w:sz w:val="24"/>
        </w:rPr>
      </w:pPr>
    </w:p>
    <w:p w14:paraId="0B5E1231" w14:textId="395BF857" w:rsidR="00631252" w:rsidRDefault="008276FA">
      <w:pPr>
        <w:autoSpaceDE w:val="0"/>
        <w:autoSpaceDN w:val="0"/>
        <w:adjustRightInd w:val="0"/>
        <w:spacing w:line="360" w:lineRule="auto"/>
        <w:rPr>
          <w:b/>
          <w:bCs/>
          <w:kern w:val="0"/>
          <w:sz w:val="24"/>
        </w:rPr>
      </w:pPr>
      <w:r>
        <w:rPr>
          <w:rFonts w:hint="eastAsia"/>
          <w:b/>
          <w:bCs/>
          <w:sz w:val="24"/>
        </w:rPr>
        <w:t xml:space="preserve">Figure </w:t>
      </w:r>
      <w:r w:rsidR="008D2B35">
        <w:rPr>
          <w:rFonts w:hint="eastAsia"/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>6.</w:t>
      </w:r>
      <w:r>
        <w:rPr>
          <w:rFonts w:hint="eastAsia"/>
          <w:b/>
          <w:bCs/>
          <w:kern w:val="0"/>
          <w:sz w:val="24"/>
        </w:rPr>
        <w:t xml:space="preserve"> C</w:t>
      </w:r>
      <w:r>
        <w:rPr>
          <w:b/>
          <w:bCs/>
          <w:kern w:val="0"/>
          <w:sz w:val="24"/>
        </w:rPr>
        <w:t xml:space="preserve">orrelation analysis between serum </w:t>
      </w:r>
      <w:r>
        <w:rPr>
          <w:rFonts w:hint="eastAsia"/>
          <w:b/>
          <w:bCs/>
          <w:kern w:val="0"/>
          <w:sz w:val="24"/>
        </w:rPr>
        <w:t>cytokine</w:t>
      </w:r>
      <w:r>
        <w:rPr>
          <w:b/>
          <w:bCs/>
          <w:kern w:val="0"/>
          <w:sz w:val="24"/>
        </w:rPr>
        <w:t xml:space="preserve"> concentrations and percentages of T</w:t>
      </w:r>
      <w:r w:rsidR="008B2DE0">
        <w:rPr>
          <w:rFonts w:hint="eastAsia"/>
          <w:b/>
          <w:bCs/>
          <w:kern w:val="0"/>
          <w:sz w:val="24"/>
        </w:rPr>
        <w:t>FR</w:t>
      </w:r>
      <w:r>
        <w:rPr>
          <w:rFonts w:hint="eastAsia"/>
          <w:b/>
          <w:bCs/>
          <w:kern w:val="0"/>
          <w:sz w:val="24"/>
        </w:rPr>
        <w:t xml:space="preserve"> and</w:t>
      </w:r>
      <w:r>
        <w:rPr>
          <w:b/>
          <w:bCs/>
          <w:kern w:val="0"/>
          <w:sz w:val="24"/>
        </w:rPr>
        <w:t xml:space="preserve"> T</w:t>
      </w:r>
      <w:r w:rsidR="008B2DE0">
        <w:rPr>
          <w:rFonts w:hint="eastAsia"/>
          <w:b/>
          <w:bCs/>
          <w:kern w:val="0"/>
          <w:sz w:val="24"/>
        </w:rPr>
        <w:t>FH</w:t>
      </w:r>
      <w:r>
        <w:rPr>
          <w:b/>
          <w:bCs/>
          <w:kern w:val="0"/>
          <w:sz w:val="24"/>
        </w:rPr>
        <w:t xml:space="preserve"> cells </w:t>
      </w:r>
      <w:r>
        <w:rPr>
          <w:rFonts w:hint="eastAsia"/>
          <w:b/>
          <w:bCs/>
          <w:kern w:val="0"/>
          <w:sz w:val="24"/>
        </w:rPr>
        <w:t xml:space="preserve">in active UC patients </w:t>
      </w:r>
    </w:p>
    <w:p w14:paraId="32EC9E92" w14:textId="40B92AC7" w:rsidR="00631252" w:rsidRDefault="008276FA">
      <w:pPr>
        <w:autoSpaceDE w:val="0"/>
        <w:autoSpaceDN w:val="0"/>
        <w:adjustRightIn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The correlation analysis between serum IL-10, IL-12, IL-21 concentrations and percentages of CXCR5+FoxP3+ T</w:t>
      </w:r>
      <w:r w:rsidR="008B2DE0">
        <w:rPr>
          <w:rFonts w:hint="eastAsia"/>
          <w:kern w:val="0"/>
          <w:sz w:val="24"/>
        </w:rPr>
        <w:t>FR</w:t>
      </w:r>
      <w:r>
        <w:rPr>
          <w:kern w:val="0"/>
          <w:sz w:val="24"/>
        </w:rPr>
        <w:t xml:space="preserve"> cells, CXCR5+FoxP3- T</w:t>
      </w:r>
      <w:r w:rsidR="008B2DE0">
        <w:rPr>
          <w:rFonts w:hint="eastAsia"/>
          <w:kern w:val="0"/>
          <w:sz w:val="24"/>
        </w:rPr>
        <w:t>FH</w:t>
      </w:r>
      <w:r>
        <w:rPr>
          <w:kern w:val="0"/>
          <w:sz w:val="24"/>
        </w:rPr>
        <w:t xml:space="preserve"> cells</w:t>
      </w:r>
      <w:r>
        <w:rPr>
          <w:rFonts w:hint="eastAsia"/>
          <w:kern w:val="0"/>
          <w:sz w:val="24"/>
        </w:rPr>
        <w:t xml:space="preserve"> were performed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in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44 cases of active UC patients. </w:t>
      </w:r>
      <w:r>
        <w:rPr>
          <w:kern w:val="0"/>
          <w:sz w:val="24"/>
        </w:rPr>
        <w:t xml:space="preserve">Spearman’s correlation coefficients are shown. Data are presented as scatterplots. </w:t>
      </w:r>
      <w:r>
        <w:rPr>
          <w:rFonts w:hint="eastAsia"/>
          <w:i/>
          <w:sz w:val="24"/>
        </w:rPr>
        <w:t>p</w:t>
      </w:r>
      <w:r>
        <w:rPr>
          <w:rFonts w:hint="eastAsia"/>
          <w:sz w:val="24"/>
        </w:rPr>
        <w:t xml:space="preserve"> &lt; </w:t>
      </w:r>
      <w:r>
        <w:rPr>
          <w:sz w:val="24"/>
        </w:rPr>
        <w:t>0.05 was linearly regressed to show relevant trends.</w:t>
      </w:r>
    </w:p>
    <w:sectPr w:rsidR="00631252" w:rsidSect="0063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CA3E" w14:textId="77777777" w:rsidR="007C058A" w:rsidRDefault="007C058A" w:rsidP="008276FA">
      <w:r>
        <w:separator/>
      </w:r>
    </w:p>
  </w:endnote>
  <w:endnote w:type="continuationSeparator" w:id="0">
    <w:p w14:paraId="1D55831E" w14:textId="77777777" w:rsidR="007C058A" w:rsidRDefault="007C058A" w:rsidP="0082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5757" w14:textId="77777777" w:rsidR="007C058A" w:rsidRDefault="007C058A" w:rsidP="008276FA">
      <w:r>
        <w:separator/>
      </w:r>
    </w:p>
  </w:footnote>
  <w:footnote w:type="continuationSeparator" w:id="0">
    <w:p w14:paraId="683E51D0" w14:textId="77777777" w:rsidR="007C058A" w:rsidRDefault="007C058A" w:rsidP="0082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6D3"/>
    <w:rsid w:val="00003006"/>
    <w:rsid w:val="000146CA"/>
    <w:rsid w:val="00025FC0"/>
    <w:rsid w:val="00027847"/>
    <w:rsid w:val="00060EC0"/>
    <w:rsid w:val="00066C7C"/>
    <w:rsid w:val="000C6043"/>
    <w:rsid w:val="000D2268"/>
    <w:rsid w:val="000D69A9"/>
    <w:rsid w:val="000E6CFC"/>
    <w:rsid w:val="00125F35"/>
    <w:rsid w:val="0017077B"/>
    <w:rsid w:val="00203310"/>
    <w:rsid w:val="00235044"/>
    <w:rsid w:val="002371F5"/>
    <w:rsid w:val="002448D8"/>
    <w:rsid w:val="002D2787"/>
    <w:rsid w:val="00304F50"/>
    <w:rsid w:val="00336C46"/>
    <w:rsid w:val="003457B9"/>
    <w:rsid w:val="0035172A"/>
    <w:rsid w:val="00365570"/>
    <w:rsid w:val="00396470"/>
    <w:rsid w:val="004163D5"/>
    <w:rsid w:val="00455220"/>
    <w:rsid w:val="00462C23"/>
    <w:rsid w:val="00472DDA"/>
    <w:rsid w:val="004A0D3A"/>
    <w:rsid w:val="004C1119"/>
    <w:rsid w:val="00506CE8"/>
    <w:rsid w:val="005138EA"/>
    <w:rsid w:val="00525981"/>
    <w:rsid w:val="00525AF0"/>
    <w:rsid w:val="00563B96"/>
    <w:rsid w:val="00581B38"/>
    <w:rsid w:val="005B44B9"/>
    <w:rsid w:val="005C1EBA"/>
    <w:rsid w:val="005D03A8"/>
    <w:rsid w:val="00631252"/>
    <w:rsid w:val="00662CA0"/>
    <w:rsid w:val="00692664"/>
    <w:rsid w:val="006A27DB"/>
    <w:rsid w:val="006C31A5"/>
    <w:rsid w:val="006D36D3"/>
    <w:rsid w:val="006F5876"/>
    <w:rsid w:val="00715476"/>
    <w:rsid w:val="007541CD"/>
    <w:rsid w:val="007642FD"/>
    <w:rsid w:val="00794F7C"/>
    <w:rsid w:val="007A2E2C"/>
    <w:rsid w:val="007B1B16"/>
    <w:rsid w:val="007C058A"/>
    <w:rsid w:val="007C28AE"/>
    <w:rsid w:val="007D2BF8"/>
    <w:rsid w:val="008276FA"/>
    <w:rsid w:val="0084396E"/>
    <w:rsid w:val="0088441A"/>
    <w:rsid w:val="00897105"/>
    <w:rsid w:val="008B1359"/>
    <w:rsid w:val="008B2DE0"/>
    <w:rsid w:val="008D2B35"/>
    <w:rsid w:val="008E6A61"/>
    <w:rsid w:val="0090718D"/>
    <w:rsid w:val="00913A68"/>
    <w:rsid w:val="00935736"/>
    <w:rsid w:val="00963A62"/>
    <w:rsid w:val="009F5CBC"/>
    <w:rsid w:val="009F6007"/>
    <w:rsid w:val="00A22EC2"/>
    <w:rsid w:val="00A75E49"/>
    <w:rsid w:val="00AA75EF"/>
    <w:rsid w:val="00AD3C98"/>
    <w:rsid w:val="00B3201C"/>
    <w:rsid w:val="00B37D9A"/>
    <w:rsid w:val="00B63155"/>
    <w:rsid w:val="00B844F3"/>
    <w:rsid w:val="00BC2635"/>
    <w:rsid w:val="00BD5C85"/>
    <w:rsid w:val="00BF02A1"/>
    <w:rsid w:val="00C0241E"/>
    <w:rsid w:val="00C05EE6"/>
    <w:rsid w:val="00C3516F"/>
    <w:rsid w:val="00C55B8E"/>
    <w:rsid w:val="00C94E6C"/>
    <w:rsid w:val="00CA0884"/>
    <w:rsid w:val="00CA2CD2"/>
    <w:rsid w:val="00CF4160"/>
    <w:rsid w:val="00D04E9C"/>
    <w:rsid w:val="00D14ABC"/>
    <w:rsid w:val="00D70BF0"/>
    <w:rsid w:val="00D74916"/>
    <w:rsid w:val="00D76B7A"/>
    <w:rsid w:val="00DC7E58"/>
    <w:rsid w:val="00DE7D6B"/>
    <w:rsid w:val="00E03E45"/>
    <w:rsid w:val="00E03EC0"/>
    <w:rsid w:val="00E07F3A"/>
    <w:rsid w:val="00E838A8"/>
    <w:rsid w:val="00E84A9C"/>
    <w:rsid w:val="00EB471D"/>
    <w:rsid w:val="00ED56EA"/>
    <w:rsid w:val="00EE4A52"/>
    <w:rsid w:val="00F9586A"/>
    <w:rsid w:val="00FB1616"/>
    <w:rsid w:val="00FB4059"/>
    <w:rsid w:val="00FC7C4F"/>
    <w:rsid w:val="00FD210A"/>
    <w:rsid w:val="276841FE"/>
    <w:rsid w:val="3F3F1B8C"/>
    <w:rsid w:val="5A6B0FC6"/>
    <w:rsid w:val="600C19A2"/>
    <w:rsid w:val="68323CBF"/>
    <w:rsid w:val="77534714"/>
    <w:rsid w:val="7C9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1C9EF4"/>
  <w15:docId w15:val="{56F4D1B3-EDA3-43EF-8B8B-5466D84A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25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1252"/>
    <w:rPr>
      <w:sz w:val="18"/>
      <w:szCs w:val="18"/>
    </w:rPr>
  </w:style>
  <w:style w:type="paragraph" w:styleId="Footer">
    <w:name w:val="footer"/>
    <w:basedOn w:val="Normal"/>
    <w:link w:val="FooterChar"/>
    <w:rsid w:val="0063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63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31252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31252"/>
    <w:rPr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longyan</dc:creator>
  <cp:lastModifiedBy>Frontiers Media SA</cp:lastModifiedBy>
  <cp:revision>5</cp:revision>
  <dcterms:created xsi:type="dcterms:W3CDTF">2020-02-04T14:17:00Z</dcterms:created>
  <dcterms:modified xsi:type="dcterms:W3CDTF">2020-02-05T09:31:00Z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