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BE684" w14:textId="053F423A" w:rsidR="000F3C01" w:rsidRPr="000F3C01" w:rsidRDefault="00654E8F" w:rsidP="000F3C01">
      <w:pPr>
        <w:pStyle w:val="SupplementaryMaterial"/>
      </w:pPr>
      <w:r w:rsidRPr="001549D3">
        <w:t>Supplementary Material</w:t>
      </w:r>
    </w:p>
    <w:p w14:paraId="3992EDBE" w14:textId="54B769B0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tbl>
      <w:tblPr>
        <w:tblpPr w:leftFromText="180" w:rightFromText="180" w:vertAnchor="page" w:horzAnchor="margin" w:tblpY="2911"/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1472"/>
        <w:gridCol w:w="2959"/>
        <w:gridCol w:w="2241"/>
      </w:tblGrid>
      <w:tr w:rsidR="00E73A14" w:rsidRPr="00AB197B" w14:paraId="355E4A8F" w14:textId="77777777" w:rsidTr="00E73A14">
        <w:trPr>
          <w:trHeight w:val="239"/>
        </w:trPr>
        <w:tc>
          <w:tcPr>
            <w:tcW w:w="158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5E3F3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Parameter</w:t>
            </w:r>
          </w:p>
        </w:tc>
        <w:tc>
          <w:tcPr>
            <w:tcW w:w="75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26DD82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N</w:t>
            </w:r>
          </w:p>
        </w:tc>
        <w:tc>
          <w:tcPr>
            <w:tcW w:w="151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0CA436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LINC00668 high</w:t>
            </w:r>
          </w:p>
          <w:p w14:paraId="5904793E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expression n (%)</w:t>
            </w:r>
          </w:p>
        </w:tc>
        <w:tc>
          <w:tcPr>
            <w:tcW w:w="11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AC2042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P value</w:t>
            </w:r>
          </w:p>
        </w:tc>
      </w:tr>
      <w:tr w:rsidR="00E73A14" w:rsidRPr="00AB197B" w14:paraId="476E3512" w14:textId="77777777" w:rsidTr="00E73A14">
        <w:trPr>
          <w:trHeight w:val="239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5F2DD5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</w:pPr>
            <w:r w:rsidRPr="007F070B">
              <w:t>Lymph node</w:t>
            </w:r>
          </w:p>
        </w:tc>
      </w:tr>
      <w:tr w:rsidR="00E73A14" w:rsidRPr="00AB197B" w14:paraId="6064C550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69F6D492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non-metastasis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D45C77F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26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14:paraId="3903208A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8(30.8)</w:t>
            </w:r>
          </w:p>
        </w:tc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14:paraId="480419F6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0.014(*)</w:t>
            </w:r>
          </w:p>
        </w:tc>
      </w:tr>
      <w:tr w:rsidR="00E73A14" w:rsidRPr="00AB197B" w14:paraId="5CE9E2AD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14F26AD4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metastasis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32F8F58C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28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14:paraId="13F0CDFC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19(67.9)</w:t>
            </w:r>
          </w:p>
        </w:tc>
        <w:tc>
          <w:tcPr>
            <w:tcW w:w="1146" w:type="pct"/>
            <w:vMerge/>
            <w:vAlign w:val="center"/>
            <w:hideMark/>
          </w:tcPr>
          <w:p w14:paraId="181AF306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</w:p>
        </w:tc>
      </w:tr>
      <w:tr w:rsidR="00E73A14" w:rsidRPr="00AB197B" w14:paraId="7B1723D3" w14:textId="77777777" w:rsidTr="00E73A14">
        <w:trPr>
          <w:trHeight w:val="239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13A9FB37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</w:pPr>
            <w:r w:rsidRPr="007F070B">
              <w:t>Tumor grade</w:t>
            </w:r>
          </w:p>
        </w:tc>
      </w:tr>
      <w:tr w:rsidR="00E73A14" w:rsidRPr="00AB197B" w14:paraId="4F6CC00E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41C6545B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0,1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709F06E4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16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14:paraId="1FD83EE2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6(37.5)</w:t>
            </w:r>
          </w:p>
        </w:tc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14:paraId="45F126DD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0.016(*)</w:t>
            </w:r>
          </w:p>
        </w:tc>
      </w:tr>
      <w:tr w:rsidR="00E73A14" w:rsidRPr="00AB197B" w14:paraId="27F3B536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1A10B5C6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2,3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0E1A3ADC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28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14:paraId="1F50B9CE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22(78.6)</w:t>
            </w:r>
          </w:p>
        </w:tc>
        <w:tc>
          <w:tcPr>
            <w:tcW w:w="1146" w:type="pct"/>
            <w:vMerge/>
            <w:vAlign w:val="center"/>
            <w:hideMark/>
          </w:tcPr>
          <w:p w14:paraId="76F4C9EE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</w:p>
        </w:tc>
      </w:tr>
      <w:tr w:rsidR="00E73A14" w:rsidRPr="00AB197B" w14:paraId="5F0D7721" w14:textId="77777777" w:rsidTr="00E73A14">
        <w:trPr>
          <w:trHeight w:val="239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14:paraId="4B7B94EF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</w:pPr>
            <w:r w:rsidRPr="007F070B">
              <w:t>Age</w:t>
            </w:r>
          </w:p>
        </w:tc>
      </w:tr>
      <w:tr w:rsidR="00E73A14" w:rsidRPr="00AB197B" w14:paraId="10C2A8B0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</w:tcPr>
          <w:p w14:paraId="22A012D1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＜</w:t>
            </w:r>
            <w:r w:rsidRPr="007F070B">
              <w:t>50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71FEAFFE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32</w:t>
            </w:r>
          </w:p>
        </w:tc>
        <w:tc>
          <w:tcPr>
            <w:tcW w:w="1513" w:type="pct"/>
            <w:shd w:val="clear" w:color="auto" w:fill="auto"/>
            <w:noWrap/>
            <w:vAlign w:val="center"/>
          </w:tcPr>
          <w:p w14:paraId="52B29BD5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15(46.9)</w:t>
            </w:r>
          </w:p>
        </w:tc>
        <w:tc>
          <w:tcPr>
            <w:tcW w:w="1146" w:type="pct"/>
            <w:vMerge w:val="restart"/>
            <w:vAlign w:val="center"/>
          </w:tcPr>
          <w:p w14:paraId="29111E43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0.545</w:t>
            </w:r>
          </w:p>
        </w:tc>
      </w:tr>
      <w:tr w:rsidR="00E73A14" w:rsidRPr="00AB197B" w14:paraId="1CE2F649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</w:tcPr>
          <w:p w14:paraId="16CE3232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≥50</w:t>
            </w:r>
          </w:p>
        </w:tc>
        <w:tc>
          <w:tcPr>
            <w:tcW w:w="753" w:type="pct"/>
            <w:shd w:val="clear" w:color="auto" w:fill="auto"/>
            <w:noWrap/>
            <w:vAlign w:val="center"/>
          </w:tcPr>
          <w:p w14:paraId="7F685BDC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22</w:t>
            </w:r>
          </w:p>
        </w:tc>
        <w:tc>
          <w:tcPr>
            <w:tcW w:w="1513" w:type="pct"/>
            <w:shd w:val="clear" w:color="auto" w:fill="auto"/>
            <w:noWrap/>
            <w:vAlign w:val="center"/>
          </w:tcPr>
          <w:p w14:paraId="619913DC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13(59.1)</w:t>
            </w:r>
          </w:p>
        </w:tc>
        <w:tc>
          <w:tcPr>
            <w:tcW w:w="1146" w:type="pct"/>
            <w:vMerge/>
            <w:vAlign w:val="center"/>
          </w:tcPr>
          <w:p w14:paraId="489BD263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</w:p>
        </w:tc>
      </w:tr>
      <w:tr w:rsidR="00E73A14" w:rsidRPr="00AB197B" w14:paraId="3E3C54C1" w14:textId="77777777" w:rsidTr="00E73A14">
        <w:trPr>
          <w:trHeight w:val="239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4A0F0B96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</w:pPr>
            <w:r w:rsidRPr="007F070B">
              <w:t>Tumor size</w:t>
            </w:r>
            <w:r w:rsidRPr="007F070B">
              <w:t>（</w:t>
            </w:r>
            <w:r w:rsidRPr="007F070B">
              <w:t>mm</w:t>
            </w:r>
            <w:r w:rsidRPr="007F070B">
              <w:t>）</w:t>
            </w:r>
          </w:p>
        </w:tc>
      </w:tr>
      <w:tr w:rsidR="00E73A14" w:rsidRPr="00AB197B" w14:paraId="60C47DEB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2B8C5318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＜</w:t>
            </w:r>
            <w:r w:rsidRPr="007F070B">
              <w:t>25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415C9789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23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14:paraId="182E381E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12(52.2)</w:t>
            </w:r>
          </w:p>
        </w:tc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14:paraId="402B861B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0.815</w:t>
            </w:r>
          </w:p>
        </w:tc>
      </w:tr>
      <w:tr w:rsidR="00E73A14" w:rsidRPr="00AB197B" w14:paraId="3B0C0C94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6D1F7E7B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≥25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6C4413EA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31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14:paraId="0ABCF31E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16(51.6)</w:t>
            </w:r>
          </w:p>
        </w:tc>
        <w:tc>
          <w:tcPr>
            <w:tcW w:w="1146" w:type="pct"/>
            <w:vMerge/>
            <w:vAlign w:val="center"/>
            <w:hideMark/>
          </w:tcPr>
          <w:p w14:paraId="0DC78A29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</w:p>
        </w:tc>
      </w:tr>
      <w:tr w:rsidR="00E73A14" w:rsidRPr="00AB197B" w14:paraId="5ECBC7E5" w14:textId="77777777" w:rsidTr="00E73A14">
        <w:trPr>
          <w:trHeight w:val="239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584B60C2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</w:pPr>
            <w:r w:rsidRPr="007F070B">
              <w:t>ER status</w:t>
            </w:r>
          </w:p>
        </w:tc>
      </w:tr>
      <w:tr w:rsidR="00E73A14" w:rsidRPr="00AB197B" w14:paraId="0A902C84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4AC078BA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Negative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4E45DEC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22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14:paraId="57F40538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10(45.5)</w:t>
            </w:r>
          </w:p>
        </w:tc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14:paraId="4779110E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0.615</w:t>
            </w:r>
          </w:p>
        </w:tc>
      </w:tr>
      <w:tr w:rsidR="00E73A14" w:rsidRPr="00AB197B" w14:paraId="5F6D77B2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5808830B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Positive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59981496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32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14:paraId="3A5AA54B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18(56.3)</w:t>
            </w:r>
          </w:p>
        </w:tc>
        <w:tc>
          <w:tcPr>
            <w:tcW w:w="1146" w:type="pct"/>
            <w:vMerge/>
            <w:vAlign w:val="center"/>
            <w:hideMark/>
          </w:tcPr>
          <w:p w14:paraId="4284102D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</w:p>
        </w:tc>
      </w:tr>
      <w:tr w:rsidR="00E73A14" w:rsidRPr="00AB197B" w14:paraId="5F6669ED" w14:textId="77777777" w:rsidTr="00E73A14">
        <w:trPr>
          <w:trHeight w:val="239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0595D058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</w:pPr>
            <w:r w:rsidRPr="007F070B">
              <w:t>PR status</w:t>
            </w:r>
          </w:p>
        </w:tc>
      </w:tr>
      <w:tr w:rsidR="00E73A14" w:rsidRPr="00AB197B" w14:paraId="474A3035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76FA9E82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Negative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079FD345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22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14:paraId="1978C33A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11(50.0)</w:t>
            </w:r>
          </w:p>
        </w:tc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14:paraId="48E654A6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0.959</w:t>
            </w:r>
          </w:p>
        </w:tc>
      </w:tr>
      <w:tr w:rsidR="00E73A14" w:rsidRPr="00AB197B" w14:paraId="6A940CA9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04283B2C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Positive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1672B944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32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14:paraId="4A3A149C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17(53.1)</w:t>
            </w:r>
          </w:p>
        </w:tc>
        <w:tc>
          <w:tcPr>
            <w:tcW w:w="1146" w:type="pct"/>
            <w:vMerge/>
            <w:vAlign w:val="center"/>
            <w:hideMark/>
          </w:tcPr>
          <w:p w14:paraId="31357346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</w:p>
        </w:tc>
      </w:tr>
      <w:tr w:rsidR="00E73A14" w:rsidRPr="00AB197B" w14:paraId="12510DBF" w14:textId="77777777" w:rsidTr="00E73A14">
        <w:trPr>
          <w:trHeight w:val="239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4CB68D21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</w:pPr>
            <w:r w:rsidRPr="007F070B">
              <w:t>HER2 status</w:t>
            </w:r>
          </w:p>
        </w:tc>
      </w:tr>
      <w:tr w:rsidR="00E73A14" w:rsidRPr="00AB197B" w14:paraId="158A374A" w14:textId="77777777" w:rsidTr="00E73A14">
        <w:trPr>
          <w:trHeight w:val="239"/>
        </w:trPr>
        <w:tc>
          <w:tcPr>
            <w:tcW w:w="1588" w:type="pct"/>
            <w:shd w:val="clear" w:color="auto" w:fill="auto"/>
            <w:noWrap/>
            <w:vAlign w:val="center"/>
            <w:hideMark/>
          </w:tcPr>
          <w:p w14:paraId="4A891B4C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0,1</w:t>
            </w:r>
          </w:p>
        </w:tc>
        <w:tc>
          <w:tcPr>
            <w:tcW w:w="753" w:type="pct"/>
            <w:shd w:val="clear" w:color="auto" w:fill="auto"/>
            <w:noWrap/>
            <w:vAlign w:val="center"/>
            <w:hideMark/>
          </w:tcPr>
          <w:p w14:paraId="08E91452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20</w:t>
            </w:r>
          </w:p>
        </w:tc>
        <w:tc>
          <w:tcPr>
            <w:tcW w:w="1513" w:type="pct"/>
            <w:shd w:val="clear" w:color="auto" w:fill="auto"/>
            <w:noWrap/>
            <w:vAlign w:val="center"/>
            <w:hideMark/>
          </w:tcPr>
          <w:p w14:paraId="70BD3BDE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10(50.0)</w:t>
            </w:r>
          </w:p>
        </w:tc>
        <w:tc>
          <w:tcPr>
            <w:tcW w:w="1146" w:type="pct"/>
            <w:vMerge w:val="restart"/>
            <w:shd w:val="clear" w:color="auto" w:fill="auto"/>
            <w:noWrap/>
            <w:vAlign w:val="center"/>
            <w:hideMark/>
          </w:tcPr>
          <w:p w14:paraId="26AEA8B0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0.942</w:t>
            </w:r>
          </w:p>
        </w:tc>
      </w:tr>
      <w:tr w:rsidR="00E73A14" w:rsidRPr="00AB197B" w14:paraId="6947B118" w14:textId="77777777" w:rsidTr="00E73A14">
        <w:trPr>
          <w:trHeight w:val="239"/>
        </w:trPr>
        <w:tc>
          <w:tcPr>
            <w:tcW w:w="158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77D311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2,3</w:t>
            </w:r>
          </w:p>
        </w:tc>
        <w:tc>
          <w:tcPr>
            <w:tcW w:w="75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E9346D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34</w:t>
            </w:r>
          </w:p>
        </w:tc>
        <w:tc>
          <w:tcPr>
            <w:tcW w:w="1513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28D202E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  <w:r w:rsidRPr="007F070B">
              <w:t>18(52.9)</w:t>
            </w:r>
          </w:p>
        </w:tc>
        <w:tc>
          <w:tcPr>
            <w:tcW w:w="1146" w:type="pct"/>
            <w:vMerge/>
            <w:tcBorders>
              <w:bottom w:val="single" w:sz="12" w:space="0" w:color="auto"/>
            </w:tcBorders>
            <w:vAlign w:val="center"/>
            <w:hideMark/>
          </w:tcPr>
          <w:p w14:paraId="7B182B72" w14:textId="77777777" w:rsidR="00E73A14" w:rsidRPr="007F070B" w:rsidRDefault="00E73A14" w:rsidP="00E73A14">
            <w:pPr>
              <w:pStyle w:val="EndNoteBibliography"/>
              <w:spacing w:after="0"/>
              <w:ind w:left="720" w:hanging="720"/>
              <w:jc w:val="center"/>
            </w:pPr>
          </w:p>
        </w:tc>
      </w:tr>
    </w:tbl>
    <w:p w14:paraId="1B5E72B6" w14:textId="11636791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3F517F53" w14:textId="46262529" w:rsidR="000F3C01" w:rsidRPr="002B4A57" w:rsidRDefault="000F3C01" w:rsidP="000F3C01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E73A14" w:rsidRPr="00E73A14">
        <w:rPr>
          <w:rFonts w:cs="Times New Roman"/>
          <w:szCs w:val="24"/>
        </w:rPr>
        <w:t>Correlation of Linc00668 expression with clinic pathological features in breast cancer patients</w:t>
      </w:r>
      <w:r w:rsidR="00E73A14">
        <w:rPr>
          <w:rFonts w:cs="Times New Roman" w:hint="eastAsia"/>
          <w:szCs w:val="24"/>
          <w:lang w:eastAsia="zh-CN"/>
        </w:rPr>
        <w:t>.</w:t>
      </w:r>
      <w:r w:rsidR="00E73A14">
        <w:rPr>
          <w:rFonts w:cs="Times New Roman"/>
          <w:szCs w:val="24"/>
          <w:lang w:eastAsia="zh-CN"/>
        </w:rPr>
        <w:t xml:space="preserve"> </w:t>
      </w:r>
      <w:r w:rsidR="00E73A14" w:rsidRPr="00770AD2">
        <w:rPr>
          <w:rFonts w:eastAsia="Times New Roman" w:cs="Times New Roman"/>
          <w:szCs w:val="24"/>
          <w:lang w:eastAsia="en-GB"/>
        </w:rPr>
        <w:t>*P&lt;0.05</w:t>
      </w:r>
      <w:r w:rsidR="00E73A14">
        <w:rPr>
          <w:rFonts w:eastAsia="Times New Roman" w:cs="Times New Roman"/>
          <w:szCs w:val="24"/>
          <w:lang w:eastAsia="en-GB"/>
        </w:rPr>
        <w:t xml:space="preserve"> (</w:t>
      </w:r>
      <w:r w:rsidR="00E73A14" w:rsidRPr="00E73A14">
        <w:rPr>
          <w:rFonts w:cs="Times New Roman"/>
          <w:szCs w:val="24"/>
          <w:lang w:eastAsia="zh-CN"/>
        </w:rPr>
        <w:t>chi-square test</w:t>
      </w:r>
      <w:r w:rsidR="00E73A14">
        <w:rPr>
          <w:rFonts w:cs="Times New Roman"/>
          <w:szCs w:val="24"/>
          <w:lang w:eastAsia="zh-CN"/>
        </w:rPr>
        <w:t>).</w:t>
      </w:r>
    </w:p>
    <w:p w14:paraId="2D88E90A" w14:textId="7860E36B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38018851" w14:textId="786D991F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1F98270F" w14:textId="2B1F3A66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68102DA0" w14:textId="4FB33368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28C80648" w14:textId="1CA5C868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1F0605DD" w14:textId="451BBF15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547E73A0" w14:textId="1226A9A7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70472E0D" w14:textId="75BEA660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2E01A23E" w14:textId="0FB9F79F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6C5D5318" w14:textId="5349B2BC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4D5AA93E" w14:textId="5DB7903D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6625617B" w14:textId="5711B8B7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5DE83A1E" w14:textId="22E93620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67CE347A" w14:textId="1771520F" w:rsidR="000F3C01" w:rsidRDefault="000F3C01" w:rsidP="000F3C01">
      <w:pPr>
        <w:pStyle w:val="EndNoteBibliography"/>
        <w:spacing w:after="0"/>
        <w:ind w:left="720" w:hanging="720"/>
        <w:rPr>
          <w:b/>
        </w:rPr>
      </w:pPr>
    </w:p>
    <w:p w14:paraId="7165DA25" w14:textId="1523DA89" w:rsidR="000F3C01" w:rsidRDefault="003B5E62" w:rsidP="000F3C01">
      <w:pPr>
        <w:pStyle w:val="EndNoteBibliography"/>
        <w:spacing w:after="0"/>
        <w:ind w:left="720" w:hanging="720"/>
        <w:rPr>
          <w:b/>
        </w:rPr>
      </w:pPr>
      <w:r>
        <w:rPr>
          <w:b/>
          <w:lang w:eastAsia="zh-CN"/>
        </w:rPr>
        <w:lastRenderedPageBreak/>
        <w:drawing>
          <wp:inline distT="0" distB="0" distL="0" distR="0" wp14:anchorId="52991B35" wp14:editId="160C69A4">
            <wp:extent cx="5044440" cy="3368040"/>
            <wp:effectExtent l="0" t="0" r="381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S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336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71B57" w14:textId="3ACB851D" w:rsidR="00D57083" w:rsidRDefault="000F3C01" w:rsidP="00D57083">
      <w:pPr>
        <w:rPr>
          <w:rFonts w:eastAsia="Times New Roman" w:cs="Times New Roman"/>
          <w:szCs w:val="24"/>
          <w:lang w:eastAsia="en-GB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 w:rsidRPr="0001436A">
        <w:rPr>
          <w:rFonts w:cs="Times New Roman"/>
          <w:b/>
          <w:szCs w:val="24"/>
        </w:rPr>
        <w:fldChar w:fldCharType="begin"/>
      </w:r>
      <w:r w:rsidRPr="0001436A">
        <w:rPr>
          <w:rFonts w:cs="Times New Roman"/>
          <w:b/>
          <w:szCs w:val="24"/>
        </w:rPr>
        <w:instrText xml:space="preserve"> SEQ Figure \* ARABIC </w:instrText>
      </w:r>
      <w:r w:rsidRPr="0001436A">
        <w:rPr>
          <w:rFonts w:cs="Times New Roman"/>
          <w:b/>
          <w:szCs w:val="24"/>
        </w:rPr>
        <w:fldChar w:fldCharType="separate"/>
      </w:r>
      <w:r>
        <w:rPr>
          <w:rFonts w:cs="Times New Roman"/>
          <w:b/>
          <w:noProof/>
          <w:szCs w:val="24"/>
        </w:rPr>
        <w:t>1</w:t>
      </w:r>
      <w:r w:rsidRPr="0001436A">
        <w:rPr>
          <w:rFonts w:cs="Times New Roman"/>
          <w:b/>
          <w:szCs w:val="24"/>
        </w:rPr>
        <w:fldChar w:fldCharType="end"/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E73A14">
        <w:rPr>
          <w:rFonts w:eastAsia="Times New Roman" w:cs="Times New Roman"/>
          <w:szCs w:val="24"/>
          <w:lang w:eastAsia="en-GB"/>
        </w:rPr>
        <w:t>(A-B)</w:t>
      </w:r>
      <w:r w:rsidR="00D57083" w:rsidRPr="00770AD2">
        <w:rPr>
          <w:rFonts w:eastAsia="Times New Roman" w:cs="Times New Roman"/>
          <w:szCs w:val="24"/>
          <w:lang w:eastAsia="en-GB"/>
        </w:rPr>
        <w:t xml:space="preserve"> Expression of SMAD2/3/4 determined by </w:t>
      </w:r>
      <w:proofErr w:type="spellStart"/>
      <w:r w:rsidR="00D57083" w:rsidRPr="00770AD2">
        <w:rPr>
          <w:rFonts w:eastAsia="Times New Roman" w:cs="Times New Roman"/>
          <w:szCs w:val="24"/>
          <w:lang w:eastAsia="en-GB"/>
        </w:rPr>
        <w:t>qRT</w:t>
      </w:r>
      <w:proofErr w:type="spellEnd"/>
      <w:r w:rsidR="00E73A14">
        <w:rPr>
          <w:rFonts w:eastAsia="Times New Roman" w:cs="Times New Roman"/>
          <w:szCs w:val="24"/>
          <w:lang w:eastAsia="en-GB"/>
        </w:rPr>
        <w:t xml:space="preserve">-PCR </w:t>
      </w:r>
      <w:r w:rsidR="00E73A14" w:rsidRPr="00770AD2">
        <w:rPr>
          <w:rFonts w:eastAsia="Times New Roman" w:cs="Times New Roman"/>
          <w:szCs w:val="24"/>
          <w:lang w:eastAsia="en-GB"/>
        </w:rPr>
        <w:t>in MCF-7</w:t>
      </w:r>
      <w:r w:rsidR="00E73A14">
        <w:rPr>
          <w:rFonts w:eastAsia="Times New Roman" w:cs="Times New Roman"/>
          <w:szCs w:val="24"/>
          <w:lang w:eastAsia="en-GB"/>
        </w:rPr>
        <w:t xml:space="preserve"> (A)</w:t>
      </w:r>
      <w:r w:rsidR="00E73A14" w:rsidRPr="00770AD2">
        <w:rPr>
          <w:rFonts w:eastAsia="Times New Roman" w:cs="Times New Roman"/>
          <w:szCs w:val="24"/>
          <w:lang w:eastAsia="en-GB"/>
        </w:rPr>
        <w:t xml:space="preserve"> and MDA-MB-231</w:t>
      </w:r>
      <w:r w:rsidR="00E73A14">
        <w:rPr>
          <w:rFonts w:eastAsia="Times New Roman" w:cs="Times New Roman"/>
          <w:szCs w:val="24"/>
          <w:lang w:eastAsia="en-GB"/>
        </w:rPr>
        <w:t xml:space="preserve"> (B)</w:t>
      </w:r>
      <w:r w:rsidR="00E73A14" w:rsidRPr="00770AD2">
        <w:rPr>
          <w:rFonts w:eastAsia="Times New Roman" w:cs="Times New Roman"/>
          <w:szCs w:val="24"/>
          <w:lang w:eastAsia="en-GB"/>
        </w:rPr>
        <w:t xml:space="preserve"> cells stably transfected with either pSin-668 or </w:t>
      </w:r>
      <w:proofErr w:type="spellStart"/>
      <w:r w:rsidR="00E73A14" w:rsidRPr="00770AD2">
        <w:rPr>
          <w:rFonts w:eastAsia="Times New Roman" w:cs="Times New Roman"/>
          <w:szCs w:val="24"/>
          <w:lang w:eastAsia="en-GB"/>
        </w:rPr>
        <w:t>shRNA</w:t>
      </w:r>
      <w:proofErr w:type="spellEnd"/>
      <w:r w:rsidR="00E73A14" w:rsidRPr="00770AD2">
        <w:rPr>
          <w:rFonts w:eastAsia="Times New Roman" w:cs="Times New Roman"/>
          <w:szCs w:val="24"/>
          <w:lang w:eastAsia="en-GB"/>
        </w:rPr>
        <w:t xml:space="preserve"> or their respective control vector.</w:t>
      </w:r>
      <w:r w:rsidR="00E73A14">
        <w:rPr>
          <w:rFonts w:eastAsia="Times New Roman" w:cs="Times New Roman"/>
          <w:szCs w:val="24"/>
          <w:lang w:eastAsia="en-GB"/>
        </w:rPr>
        <w:t xml:space="preserve"> (C) </w:t>
      </w:r>
      <w:r w:rsidR="00E73A14" w:rsidRPr="00770AD2">
        <w:rPr>
          <w:rFonts w:eastAsia="Times New Roman" w:cs="Times New Roman"/>
          <w:szCs w:val="24"/>
          <w:lang w:eastAsia="en-GB"/>
        </w:rPr>
        <w:t xml:space="preserve">Expression of SMAD2/3/4 determined by </w:t>
      </w:r>
      <w:proofErr w:type="spellStart"/>
      <w:r w:rsidR="00E73A14" w:rsidRPr="00770AD2">
        <w:rPr>
          <w:rFonts w:eastAsia="Times New Roman" w:cs="Times New Roman"/>
          <w:szCs w:val="24"/>
          <w:lang w:eastAsia="en-GB"/>
        </w:rPr>
        <w:t>qRT</w:t>
      </w:r>
      <w:proofErr w:type="spellEnd"/>
      <w:r w:rsidR="00E73A14">
        <w:rPr>
          <w:rFonts w:eastAsia="Times New Roman" w:cs="Times New Roman"/>
          <w:szCs w:val="24"/>
          <w:lang w:eastAsia="en-GB"/>
        </w:rPr>
        <w:t>-PCR</w:t>
      </w:r>
      <w:r w:rsidR="00D57083" w:rsidRPr="00770AD2">
        <w:rPr>
          <w:rFonts w:eastAsia="Times New Roman" w:cs="Times New Roman"/>
          <w:szCs w:val="24"/>
          <w:lang w:eastAsia="en-GB"/>
        </w:rPr>
        <w:t xml:space="preserve"> in MCF-7 cells </w:t>
      </w:r>
      <w:proofErr w:type="spellStart"/>
      <w:r w:rsidR="00D57083" w:rsidRPr="00770AD2">
        <w:rPr>
          <w:rFonts w:eastAsia="Times New Roman" w:cs="Times New Roman"/>
          <w:szCs w:val="24"/>
          <w:lang w:eastAsia="en-GB"/>
        </w:rPr>
        <w:t>stransfected</w:t>
      </w:r>
      <w:proofErr w:type="spellEnd"/>
      <w:r w:rsidR="00D57083" w:rsidRPr="00770AD2">
        <w:rPr>
          <w:rFonts w:eastAsia="Times New Roman" w:cs="Times New Roman"/>
          <w:szCs w:val="24"/>
          <w:lang w:eastAsia="en-GB"/>
        </w:rPr>
        <w:t xml:space="preserve"> the indicated vectors.</w:t>
      </w:r>
      <w:r w:rsidR="00E73A14">
        <w:rPr>
          <w:rFonts w:eastAsia="Times New Roman" w:cs="Times New Roman"/>
          <w:szCs w:val="24"/>
          <w:lang w:eastAsia="en-GB"/>
        </w:rPr>
        <w:t xml:space="preserve"> </w:t>
      </w:r>
      <w:r w:rsidR="00E73A14" w:rsidRPr="00E73A14">
        <w:rPr>
          <w:rFonts w:eastAsia="Times New Roman" w:cs="Times New Roman"/>
          <w:szCs w:val="24"/>
          <w:lang w:eastAsia="en-GB"/>
        </w:rPr>
        <w:t>*P&lt;0.05; **P&lt;0.01; ***P&lt;0.001</w:t>
      </w:r>
      <w:r w:rsidR="00865323">
        <w:rPr>
          <w:rFonts w:eastAsia="Times New Roman" w:cs="Times New Roman"/>
          <w:szCs w:val="24"/>
          <w:lang w:eastAsia="en-GB"/>
        </w:rPr>
        <w:t xml:space="preserve">; </w:t>
      </w:r>
      <w:proofErr w:type="spellStart"/>
      <w:r w:rsidR="00865323">
        <w:rPr>
          <w:rFonts w:eastAsia="Times New Roman" w:cs="Times New Roman"/>
          <w:szCs w:val="24"/>
          <w:lang w:eastAsia="en-GB"/>
        </w:rPr>
        <w:t>n.s</w:t>
      </w:r>
      <w:proofErr w:type="spellEnd"/>
      <w:r w:rsidR="00865323">
        <w:rPr>
          <w:rFonts w:eastAsia="Times New Roman" w:cs="Times New Roman"/>
          <w:szCs w:val="24"/>
          <w:lang w:eastAsia="en-GB"/>
        </w:rPr>
        <w:t>., not significant</w:t>
      </w:r>
      <w:r w:rsidR="00E73A14" w:rsidRPr="00E73A14">
        <w:rPr>
          <w:rFonts w:eastAsia="Times New Roman" w:cs="Times New Roman"/>
          <w:szCs w:val="24"/>
          <w:lang w:eastAsia="en-GB"/>
        </w:rPr>
        <w:t xml:space="preserve"> (Student’s t-test).</w:t>
      </w:r>
      <w:bookmarkStart w:id="0" w:name="_GoBack"/>
      <w:bookmarkEnd w:id="0"/>
    </w:p>
    <w:p w14:paraId="7CCF6141" w14:textId="5AE6230D" w:rsidR="003B5E62" w:rsidRDefault="003B5E62">
      <w:pPr>
        <w:spacing w:before="0" w:after="200" w:line="276" w:lineRule="auto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br w:type="page"/>
      </w:r>
    </w:p>
    <w:p w14:paraId="698DD408" w14:textId="588B74F0" w:rsidR="000F3C01" w:rsidRDefault="003B5E62" w:rsidP="003B5E62">
      <w:pPr>
        <w:pStyle w:val="EndNoteBibliography"/>
        <w:spacing w:after="0"/>
        <w:ind w:left="720" w:hanging="720"/>
        <w:rPr>
          <w:b/>
        </w:rPr>
      </w:pPr>
      <w:r>
        <w:rPr>
          <w:b/>
          <w:lang w:eastAsia="zh-CN"/>
        </w:rPr>
        <w:lastRenderedPageBreak/>
        <w:drawing>
          <wp:inline distT="0" distB="0" distL="0" distR="0" wp14:anchorId="5ADFECB1" wp14:editId="5B882AE6">
            <wp:extent cx="6068568" cy="3587496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S2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568" cy="358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5BC41" w14:textId="298492DE" w:rsidR="00DE23E8" w:rsidRPr="000336CA" w:rsidRDefault="000F3C01" w:rsidP="000336CA">
      <w:pPr>
        <w:keepNext/>
        <w:rPr>
          <w:rFonts w:cs="Times New Roman"/>
          <w:szCs w:val="24"/>
        </w:rPr>
      </w:pPr>
      <w:r w:rsidRPr="0001436A">
        <w:rPr>
          <w:rFonts w:cs="Times New Roman"/>
          <w:b/>
          <w:szCs w:val="24"/>
        </w:rPr>
        <w:t xml:space="preserve">Supplementary Figure </w:t>
      </w:r>
      <w:r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="00E73A14">
        <w:rPr>
          <w:rFonts w:cs="Times New Roman"/>
          <w:szCs w:val="24"/>
        </w:rPr>
        <w:t xml:space="preserve">(A) </w:t>
      </w:r>
      <w:proofErr w:type="spellStart"/>
      <w:r w:rsidR="00E73A14" w:rsidRPr="00E73A14">
        <w:rPr>
          <w:rFonts w:cs="Times New Roman"/>
          <w:szCs w:val="24"/>
        </w:rPr>
        <w:t>Transwell</w:t>
      </w:r>
      <w:proofErr w:type="spellEnd"/>
      <w:r w:rsidR="00E73A14" w:rsidRPr="00E73A14">
        <w:rPr>
          <w:rFonts w:cs="Times New Roman"/>
          <w:szCs w:val="24"/>
        </w:rPr>
        <w:t xml:space="preserve"> migration and invasion assays of the </w:t>
      </w:r>
      <w:r w:rsidR="00E73A14">
        <w:rPr>
          <w:rFonts w:cs="Times New Roman"/>
          <w:szCs w:val="24"/>
        </w:rPr>
        <w:t xml:space="preserve">MCF-7 and </w:t>
      </w:r>
      <w:r w:rsidR="00E73A14" w:rsidRPr="00E73A14">
        <w:rPr>
          <w:rFonts w:cs="Times New Roman"/>
          <w:szCs w:val="24"/>
        </w:rPr>
        <w:t xml:space="preserve">MDA-MB-231 derived cell lines. </w:t>
      </w:r>
      <w:r w:rsidR="003B5E62" w:rsidRPr="00770AD2">
        <w:rPr>
          <w:rFonts w:eastAsia="Times New Roman" w:cs="Times New Roman"/>
          <w:szCs w:val="24"/>
          <w:lang w:eastAsia="en-GB"/>
        </w:rPr>
        <w:t xml:space="preserve">Quantification of migrated and invaded cell numbers per field is shown as fold changes relative to control cells. </w:t>
      </w:r>
      <w:r w:rsidR="00E73A14">
        <w:rPr>
          <w:rFonts w:cs="Times New Roman"/>
          <w:szCs w:val="24"/>
        </w:rPr>
        <w:t xml:space="preserve">(B) </w:t>
      </w:r>
      <w:r w:rsidR="003B5E62" w:rsidRPr="00770AD2">
        <w:rPr>
          <w:rFonts w:eastAsia="Times New Roman" w:cs="Times New Roman"/>
          <w:szCs w:val="24"/>
          <w:lang w:eastAsia="en-GB"/>
        </w:rPr>
        <w:t xml:space="preserve">Quantification of the </w:t>
      </w:r>
      <w:proofErr w:type="spellStart"/>
      <w:r w:rsidR="003B5E62" w:rsidRPr="00770AD2">
        <w:rPr>
          <w:rFonts w:eastAsia="Times New Roman" w:cs="Times New Roman"/>
          <w:szCs w:val="24"/>
          <w:lang w:eastAsia="en-GB"/>
        </w:rPr>
        <w:t>mammosphere</w:t>
      </w:r>
      <w:proofErr w:type="spellEnd"/>
      <w:r w:rsidR="003B5E62" w:rsidRPr="00770AD2">
        <w:rPr>
          <w:rFonts w:eastAsia="Times New Roman" w:cs="Times New Roman"/>
          <w:szCs w:val="24"/>
          <w:lang w:eastAsia="en-GB"/>
        </w:rPr>
        <w:t xml:space="preserve"> numbers per field is shown as fold changes relative to control cells.</w:t>
      </w:r>
      <w:r w:rsidR="000336CA">
        <w:rPr>
          <w:rFonts w:cs="Times New Roman"/>
          <w:szCs w:val="24"/>
        </w:rPr>
        <w:t xml:space="preserve"> (C) ALDE-FLUOR assay</w:t>
      </w:r>
      <w:r w:rsidR="000336CA" w:rsidRPr="000336CA">
        <w:rPr>
          <w:rFonts w:cs="Times New Roman"/>
          <w:szCs w:val="24"/>
        </w:rPr>
        <w:t xml:space="preserve"> in respective MDA-MB-231 derived cell lines. Results are shown as </w:t>
      </w:r>
      <w:proofErr w:type="spellStart"/>
      <w:r w:rsidR="000336CA" w:rsidRPr="000336CA">
        <w:rPr>
          <w:rFonts w:cs="Times New Roman"/>
          <w:szCs w:val="24"/>
        </w:rPr>
        <w:t>mean±SD</w:t>
      </w:r>
      <w:proofErr w:type="spellEnd"/>
      <w:r w:rsidR="000336CA" w:rsidRPr="000336CA">
        <w:rPr>
          <w:rFonts w:cs="Times New Roman"/>
          <w:szCs w:val="24"/>
        </w:rPr>
        <w:t>.</w:t>
      </w:r>
      <w:r w:rsidR="004254FA" w:rsidRPr="004254FA">
        <w:t xml:space="preserve"> </w:t>
      </w:r>
      <w:r w:rsidR="004254FA" w:rsidRPr="004254FA">
        <w:rPr>
          <w:rFonts w:cs="Times New Roman"/>
          <w:szCs w:val="24"/>
        </w:rPr>
        <w:t>**P &lt; 0.01; ***P &lt; 0.001 (Student’s t-test).</w:t>
      </w:r>
    </w:p>
    <w:sectPr w:rsidR="00DE23E8" w:rsidRPr="000336CA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0147A" w14:textId="77777777" w:rsidR="00DA623C" w:rsidRDefault="00DA623C" w:rsidP="00117666">
      <w:pPr>
        <w:spacing w:after="0"/>
      </w:pPr>
      <w:r>
        <w:separator/>
      </w:r>
    </w:p>
  </w:endnote>
  <w:endnote w:type="continuationSeparator" w:id="0">
    <w:p w14:paraId="49443C8C" w14:textId="77777777" w:rsidR="00DA623C" w:rsidRDefault="00DA623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9F33B0B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6532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9F33B0B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6532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0C89579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86532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0C89579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6532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6A19" w14:textId="77777777" w:rsidR="00DA623C" w:rsidRDefault="00DA623C" w:rsidP="00117666">
      <w:pPr>
        <w:spacing w:after="0"/>
      </w:pPr>
      <w:r>
        <w:separator/>
      </w:r>
    </w:p>
  </w:footnote>
  <w:footnote w:type="continuationSeparator" w:id="0">
    <w:p w14:paraId="67886B8C" w14:textId="77777777" w:rsidR="00DA623C" w:rsidRDefault="00DA623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36CA"/>
    <w:rsid w:val="00034304"/>
    <w:rsid w:val="00035434"/>
    <w:rsid w:val="00052A14"/>
    <w:rsid w:val="00077D53"/>
    <w:rsid w:val="000F3C01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B5E62"/>
    <w:rsid w:val="003D2F2D"/>
    <w:rsid w:val="00401590"/>
    <w:rsid w:val="004254FA"/>
    <w:rsid w:val="00447801"/>
    <w:rsid w:val="00452E9C"/>
    <w:rsid w:val="004735C8"/>
    <w:rsid w:val="004947A6"/>
    <w:rsid w:val="004961FF"/>
    <w:rsid w:val="00517A89"/>
    <w:rsid w:val="005250F2"/>
    <w:rsid w:val="00566B9C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65323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57083"/>
    <w:rsid w:val="00DA623C"/>
    <w:rsid w:val="00DB59C3"/>
    <w:rsid w:val="00DC259A"/>
    <w:rsid w:val="00DE23E8"/>
    <w:rsid w:val="00E52377"/>
    <w:rsid w:val="00E537AD"/>
    <w:rsid w:val="00E64E17"/>
    <w:rsid w:val="00E73A14"/>
    <w:rsid w:val="00E866C9"/>
    <w:rsid w:val="00EA3D3C"/>
    <w:rsid w:val="00EC090A"/>
    <w:rsid w:val="00ED20B5"/>
    <w:rsid w:val="00F46900"/>
    <w:rsid w:val="00F51BE7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  <w:style w:type="paragraph" w:customStyle="1" w:styleId="EndNoteBibliography">
    <w:name w:val="EndNote Bibliography"/>
    <w:basedOn w:val="a0"/>
    <w:link w:val="EndNoteBibliography0"/>
    <w:rsid w:val="000F3C01"/>
    <w:pPr>
      <w:spacing w:before="0" w:after="480"/>
    </w:pPr>
    <w:rPr>
      <w:rFonts w:cs="Times New Roman"/>
      <w:noProof/>
    </w:rPr>
  </w:style>
  <w:style w:type="character" w:customStyle="1" w:styleId="EndNoteBibliography0">
    <w:name w:val="EndNote Bibliography 字符"/>
    <w:basedOn w:val="a1"/>
    <w:link w:val="EndNoteBibliography"/>
    <w:rsid w:val="000F3C01"/>
    <w:rPr>
      <w:rFonts w:ascii="Times New Roman" w:hAnsi="Times New Roman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6BF1E53-C7CB-4C94-AD4C-6350C9C9F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32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钱 文畅</cp:lastModifiedBy>
  <cp:revision>7</cp:revision>
  <cp:lastPrinted>2013-10-03T12:51:00Z</cp:lastPrinted>
  <dcterms:created xsi:type="dcterms:W3CDTF">2018-11-23T08:58:00Z</dcterms:created>
  <dcterms:modified xsi:type="dcterms:W3CDTF">2020-01-28T15:19:00Z</dcterms:modified>
</cp:coreProperties>
</file>