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F9A4" w14:textId="6CC11839" w:rsidR="003E13FA" w:rsidRDefault="003E13FA" w:rsidP="00135379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Supplementary </w:t>
      </w:r>
      <w:r w:rsidR="00602734">
        <w:rPr>
          <w:rFonts w:cs="Times New Roman"/>
          <w:b/>
          <w:szCs w:val="24"/>
          <w:lang w:val="en-US"/>
        </w:rPr>
        <w:t>Data</w:t>
      </w:r>
    </w:p>
    <w:p w14:paraId="072AC7B5" w14:textId="2C262AE2" w:rsidR="00135379" w:rsidRPr="007449DC" w:rsidRDefault="00135379" w:rsidP="00135379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 w:rsidRPr="007449DC">
        <w:rPr>
          <w:rFonts w:cs="Times New Roman"/>
          <w:b/>
          <w:szCs w:val="24"/>
          <w:lang w:val="en-US"/>
        </w:rPr>
        <w:t>Title:</w:t>
      </w:r>
    </w:p>
    <w:p w14:paraId="0F3C0DAC" w14:textId="54EC7179" w:rsidR="00135379" w:rsidRPr="007449DC" w:rsidRDefault="00135379" w:rsidP="00135379">
      <w:pPr>
        <w:jc w:val="center"/>
        <w:rPr>
          <w:rFonts w:cs="Times New Roman"/>
          <w:b/>
          <w:sz w:val="28"/>
          <w:szCs w:val="24"/>
          <w:lang w:val="en-US"/>
        </w:rPr>
      </w:pPr>
      <w:r w:rsidRPr="007449DC">
        <w:rPr>
          <w:rFonts w:cs="Times New Roman"/>
          <w:b/>
          <w:sz w:val="28"/>
          <w:szCs w:val="24"/>
          <w:lang w:val="en-US"/>
        </w:rPr>
        <w:t>Cardiovascular mortality can be predicted by heart rate turbulence in hemodialysis patients</w:t>
      </w:r>
    </w:p>
    <w:p w14:paraId="384287C5" w14:textId="3B5F7BC6" w:rsidR="002A4257" w:rsidRDefault="00FF54DB" w:rsidP="002A4257">
      <w:pPr>
        <w:spacing w:line="360" w:lineRule="auto"/>
        <w:rPr>
          <w:rFonts w:cs="Times New Roman"/>
          <w:szCs w:val="24"/>
          <w:vertAlign w:val="superscript"/>
          <w:lang w:val="en-US"/>
        </w:rPr>
      </w:pPr>
      <w:r w:rsidRPr="002C0DEA">
        <w:rPr>
          <w:rFonts w:cs="Times New Roman"/>
          <w:b/>
          <w:szCs w:val="24"/>
          <w:lang w:val="en-US"/>
        </w:rPr>
        <w:t>Authors</w:t>
      </w:r>
      <w:r w:rsidRPr="002C0DEA">
        <w:rPr>
          <w:rFonts w:cs="Times New Roman"/>
          <w:szCs w:val="24"/>
          <w:lang w:val="en-US"/>
        </w:rPr>
        <w:t xml:space="preserve">: </w:t>
      </w:r>
      <w:r w:rsidR="002A4257" w:rsidRPr="002C0DEA">
        <w:rPr>
          <w:rFonts w:cs="Times New Roman"/>
          <w:szCs w:val="24"/>
          <w:lang w:val="en-US"/>
        </w:rPr>
        <w:t>Matthias C. Braunisch</w:t>
      </w:r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and Christopher C. Mayer</w:t>
      </w:r>
      <w:r w:rsidR="002A4257">
        <w:rPr>
          <w:rFonts w:cs="Times New Roman"/>
          <w:szCs w:val="24"/>
          <w:lang w:val="en-US"/>
        </w:rPr>
        <w:t>,</w:t>
      </w:r>
      <w:r w:rsidR="009232C9">
        <w:rPr>
          <w:rFonts w:cs="Times New Roman"/>
          <w:szCs w:val="24"/>
          <w:vertAlign w:val="superscript"/>
          <w:lang w:val="en-US"/>
        </w:rPr>
        <w:t xml:space="preserve"> </w:t>
      </w:r>
      <w:r w:rsidR="002A4257" w:rsidRPr="002C0DEA">
        <w:rPr>
          <w:rFonts w:cs="Times New Roman"/>
          <w:szCs w:val="24"/>
          <w:lang w:val="en-US"/>
        </w:rPr>
        <w:t>Axel Bauer</w:t>
      </w:r>
      <w:r w:rsidR="009232C9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Georg Lorenz</w:t>
      </w:r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Bernhard Haller</w:t>
      </w:r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Konstantinos D. </w:t>
      </w:r>
      <w:proofErr w:type="spellStart"/>
      <w:r w:rsidR="002A4257" w:rsidRPr="002C0DEA">
        <w:rPr>
          <w:rFonts w:cs="Times New Roman"/>
          <w:szCs w:val="24"/>
          <w:lang w:val="en-US"/>
        </w:rPr>
        <w:t>Rizas</w:t>
      </w:r>
      <w:proofErr w:type="spellEnd"/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Stefan Hagmair</w:t>
      </w:r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Lukas von Stülpnagel</w:t>
      </w:r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Wolfgang Hamm</w:t>
      </w:r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Roman </w:t>
      </w:r>
      <w:proofErr w:type="spellStart"/>
      <w:r w:rsidR="002A4257" w:rsidRPr="002C0DEA">
        <w:rPr>
          <w:rFonts w:cs="Times New Roman"/>
          <w:szCs w:val="24"/>
          <w:lang w:val="en-US"/>
        </w:rPr>
        <w:t>Günthner</w:t>
      </w:r>
      <w:proofErr w:type="spellEnd"/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Susanne Angermann</w:t>
      </w:r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Julia </w:t>
      </w:r>
      <w:proofErr w:type="spellStart"/>
      <w:r w:rsidR="002A4257" w:rsidRPr="002C0DEA">
        <w:rPr>
          <w:rFonts w:cs="Times New Roman"/>
          <w:szCs w:val="24"/>
          <w:lang w:val="en-US"/>
        </w:rPr>
        <w:t>Matschkal</w:t>
      </w:r>
      <w:proofErr w:type="spellEnd"/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Stephan Kemmner</w:t>
      </w:r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Anna-Lena </w:t>
      </w:r>
      <w:proofErr w:type="spellStart"/>
      <w:r w:rsidR="002A4257" w:rsidRPr="002C0DEA">
        <w:rPr>
          <w:rFonts w:cs="Times New Roman"/>
          <w:szCs w:val="24"/>
          <w:lang w:val="en-US"/>
        </w:rPr>
        <w:t>Hasenau</w:t>
      </w:r>
      <w:proofErr w:type="spellEnd"/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</w:t>
      </w:r>
      <w:r w:rsidR="004949A1">
        <w:rPr>
          <w:rFonts w:cs="Times New Roman"/>
          <w:szCs w:val="24"/>
          <w:lang w:val="en-US"/>
        </w:rPr>
        <w:t xml:space="preserve">Isabel </w:t>
      </w:r>
      <w:proofErr w:type="spellStart"/>
      <w:r w:rsidR="004949A1">
        <w:rPr>
          <w:rFonts w:cs="Times New Roman"/>
          <w:szCs w:val="24"/>
          <w:lang w:val="en-US"/>
        </w:rPr>
        <w:t>Zöllinger</w:t>
      </w:r>
      <w:proofErr w:type="spellEnd"/>
      <w:r w:rsidR="004949A1">
        <w:rPr>
          <w:rFonts w:cs="Times New Roman"/>
          <w:szCs w:val="24"/>
          <w:lang w:val="en-US"/>
        </w:rPr>
        <w:t xml:space="preserve">, </w:t>
      </w:r>
      <w:r w:rsidR="002A4257" w:rsidRPr="002C0DEA">
        <w:rPr>
          <w:rFonts w:cs="Times New Roman"/>
          <w:szCs w:val="24"/>
          <w:lang w:val="en-US"/>
        </w:rPr>
        <w:t xml:space="preserve">Dominik </w:t>
      </w:r>
      <w:proofErr w:type="spellStart"/>
      <w:r w:rsidR="002A4257" w:rsidRPr="002C0DEA">
        <w:rPr>
          <w:rFonts w:cs="Times New Roman"/>
          <w:szCs w:val="24"/>
          <w:lang w:val="en-US"/>
        </w:rPr>
        <w:t>Steubl</w:t>
      </w:r>
      <w:proofErr w:type="spellEnd"/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Johannes F. Mann</w:t>
      </w:r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Thomas Lehnert</w:t>
      </w:r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Julia </w:t>
      </w:r>
      <w:proofErr w:type="spellStart"/>
      <w:r w:rsidR="002A4257" w:rsidRPr="002C0DEA">
        <w:rPr>
          <w:rFonts w:cs="Times New Roman"/>
          <w:szCs w:val="24"/>
          <w:lang w:val="en-US"/>
        </w:rPr>
        <w:t>Scherf</w:t>
      </w:r>
      <w:proofErr w:type="spellEnd"/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Jürgen R. Braun</w:t>
      </w:r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Philipp Moog</w:t>
      </w:r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Claudius </w:t>
      </w:r>
      <w:proofErr w:type="spellStart"/>
      <w:r w:rsidR="002A4257" w:rsidRPr="002C0DEA">
        <w:rPr>
          <w:rFonts w:cs="Times New Roman"/>
          <w:szCs w:val="24"/>
          <w:lang w:val="en-US"/>
        </w:rPr>
        <w:t>Küchle</w:t>
      </w:r>
      <w:proofErr w:type="spellEnd"/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Lutz Renders</w:t>
      </w:r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</w:t>
      </w:r>
      <w:r w:rsidR="002A4257">
        <w:rPr>
          <w:rFonts w:cs="Times New Roman"/>
          <w:szCs w:val="24"/>
          <w:lang w:val="en-US"/>
        </w:rPr>
        <w:t xml:space="preserve">Marek Malik, </w:t>
      </w:r>
      <w:r w:rsidR="002A4257" w:rsidRPr="002C0DEA">
        <w:rPr>
          <w:rFonts w:cs="Times New Roman"/>
          <w:szCs w:val="24"/>
          <w:lang w:val="en-US"/>
        </w:rPr>
        <w:t>Georg Schmidt</w:t>
      </w:r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Siegfried </w:t>
      </w:r>
      <w:proofErr w:type="spellStart"/>
      <w:r w:rsidR="002A4257" w:rsidRPr="002C0DEA">
        <w:rPr>
          <w:rFonts w:cs="Times New Roman"/>
          <w:szCs w:val="24"/>
          <w:lang w:val="en-US"/>
        </w:rPr>
        <w:t>Wassertheurer</w:t>
      </w:r>
      <w:proofErr w:type="spellEnd"/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Uwe </w:t>
      </w:r>
      <w:proofErr w:type="spellStart"/>
      <w:r w:rsidR="002A4257" w:rsidRPr="002C0DEA">
        <w:rPr>
          <w:rFonts w:cs="Times New Roman"/>
          <w:szCs w:val="24"/>
          <w:lang w:val="en-US"/>
        </w:rPr>
        <w:t>Heemann</w:t>
      </w:r>
      <w:proofErr w:type="spellEnd"/>
      <w:r w:rsidR="002A4257">
        <w:rPr>
          <w:rFonts w:cs="Times New Roman"/>
          <w:szCs w:val="24"/>
          <w:lang w:val="en-US"/>
        </w:rPr>
        <w:t>,</w:t>
      </w:r>
      <w:r w:rsidR="002A4257" w:rsidRPr="002C0DEA">
        <w:rPr>
          <w:rFonts w:cs="Times New Roman"/>
          <w:szCs w:val="24"/>
          <w:lang w:val="en-US"/>
        </w:rPr>
        <w:t xml:space="preserve"> and Christoph </w:t>
      </w:r>
      <w:proofErr w:type="spellStart"/>
      <w:r w:rsidR="002A4257" w:rsidRPr="002C0DEA">
        <w:rPr>
          <w:rFonts w:cs="Times New Roman"/>
          <w:szCs w:val="24"/>
          <w:lang w:val="en-US"/>
        </w:rPr>
        <w:t>Schmaderer</w:t>
      </w:r>
      <w:proofErr w:type="spellEnd"/>
    </w:p>
    <w:p w14:paraId="0B231AC6" w14:textId="291D8918" w:rsidR="003E13FA" w:rsidRPr="002C0DEA" w:rsidRDefault="003E13FA" w:rsidP="003E13FA">
      <w:pPr>
        <w:pStyle w:val="Heading1"/>
        <w:rPr>
          <w:lang w:val="en-US"/>
        </w:rPr>
      </w:pPr>
      <w:r>
        <w:rPr>
          <w:lang w:val="en-US"/>
        </w:rPr>
        <w:t xml:space="preserve">Supplemental </w:t>
      </w:r>
      <w:r w:rsidR="00602734">
        <w:rPr>
          <w:lang w:val="en-US"/>
        </w:rPr>
        <w:t>Data</w:t>
      </w:r>
      <w:r>
        <w:rPr>
          <w:lang w:val="en-US"/>
        </w:rPr>
        <w:t xml:space="preserve"> Table of Contents</w:t>
      </w:r>
    </w:p>
    <w:p w14:paraId="5CC6DDB1" w14:textId="503F36CD" w:rsidR="003E13FA" w:rsidRDefault="003E13FA" w:rsidP="00044301">
      <w:pPr>
        <w:tabs>
          <w:tab w:val="left" w:pos="1440"/>
        </w:tabs>
        <w:spacing w:line="276" w:lineRule="auto"/>
        <w:rPr>
          <w:lang w:val="en-US"/>
        </w:rPr>
      </w:pPr>
      <w:r w:rsidRPr="006D0275">
        <w:rPr>
          <w:b/>
          <w:lang w:val="en-US"/>
        </w:rPr>
        <w:t>Supplemental Table 1.</w:t>
      </w:r>
      <w:r w:rsidRPr="00BC1216">
        <w:rPr>
          <w:lang w:val="en-US"/>
        </w:rPr>
        <w:t xml:space="preserve"> Detailed intake of antihypertensive medications overall and by categories of heart rate turbulence (HRT)</w:t>
      </w:r>
      <w:r>
        <w:rPr>
          <w:lang w:val="en-US"/>
        </w:rPr>
        <w:t xml:space="preserve"> – </w:t>
      </w:r>
      <w:r w:rsidRPr="001F491C">
        <w:rPr>
          <w:i/>
          <w:lang w:val="en-US"/>
        </w:rPr>
        <w:t xml:space="preserve">page </w:t>
      </w:r>
      <w:r w:rsidR="001F491C" w:rsidRPr="001F491C">
        <w:rPr>
          <w:i/>
          <w:lang w:val="en-US"/>
        </w:rPr>
        <w:t>2</w:t>
      </w:r>
    </w:p>
    <w:p w14:paraId="5433BF3E" w14:textId="51E5812B" w:rsidR="003E13FA" w:rsidRDefault="003E13FA" w:rsidP="00044301">
      <w:pPr>
        <w:tabs>
          <w:tab w:val="left" w:pos="1440"/>
        </w:tabs>
        <w:spacing w:line="276" w:lineRule="auto"/>
        <w:rPr>
          <w:i/>
          <w:lang w:val="en-US"/>
        </w:rPr>
      </w:pPr>
      <w:r w:rsidRPr="006D0275">
        <w:rPr>
          <w:b/>
          <w:lang w:val="en-US"/>
        </w:rPr>
        <w:t>Supplemental Table 2.</w:t>
      </w:r>
      <w:r w:rsidRPr="00BC1216">
        <w:rPr>
          <w:lang w:val="en-US"/>
        </w:rPr>
        <w:t xml:space="preserve"> Cohort description in relation to excluded patients and study cohort</w:t>
      </w:r>
      <w:r w:rsidR="001F491C">
        <w:rPr>
          <w:lang w:val="en-US"/>
        </w:rPr>
        <w:t xml:space="preserve">    </w:t>
      </w:r>
      <w:r w:rsidR="00D73F30">
        <w:rPr>
          <w:lang w:val="en-US"/>
        </w:rPr>
        <w:t xml:space="preserve"> </w:t>
      </w:r>
      <w:r w:rsidR="001F491C">
        <w:rPr>
          <w:lang w:val="en-US"/>
        </w:rPr>
        <w:t xml:space="preserve">– </w:t>
      </w:r>
      <w:r w:rsidR="001F491C" w:rsidRPr="001F491C">
        <w:rPr>
          <w:i/>
          <w:lang w:val="en-US"/>
        </w:rPr>
        <w:t>page 3</w:t>
      </w:r>
    </w:p>
    <w:p w14:paraId="5C7B30E1" w14:textId="43E77A7F" w:rsidR="00812472" w:rsidRDefault="00745E77" w:rsidP="00044301">
      <w:pPr>
        <w:tabs>
          <w:tab w:val="left" w:pos="1440"/>
        </w:tabs>
        <w:spacing w:line="276" w:lineRule="auto"/>
        <w:rPr>
          <w:i/>
          <w:lang w:val="en-US"/>
        </w:rPr>
      </w:pPr>
      <w:r w:rsidRPr="00745E77">
        <w:rPr>
          <w:b/>
          <w:lang w:val="en-US"/>
        </w:rPr>
        <w:t>Supplemental Table 3.</w:t>
      </w:r>
      <w:r>
        <w:rPr>
          <w:lang w:val="en-US"/>
        </w:rPr>
        <w:t xml:space="preserve"> </w:t>
      </w:r>
      <w:r w:rsidRPr="00745E77">
        <w:rPr>
          <w:lang w:val="en-US"/>
        </w:rPr>
        <w:t>Unadjusted hazards ratios of baseline parameters for cardiovascular mortality</w:t>
      </w:r>
      <w:r w:rsidR="00812472">
        <w:rPr>
          <w:lang w:val="en-US"/>
        </w:rPr>
        <w:t xml:space="preserve"> – </w:t>
      </w:r>
      <w:r w:rsidR="00812472" w:rsidRPr="001F491C">
        <w:rPr>
          <w:i/>
          <w:lang w:val="en-US"/>
        </w:rPr>
        <w:t xml:space="preserve">page </w:t>
      </w:r>
      <w:r w:rsidR="00812472">
        <w:rPr>
          <w:i/>
          <w:lang w:val="en-US"/>
        </w:rPr>
        <w:t>4</w:t>
      </w:r>
    </w:p>
    <w:p w14:paraId="6F2B7666" w14:textId="78ED85A3" w:rsidR="00812472" w:rsidRDefault="00745E77" w:rsidP="00044301">
      <w:pPr>
        <w:tabs>
          <w:tab w:val="left" w:pos="1440"/>
        </w:tabs>
        <w:spacing w:line="276" w:lineRule="auto"/>
        <w:rPr>
          <w:i/>
          <w:lang w:val="en-US"/>
        </w:rPr>
      </w:pPr>
      <w:r w:rsidRPr="00812472">
        <w:rPr>
          <w:b/>
          <w:lang w:val="en-US"/>
        </w:rPr>
        <w:t>Supplemental Table 4.</w:t>
      </w:r>
      <w:r>
        <w:rPr>
          <w:lang w:val="en-US"/>
        </w:rPr>
        <w:t xml:space="preserve"> </w:t>
      </w:r>
      <w:r w:rsidRPr="00745E77">
        <w:rPr>
          <w:lang w:val="en-US"/>
        </w:rPr>
        <w:t>Explorative analysis of risk variables with cardiovascular mortality</w:t>
      </w:r>
      <w:r w:rsidR="00812472">
        <w:rPr>
          <w:lang w:val="en-US"/>
        </w:rPr>
        <w:t xml:space="preserve">      – </w:t>
      </w:r>
      <w:r w:rsidR="00812472" w:rsidRPr="001F491C">
        <w:rPr>
          <w:i/>
          <w:lang w:val="en-US"/>
        </w:rPr>
        <w:t xml:space="preserve">page </w:t>
      </w:r>
      <w:r w:rsidR="00812472">
        <w:rPr>
          <w:i/>
          <w:lang w:val="en-US"/>
        </w:rPr>
        <w:t>5</w:t>
      </w:r>
    </w:p>
    <w:p w14:paraId="40FC02AB" w14:textId="77777777" w:rsidR="007D3DD4" w:rsidRDefault="00B92E8F" w:rsidP="00044301">
      <w:pPr>
        <w:tabs>
          <w:tab w:val="left" w:pos="1440"/>
        </w:tabs>
        <w:spacing w:line="276" w:lineRule="auto"/>
        <w:rPr>
          <w:lang w:val="en-US"/>
        </w:rPr>
      </w:pPr>
      <w:r w:rsidRPr="00B92E8F">
        <w:rPr>
          <w:b/>
          <w:lang w:val="en-US"/>
        </w:rPr>
        <w:t>Supplemental Table 5.</w:t>
      </w:r>
      <w:r w:rsidRPr="00B92E8F">
        <w:rPr>
          <w:lang w:val="en-US"/>
        </w:rPr>
        <w:t xml:space="preserve"> Exploratory association of HRT with cardiovascular mortality</w:t>
      </w:r>
      <w:r>
        <w:rPr>
          <w:lang w:val="en-US"/>
        </w:rPr>
        <w:t xml:space="preserve"> </w:t>
      </w:r>
    </w:p>
    <w:p w14:paraId="4B2CC9E1" w14:textId="5B395197" w:rsidR="00B92E8F" w:rsidRPr="007D3DD4" w:rsidRDefault="00B92E8F" w:rsidP="00044301">
      <w:pPr>
        <w:tabs>
          <w:tab w:val="left" w:pos="1440"/>
        </w:tabs>
        <w:spacing w:line="276" w:lineRule="auto"/>
        <w:rPr>
          <w:i/>
          <w:lang w:val="en-US"/>
        </w:rPr>
      </w:pPr>
      <w:r>
        <w:rPr>
          <w:lang w:val="en-US"/>
        </w:rPr>
        <w:t xml:space="preserve">– </w:t>
      </w:r>
      <w:r w:rsidRPr="007D3DD4">
        <w:rPr>
          <w:i/>
          <w:lang w:val="en-US"/>
        </w:rPr>
        <w:t xml:space="preserve">page </w:t>
      </w:r>
      <w:r w:rsidR="007D3DD4" w:rsidRPr="007D3DD4">
        <w:rPr>
          <w:i/>
          <w:lang w:val="en-US"/>
        </w:rPr>
        <w:t>6</w:t>
      </w:r>
    </w:p>
    <w:p w14:paraId="4F6AE265" w14:textId="0A1F221B" w:rsidR="00FE1EC6" w:rsidRPr="00FE1EC6" w:rsidRDefault="00FE1EC6" w:rsidP="00044301">
      <w:pPr>
        <w:tabs>
          <w:tab w:val="left" w:pos="1440"/>
        </w:tabs>
        <w:spacing w:line="276" w:lineRule="auto"/>
        <w:rPr>
          <w:i/>
          <w:lang w:val="en-US"/>
        </w:rPr>
      </w:pPr>
      <w:r w:rsidRPr="00FE1EC6">
        <w:rPr>
          <w:b/>
          <w:lang w:val="en-US"/>
        </w:rPr>
        <w:t>Supplemental Table 6.</w:t>
      </w:r>
      <w:r w:rsidRPr="00FE1EC6">
        <w:rPr>
          <w:lang w:val="en-US"/>
        </w:rPr>
        <w:t xml:space="preserve"> Unadjusted and adjusted hazards ratios of ln transformed frequency-domain heart rate variability measures for cardiovascular mortality</w:t>
      </w:r>
      <w:r w:rsidRPr="00FE1EC6">
        <w:rPr>
          <w:b/>
          <w:lang w:val="en-US"/>
        </w:rPr>
        <w:t xml:space="preserve"> </w:t>
      </w:r>
      <w:r>
        <w:rPr>
          <w:b/>
          <w:lang w:val="en-US"/>
        </w:rPr>
        <w:t xml:space="preserve">– </w:t>
      </w:r>
      <w:r w:rsidRPr="00FE1EC6">
        <w:rPr>
          <w:i/>
          <w:lang w:val="en-US"/>
        </w:rPr>
        <w:t>page 7</w:t>
      </w:r>
    </w:p>
    <w:p w14:paraId="71F75664" w14:textId="28BCDD04" w:rsidR="006A4742" w:rsidRDefault="006A4742" w:rsidP="00044301">
      <w:pPr>
        <w:tabs>
          <w:tab w:val="left" w:pos="1440"/>
        </w:tabs>
        <w:spacing w:line="276" w:lineRule="auto"/>
        <w:rPr>
          <w:i/>
          <w:lang w:val="en-US"/>
        </w:rPr>
      </w:pPr>
      <w:r w:rsidRPr="006A4742">
        <w:rPr>
          <w:b/>
          <w:lang w:val="en-US"/>
        </w:rPr>
        <w:t xml:space="preserve">Supplemental Table </w:t>
      </w:r>
      <w:r w:rsidR="00FE1EC6">
        <w:rPr>
          <w:b/>
          <w:lang w:val="en-US"/>
        </w:rPr>
        <w:t>7</w:t>
      </w:r>
      <w:r w:rsidRPr="006A4742">
        <w:rPr>
          <w:b/>
          <w:lang w:val="en-US"/>
        </w:rPr>
        <w:t xml:space="preserve">. </w:t>
      </w:r>
      <w:r w:rsidRPr="006A4742">
        <w:rPr>
          <w:lang w:val="en-US"/>
        </w:rPr>
        <w:t>Association of severe autonomic failure (SAF) with cardiovascular mortality in univariate and multivariable analysis</w:t>
      </w:r>
      <w:r>
        <w:rPr>
          <w:lang w:val="en-US"/>
        </w:rPr>
        <w:t xml:space="preserve"> – </w:t>
      </w:r>
      <w:r w:rsidRPr="006A4742">
        <w:rPr>
          <w:i/>
          <w:lang w:val="en-US"/>
        </w:rPr>
        <w:t xml:space="preserve">page </w:t>
      </w:r>
      <w:r w:rsidR="00FE1EC6">
        <w:rPr>
          <w:i/>
          <w:lang w:val="en-US"/>
        </w:rPr>
        <w:t>8</w:t>
      </w:r>
    </w:p>
    <w:p w14:paraId="56958B21" w14:textId="205D8C00" w:rsidR="00FE1EC6" w:rsidRPr="00FE1EC6" w:rsidRDefault="00FE1EC6" w:rsidP="00044301">
      <w:pPr>
        <w:tabs>
          <w:tab w:val="left" w:pos="1440"/>
        </w:tabs>
        <w:spacing w:line="276" w:lineRule="auto"/>
        <w:rPr>
          <w:lang w:val="en-US"/>
        </w:rPr>
      </w:pPr>
      <w:r w:rsidRPr="00FE1EC6">
        <w:rPr>
          <w:b/>
          <w:lang w:val="en-US"/>
        </w:rPr>
        <w:t>Supplemental Table 8.</w:t>
      </w:r>
      <w:r w:rsidRPr="00FE1EC6">
        <w:rPr>
          <w:lang w:val="en-US"/>
        </w:rPr>
        <w:t xml:space="preserve"> Ln transformed frequency-domain measures of heart rate variability at baseline in patients overall and grouped by survival state</w:t>
      </w:r>
      <w:r>
        <w:rPr>
          <w:lang w:val="en-US"/>
        </w:rPr>
        <w:t xml:space="preserve"> – </w:t>
      </w:r>
      <w:r w:rsidRPr="00FE1EC6">
        <w:rPr>
          <w:i/>
          <w:lang w:val="en-US"/>
        </w:rPr>
        <w:t>page 9</w:t>
      </w:r>
    </w:p>
    <w:p w14:paraId="42E93A54" w14:textId="7077B59F" w:rsidR="003E13FA" w:rsidRDefault="005859C0" w:rsidP="00044301">
      <w:pPr>
        <w:spacing w:line="276" w:lineRule="auto"/>
        <w:rPr>
          <w:lang w:val="en-US"/>
        </w:rPr>
      </w:pPr>
      <w:r w:rsidRPr="005859C0">
        <w:rPr>
          <w:b/>
          <w:lang w:val="en-US"/>
        </w:rPr>
        <w:t>Supplemental Figure 1.</w:t>
      </w:r>
      <w:r>
        <w:rPr>
          <w:lang w:val="en-US"/>
        </w:rPr>
        <w:t xml:space="preserve"> Cumulative cardiovascular mortality curves stratified by heart rate turbulence (HRT) including HRT category non-calculable. – </w:t>
      </w:r>
      <w:r w:rsidRPr="005859C0">
        <w:rPr>
          <w:i/>
          <w:lang w:val="en-US"/>
        </w:rPr>
        <w:t xml:space="preserve">page </w:t>
      </w:r>
      <w:r w:rsidR="00FE1EC6">
        <w:rPr>
          <w:i/>
          <w:lang w:val="en-US"/>
        </w:rPr>
        <w:t>10</w:t>
      </w:r>
      <w:r w:rsidR="003E13FA">
        <w:rPr>
          <w:lang w:val="en-US"/>
        </w:rPr>
        <w:br w:type="page"/>
      </w:r>
    </w:p>
    <w:p w14:paraId="6FEDA6C1" w14:textId="77777777" w:rsidR="003E13FA" w:rsidRPr="007449DC" w:rsidRDefault="003E13FA" w:rsidP="00135379">
      <w:pPr>
        <w:spacing w:after="0" w:line="240" w:lineRule="auto"/>
        <w:jc w:val="center"/>
        <w:rPr>
          <w:rFonts w:eastAsia="Calibri" w:cs="Times New Roman"/>
          <w:b/>
          <w:sz w:val="28"/>
          <w:szCs w:val="24"/>
          <w:lang w:val="en-US"/>
        </w:rPr>
      </w:pPr>
    </w:p>
    <w:p w14:paraId="4DF13CDA" w14:textId="77777777" w:rsidR="00135379" w:rsidRPr="007449DC" w:rsidRDefault="00135379" w:rsidP="00135379">
      <w:pPr>
        <w:spacing w:after="0" w:line="240" w:lineRule="auto"/>
        <w:jc w:val="left"/>
        <w:rPr>
          <w:rFonts w:eastAsia="Calibri" w:cs="Times New Roman"/>
          <w:b/>
          <w:szCs w:val="24"/>
          <w:lang w:val="en-US"/>
        </w:rPr>
      </w:pPr>
    </w:p>
    <w:tbl>
      <w:tblPr>
        <w:tblW w:w="73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5"/>
        <w:gridCol w:w="1134"/>
        <w:gridCol w:w="1134"/>
        <w:gridCol w:w="1137"/>
        <w:gridCol w:w="706"/>
      </w:tblGrid>
      <w:tr w:rsidR="00135379" w:rsidRPr="00044301" w14:paraId="4F53D20C" w14:textId="77777777" w:rsidTr="0077748C">
        <w:trPr>
          <w:trHeight w:val="300"/>
          <w:jc w:val="center"/>
        </w:trPr>
        <w:tc>
          <w:tcPr>
            <w:tcW w:w="7371" w:type="dxa"/>
            <w:gridSpan w:val="6"/>
            <w:shd w:val="clear" w:color="auto" w:fill="auto"/>
            <w:noWrap/>
            <w:vAlign w:val="bottom"/>
          </w:tcPr>
          <w:p w14:paraId="3AB866FD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Supplemental Table 1.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Detailed intake of antihypertensive medications overall and by categories of heart rate turbulence (HRT)</w:t>
            </w:r>
          </w:p>
        </w:tc>
      </w:tr>
      <w:tr w:rsidR="00135379" w:rsidRPr="007449DC" w14:paraId="6A81849C" w14:textId="77777777" w:rsidTr="0077748C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AE03E7" w14:textId="77777777" w:rsidR="00135379" w:rsidRPr="007449DC" w:rsidRDefault="00135379" w:rsidP="002D0E9E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D8A42F" w14:textId="77777777" w:rsidR="00135379" w:rsidRPr="007449DC" w:rsidRDefault="00135379" w:rsidP="002D0E9E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Total group</w:t>
            </w:r>
          </w:p>
          <w:p w14:paraId="4D1F9529" w14:textId="77777777" w:rsidR="00135379" w:rsidRPr="007449DC" w:rsidRDefault="00135379" w:rsidP="002D0E9E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(n = 290)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</w:tcBorders>
            <w:vAlign w:val="center"/>
          </w:tcPr>
          <w:p w14:paraId="4FAA29EC" w14:textId="77777777" w:rsidR="00135379" w:rsidRPr="007449DC" w:rsidRDefault="00135379" w:rsidP="002D0E9E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Heart rate turbulence (HRT)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172F61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35379" w:rsidRPr="007449DC" w14:paraId="0B9B283C" w14:textId="77777777" w:rsidTr="0077748C">
        <w:trPr>
          <w:trHeight w:val="300"/>
          <w:jc w:val="center"/>
        </w:trPr>
        <w:tc>
          <w:tcPr>
            <w:tcW w:w="1985" w:type="dxa"/>
            <w:vMerge/>
            <w:shd w:val="clear" w:color="auto" w:fill="auto"/>
            <w:noWrap/>
            <w:vAlign w:val="bottom"/>
          </w:tcPr>
          <w:p w14:paraId="05C955DA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</w:tcPr>
          <w:p w14:paraId="17EF455E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144F154" w14:textId="77777777" w:rsidR="00135379" w:rsidRPr="007449DC" w:rsidRDefault="00135379" w:rsidP="002D0E9E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Category 0</w:t>
            </w:r>
          </w:p>
          <w:p w14:paraId="5CEAF69C" w14:textId="77777777" w:rsidR="00135379" w:rsidRPr="007449DC" w:rsidRDefault="00135379" w:rsidP="002D0E9E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(n = 161)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03A95F" w14:textId="77777777" w:rsidR="00135379" w:rsidRPr="007449DC" w:rsidRDefault="00135379" w:rsidP="002D0E9E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Category 1</w:t>
            </w:r>
          </w:p>
          <w:p w14:paraId="50856E2A" w14:textId="77777777" w:rsidR="00135379" w:rsidRPr="007449DC" w:rsidRDefault="00135379" w:rsidP="002D0E9E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(n = 88)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E01421" w14:textId="77777777" w:rsidR="00135379" w:rsidRPr="007449DC" w:rsidRDefault="00135379" w:rsidP="002D0E9E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Category 2</w:t>
            </w:r>
          </w:p>
          <w:p w14:paraId="14710BC9" w14:textId="77777777" w:rsidR="00135379" w:rsidRPr="007449DC" w:rsidRDefault="00135379" w:rsidP="002D0E9E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(n = 41)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DDD0AC" w14:textId="77777777" w:rsidR="00135379" w:rsidRPr="007449DC" w:rsidRDefault="00135379" w:rsidP="002D0E9E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135379" w:rsidRPr="007449DC" w14:paraId="7B77CD97" w14:textId="77777777" w:rsidTr="0077748C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3FCA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Antihypertensive medication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18DA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258 (89.0)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22D2F5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137 (85.1)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4B9C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 (92.0)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6BF2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 (97.6)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1FAC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0.041</w:t>
            </w:r>
          </w:p>
        </w:tc>
      </w:tr>
      <w:tr w:rsidR="00135379" w:rsidRPr="007449DC" w14:paraId="54F0F667" w14:textId="77777777" w:rsidTr="0077748C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171E5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ab/>
              <w:t>- ACEI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F35BC1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 (37.2)</w:t>
            </w:r>
          </w:p>
        </w:tc>
        <w:tc>
          <w:tcPr>
            <w:tcW w:w="1134" w:type="dxa"/>
            <w:vAlign w:val="bottom"/>
          </w:tcPr>
          <w:p w14:paraId="6E13A96B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 (38.5)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57517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 (38.6)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47DC920D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 (29.3)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3DBDE6D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0.52</w:t>
            </w:r>
          </w:p>
        </w:tc>
      </w:tr>
      <w:tr w:rsidR="00135379" w:rsidRPr="007449DC" w14:paraId="499535EA" w14:textId="77777777" w:rsidTr="0077748C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29C288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ab/>
              <w:t>- ARB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18B19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 (24.5)</w:t>
            </w:r>
          </w:p>
        </w:tc>
        <w:tc>
          <w:tcPr>
            <w:tcW w:w="1134" w:type="dxa"/>
            <w:vAlign w:val="bottom"/>
          </w:tcPr>
          <w:p w14:paraId="6A6129E5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 (21.1)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9119B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 (26.1)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5593A3E5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 (34.1)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C03670E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0.20</w:t>
            </w:r>
          </w:p>
        </w:tc>
      </w:tr>
      <w:tr w:rsidR="00135379" w:rsidRPr="007449DC" w14:paraId="5A9B2747" w14:textId="77777777" w:rsidTr="0077748C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4223D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ab/>
              <w:t>- CCB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656358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123 (42.4)</w:t>
            </w:r>
          </w:p>
        </w:tc>
        <w:tc>
          <w:tcPr>
            <w:tcW w:w="1134" w:type="dxa"/>
            <w:vAlign w:val="bottom"/>
          </w:tcPr>
          <w:p w14:paraId="1CA0ED07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 (43.5)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B1F90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 (35.2)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1AAACF45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 (53.7)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5DE421D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</w:tr>
      <w:tr w:rsidR="00135379" w:rsidRPr="007449DC" w14:paraId="4B328E02" w14:textId="77777777" w:rsidTr="0077748C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3EB958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ab/>
              <w:t>- Vasodilator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5923AF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 (15.2)</w:t>
            </w:r>
          </w:p>
        </w:tc>
        <w:tc>
          <w:tcPr>
            <w:tcW w:w="1134" w:type="dxa"/>
            <w:vAlign w:val="bottom"/>
          </w:tcPr>
          <w:p w14:paraId="08BACBB1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 (14.9)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24F3FC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 (12.5)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01B0C43F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 (22.0)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565531E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</w:tr>
      <w:tr w:rsidR="00135379" w:rsidRPr="007449DC" w14:paraId="7B5951DE" w14:textId="77777777" w:rsidTr="0077748C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7EC7CD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- </w:t>
            </w:r>
            <w:r w:rsidRPr="007449DC">
              <w:rPr>
                <w:rFonts w:eastAsia="Times New Roman" w:cs="Times New Roman"/>
                <w:i/>
                <w:color w:val="000000"/>
                <w:sz w:val="20"/>
                <w:szCs w:val="20"/>
                <w:lang w:val="en-US"/>
              </w:rPr>
              <w:t>ß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-blocker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C404F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183 (63.1)</w:t>
            </w:r>
          </w:p>
        </w:tc>
        <w:tc>
          <w:tcPr>
            <w:tcW w:w="1134" w:type="dxa"/>
            <w:vAlign w:val="bottom"/>
          </w:tcPr>
          <w:p w14:paraId="01FEB35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93 (57.8)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3230D9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 (69.3)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5788C96D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 (70.7)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5A44E37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</w:tr>
      <w:tr w:rsidR="00135379" w:rsidRPr="007449DC" w14:paraId="06B94C3A" w14:textId="77777777" w:rsidTr="0077748C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A6B33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ab/>
              <w:t>- Diuretics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35879E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170 (58.6)</w:t>
            </w:r>
          </w:p>
        </w:tc>
        <w:tc>
          <w:tcPr>
            <w:tcW w:w="1134" w:type="dxa"/>
            <w:vAlign w:val="bottom"/>
          </w:tcPr>
          <w:p w14:paraId="2AA074F1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 (50.9)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B31265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 (69.3)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38D5AC85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 (65.9)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8483F82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</w:tr>
      <w:tr w:rsidR="00135379" w:rsidRPr="007449DC" w14:paraId="3067BA1E" w14:textId="77777777" w:rsidTr="0077748C">
        <w:trPr>
          <w:trHeight w:val="30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F310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ab/>
              <w:t>- Others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63CF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 (14.1)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4CBE27A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 (13.0)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39D6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 (13.6)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A69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 (19.5)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3B7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0.56</w:t>
            </w:r>
          </w:p>
        </w:tc>
      </w:tr>
      <w:tr w:rsidR="00135379" w:rsidRPr="00044301" w14:paraId="5C49A8DC" w14:textId="77777777" w:rsidTr="0077748C">
        <w:trPr>
          <w:trHeight w:val="300"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5BD6BC" w14:textId="77777777" w:rsidR="00135379" w:rsidRPr="007449DC" w:rsidRDefault="00135379" w:rsidP="002D0E9E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 (%) for categorical data. Abbreviations: ACEI, angiotensin-converting-enzyme inhibitor; ARB, angiotensin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receptor blocker; CCB, calcium channel blocker. Others included drugs other than ACEI, ARB, CCB, Vasodilators, </w:t>
            </w:r>
            <w:r w:rsidRPr="007449DC">
              <w:rPr>
                <w:rFonts w:eastAsia="Times New Roman" w:cs="Times New Roman"/>
                <w:i/>
                <w:color w:val="000000"/>
                <w:sz w:val="20"/>
                <w:szCs w:val="20"/>
                <w:lang w:val="en-US"/>
              </w:rPr>
              <w:t>ß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-blocker or diuretics (e.g. α-blocker, renin inhibitor).</w:t>
            </w:r>
          </w:p>
        </w:tc>
      </w:tr>
    </w:tbl>
    <w:p w14:paraId="10DFF377" w14:textId="77777777" w:rsidR="00135379" w:rsidRPr="007449DC" w:rsidRDefault="00135379" w:rsidP="00135379">
      <w:pPr>
        <w:spacing w:line="276" w:lineRule="auto"/>
        <w:jc w:val="left"/>
        <w:rPr>
          <w:rFonts w:eastAsia="Calibri" w:cs="Times New Roman"/>
          <w:b/>
          <w:szCs w:val="24"/>
          <w:lang w:val="en-US"/>
        </w:rPr>
      </w:pPr>
      <w:r w:rsidRPr="007449DC">
        <w:rPr>
          <w:rFonts w:eastAsia="Calibri" w:cs="Times New Roman"/>
          <w:b/>
          <w:szCs w:val="24"/>
          <w:lang w:val="en-US"/>
        </w:rPr>
        <w:br w:type="page"/>
      </w:r>
    </w:p>
    <w:tbl>
      <w:tblPr>
        <w:tblW w:w="8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2329"/>
        <w:gridCol w:w="2379"/>
        <w:gridCol w:w="806"/>
      </w:tblGrid>
      <w:tr w:rsidR="00135379" w:rsidRPr="00044301" w14:paraId="61305E7A" w14:textId="77777777" w:rsidTr="0077748C">
        <w:trPr>
          <w:trHeight w:val="277"/>
          <w:jc w:val="center"/>
        </w:trPr>
        <w:tc>
          <w:tcPr>
            <w:tcW w:w="86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D326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Supplemental Table 2. </w:t>
            </w:r>
            <w:r w:rsidRPr="007449DC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/>
              </w:rPr>
              <w:t>Cohort description in relation to excluded patients and study cohort</w:t>
            </w:r>
          </w:p>
        </w:tc>
      </w:tr>
      <w:tr w:rsidR="00135379" w:rsidRPr="007449DC" w14:paraId="78D7681A" w14:textId="77777777" w:rsidTr="0077748C">
        <w:trPr>
          <w:trHeight w:val="295"/>
          <w:jc w:val="center"/>
        </w:trPr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49F6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1B77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Study population </w:t>
            </w:r>
          </w:p>
          <w:p w14:paraId="67116770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(n = 290)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3145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Excluded patients </w:t>
            </w:r>
          </w:p>
          <w:p w14:paraId="7F00E806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(n = 229)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24B7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135379" w:rsidRPr="007449DC" w14:paraId="172CCBE0" w14:textId="77777777" w:rsidTr="0077748C">
        <w:trPr>
          <w:trHeight w:val="277"/>
          <w:jc w:val="center"/>
        </w:trPr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5A9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Age [years]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1D49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63.9 [50.7 - 73.8]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745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73.0 [58.9 - 79.9]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894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135379" w:rsidRPr="007449DC" w14:paraId="3A295E46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2C95FF82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Gender [male]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1177DB5F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190 (65.5)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3E278761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168 (73.4)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0D81731A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135379" w:rsidRPr="007449DC" w14:paraId="7DB9528B" w14:textId="77777777" w:rsidTr="0077748C">
        <w:trPr>
          <w:trHeight w:val="277"/>
          <w:jc w:val="center"/>
        </w:trPr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7540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Body mass index</w:t>
            </w:r>
            <w:r w:rsidRPr="007449DC" w:rsidDel="00B439A3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[kg/m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FF9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25.0 [22.4 - 28.7]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96C0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25.5 [22.8 - 28.9]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1040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0.42</w:t>
            </w:r>
          </w:p>
        </w:tc>
      </w:tr>
      <w:tr w:rsidR="00135379" w:rsidRPr="007449DC" w14:paraId="4AAB50B3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49A0A2E5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Dialysis vintage [months]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32960388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46.0 [24.0 - 78.3]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4012582A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41.0 [19.0 - 79.5]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1ACD2258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</w:tr>
      <w:tr w:rsidR="00135379" w:rsidRPr="007449DC" w14:paraId="2328BA80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2943CEDA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Ultrafiltration rate [ml/h]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29634349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483.0 ± 259.5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601902F0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511.2 ± 265.2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3A928C9A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</w:tr>
      <w:tr w:rsidR="00135379" w:rsidRPr="007449DC" w14:paraId="4AB57910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6C879012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Net ultrafiltration [l]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27AEFEFF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1.7 ± 1.2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7F794B3C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1.9 ± 1.3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6B482B6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0.027</w:t>
            </w:r>
          </w:p>
        </w:tc>
      </w:tr>
      <w:tr w:rsidR="00135379" w:rsidRPr="007449DC" w14:paraId="13057052" w14:textId="77777777" w:rsidTr="0077748C">
        <w:trPr>
          <w:trHeight w:val="277"/>
          <w:jc w:val="center"/>
        </w:trPr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3DA5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Kt</w:t>
            </w:r>
            <w:proofErr w:type="spellEnd"/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/V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CD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1.46 [1.21 - 1.65]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D1E0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1.46 [1.23 - 1.67]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5332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0.75</w:t>
            </w:r>
          </w:p>
        </w:tc>
      </w:tr>
      <w:tr w:rsidR="00135379" w:rsidRPr="007449DC" w14:paraId="281A0B45" w14:textId="77777777" w:rsidTr="0077748C">
        <w:trPr>
          <w:trHeight w:val="277"/>
          <w:jc w:val="center"/>
        </w:trPr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B462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Systolic blood pressure [mmHg]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EF17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137.0 [123.0 - 149.0]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16E1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132.0 [115.0 - 145.0]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8131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</w:tr>
      <w:tr w:rsidR="00135379" w:rsidRPr="007449DC" w14:paraId="7DBA300A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0A2F211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Diastolic blood pressure [mmHg]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4D14828F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75.1 ± 14.6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26E18BAE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68.5 ± 14.7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35B862FC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135379" w:rsidRPr="007449DC" w14:paraId="02D8BCB8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6AD1EF4F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Heart rate [bpm]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12D6975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73.7 [65.6 - 80.9]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4D77F4BD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71.9 [64.8 - 81.6]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0DF4C93C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</w:tr>
      <w:tr w:rsidR="00135379" w:rsidRPr="007449DC" w14:paraId="603A7211" w14:textId="77777777" w:rsidTr="0077748C">
        <w:trPr>
          <w:trHeight w:val="277"/>
          <w:jc w:val="center"/>
        </w:trPr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CCA1FB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Blood urea nitrogen [mg/dl]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6EEA6E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62.8 ± 16.5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248368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59.2 ± 16.8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D219F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</w:tr>
      <w:tr w:rsidR="00135379" w:rsidRPr="007449DC" w14:paraId="2A3E6592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3D36DA81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Phosphate [mmol/l]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7C69690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1.74 ± 0.49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72EEBCB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1.74 ± 0.58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4BCA482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0.85</w:t>
            </w:r>
          </w:p>
        </w:tc>
      </w:tr>
      <w:tr w:rsidR="00135379" w:rsidRPr="007449DC" w14:paraId="543F1C3F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36CB595F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Total calcium [mmol/l]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3230685B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2.27 ± 0.18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0620328B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2.26 ± 0.21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1C3FBCEA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0.61</w:t>
            </w:r>
          </w:p>
        </w:tc>
      </w:tr>
      <w:tr w:rsidR="00135379" w:rsidRPr="007449DC" w14:paraId="42D8501D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142B826B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Calcium </w:t>
            </w:r>
            <w:r w:rsidRPr="007449DC">
              <w:rPr>
                <w:rFonts w:eastAsia="Times New Roman" w:cs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phosphate [mmol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/l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6436FB11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3.93 ± 1.12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2C4A9DDC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3.94 ± 1.36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4596BCDD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0.98</w:t>
            </w:r>
          </w:p>
        </w:tc>
      </w:tr>
      <w:tr w:rsidR="00135379" w:rsidRPr="007449DC" w14:paraId="2D8AC18D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7F863C9A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Creatinine [mg/dl]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5BCFD881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8.81 ± 2.83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4FB1B0BE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7.98 ± 2.62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6ED647BB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135379" w:rsidRPr="007449DC" w14:paraId="34C9C13D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3F30185D" w14:textId="3C77C30A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High-sensitivity CRP [mg/</w:t>
            </w:r>
            <w:r w:rsidR="003D368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33236EF8" w14:textId="1CDFB221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="003D368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</w:t>
            </w:r>
            <w:r w:rsidR="003D368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- 0.9</w:t>
            </w:r>
            <w:r w:rsidR="003D368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7164E8FF" w14:textId="2F07595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="003D368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[0.2</w:t>
            </w:r>
            <w:r w:rsidR="003D368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- 1.</w:t>
            </w:r>
            <w:r w:rsidR="003D368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474B74B9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135379" w:rsidRPr="007449DC" w14:paraId="4B02C664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3B070772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Albumin [g/dl]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17B5626E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4.02 ± 0.40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248DCA6A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3.92 ± 0.42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6E9AFDAD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</w:tr>
      <w:tr w:rsidR="00135379" w:rsidRPr="007449DC" w14:paraId="1FC8BA55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4481BD9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Parathyroid hormone [</w:t>
            </w:r>
            <w:proofErr w:type="spellStart"/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pg</w:t>
            </w:r>
            <w:proofErr w:type="spellEnd"/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/ml]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405282AD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238.5 [127.4 - 402.9]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386BEB42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184.9 [99.1 - 365.2]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1F2D1699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</w:tr>
      <w:tr w:rsidR="00135379" w:rsidRPr="007449DC" w14:paraId="69C5C5B9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72A1250B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Leukocytes [G/l]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2B1712DB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6.97 ± 2.06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2F3B18C7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6.94 ± 6.60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09324D22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0.88</w:t>
            </w:r>
          </w:p>
        </w:tc>
      </w:tr>
      <w:tr w:rsidR="00135379" w:rsidRPr="007449DC" w14:paraId="06E20027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633F4922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Total cholesterol [mg/dl]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0DE59205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177.0 [154.0 - 207.0]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3B1F762D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171.0 [139.0 - 200.0]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4105643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</w:tr>
      <w:tr w:rsidR="00135379" w:rsidRPr="007449DC" w14:paraId="38E14DBC" w14:textId="77777777" w:rsidTr="0077748C">
        <w:trPr>
          <w:trHeight w:val="277"/>
          <w:jc w:val="center"/>
        </w:trPr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82CE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Charlson Comorbidity Index [0-21]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D9DF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2.0 [1.0 - 5.0]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335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5.0 [2.0 - 8.0]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E5F9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135379" w:rsidRPr="007449DC" w14:paraId="2E6407D7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366FFBB1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Diabetes mellitus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01177957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99 (34.1)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7C96AF61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 (48.0)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3BD325F5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135379" w:rsidRPr="007449DC" w14:paraId="7A11327C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4E8D82CB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History of myocardial infarction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25DF8EB9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 (16.2)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0C73150B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 (24.5)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35FB0590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</w:tr>
      <w:tr w:rsidR="00135379" w:rsidRPr="007449DC" w14:paraId="16BAE136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00CAC2B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Left ventricular hypertrophy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7D9C060B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76 (26.2)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65A0DCF7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76 (33.2)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6749D69B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135379" w:rsidRPr="007449DC" w14:paraId="6EC2F260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1A5E937C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Heart failure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394CBEBC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 (10.7)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503DFF19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 (29.7)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757042E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135379" w:rsidRPr="007449DC" w14:paraId="469157F8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47D94D1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Peripheral artery disease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766ECA02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 (19.0)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1348B573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 (29.7)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6765C707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</w:tr>
      <w:tr w:rsidR="00135379" w:rsidRPr="007449DC" w14:paraId="6A5F3D8C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50E8ABAB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090EB28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271 (93.4)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13E31AF1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218 (95.2)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0A8D50BE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0.40</w:t>
            </w:r>
          </w:p>
        </w:tc>
      </w:tr>
      <w:tr w:rsidR="00135379" w:rsidRPr="007449DC" w14:paraId="5C8CA032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62C90A5C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Coronary heart disease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559F57D8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88 (30.3)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5CF9CCF0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99 (43.2)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7637FA5C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135379" w:rsidRPr="007449DC" w14:paraId="74EF796B" w14:textId="77777777" w:rsidTr="0077748C">
        <w:trPr>
          <w:trHeight w:val="277"/>
          <w:jc w:val="center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14:paraId="19EA72E9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Cerebral vascular disease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14:paraId="524718D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 (14.1)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0C906219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 (19.2)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1A100DD6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</w:tr>
      <w:tr w:rsidR="00135379" w:rsidRPr="007449DC" w14:paraId="6EDCD53D" w14:textId="77777777" w:rsidTr="0077748C">
        <w:trPr>
          <w:trHeight w:val="277"/>
          <w:jc w:val="center"/>
        </w:trPr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044B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Smoking [ever]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5FE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79 (27.4)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2576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 (19.7)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DE95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0.051</w:t>
            </w:r>
          </w:p>
        </w:tc>
      </w:tr>
      <w:tr w:rsidR="00135379" w:rsidRPr="007449DC" w14:paraId="081D1337" w14:textId="77777777" w:rsidTr="0077748C">
        <w:trPr>
          <w:trHeight w:val="277"/>
          <w:jc w:val="center"/>
        </w:trPr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8092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Antihypertensive medication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1ACF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258 (89.0)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52C4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213 (93.0)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DB55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</w:tr>
      <w:tr w:rsidR="00135379" w:rsidRPr="007449DC" w14:paraId="48707275" w14:textId="77777777" w:rsidTr="0077748C">
        <w:trPr>
          <w:trHeight w:val="295"/>
          <w:jc w:val="center"/>
        </w:trPr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D575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Statin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75A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104 (36.4)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561C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92 (40.2)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55C6" w14:textId="77777777" w:rsidR="00135379" w:rsidRPr="007449DC" w:rsidRDefault="00135379" w:rsidP="002D0E9E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</w:tr>
      <w:tr w:rsidR="00135379" w:rsidRPr="007449DC" w14:paraId="6AD8357E" w14:textId="77777777" w:rsidTr="0077748C">
        <w:trPr>
          <w:trHeight w:val="295"/>
          <w:jc w:val="center"/>
        </w:trPr>
        <w:tc>
          <w:tcPr>
            <w:tcW w:w="86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1CE3D111" w14:textId="77777777" w:rsidR="00135379" w:rsidRPr="007449DC" w:rsidRDefault="00135379" w:rsidP="002D0E9E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9D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 (%) for categorical data, mean ± standard deviation or median [interquartile range] for continuous data, as appropriate. Abbreviations: CRP, c-reactive protein.</w:t>
            </w:r>
          </w:p>
        </w:tc>
      </w:tr>
    </w:tbl>
    <w:p w14:paraId="03890515" w14:textId="6186EC90" w:rsidR="00135379" w:rsidRDefault="00135379" w:rsidP="00135379">
      <w:pPr>
        <w:spacing w:after="0" w:line="240" w:lineRule="auto"/>
        <w:jc w:val="left"/>
        <w:rPr>
          <w:rFonts w:eastAsia="Calibri" w:cs="Times New Roman"/>
          <w:b/>
          <w:szCs w:val="24"/>
          <w:lang w:val="en-US"/>
        </w:rPr>
      </w:pPr>
    </w:p>
    <w:p w14:paraId="102E47E7" w14:textId="5A89187F" w:rsidR="00812472" w:rsidRDefault="00812472" w:rsidP="00135379">
      <w:pPr>
        <w:spacing w:after="0" w:line="240" w:lineRule="auto"/>
        <w:jc w:val="left"/>
        <w:rPr>
          <w:rFonts w:eastAsia="Calibri" w:cs="Times New Roman"/>
          <w:b/>
          <w:szCs w:val="24"/>
          <w:lang w:val="en-US"/>
        </w:rPr>
      </w:pPr>
    </w:p>
    <w:p w14:paraId="587DA716" w14:textId="677FE6DC" w:rsidR="00812472" w:rsidRDefault="00812472">
      <w:pPr>
        <w:spacing w:after="0" w:line="240" w:lineRule="auto"/>
        <w:jc w:val="left"/>
        <w:rPr>
          <w:rFonts w:eastAsia="Calibri" w:cs="Times New Roman"/>
          <w:b/>
          <w:szCs w:val="24"/>
          <w:lang w:val="en-US"/>
        </w:rPr>
      </w:pPr>
      <w:r>
        <w:rPr>
          <w:rFonts w:eastAsia="Calibri" w:cs="Times New Roman"/>
          <w:b/>
          <w:szCs w:val="24"/>
          <w:lang w:val="en-US"/>
        </w:rPr>
        <w:br w:type="page"/>
      </w:r>
    </w:p>
    <w:tbl>
      <w:tblPr>
        <w:tblW w:w="76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268"/>
        <w:gridCol w:w="1417"/>
      </w:tblGrid>
      <w:tr w:rsidR="00812472" w:rsidRPr="00044301" w14:paraId="67E6FF20" w14:textId="77777777" w:rsidTr="0077748C">
        <w:trPr>
          <w:trHeight w:val="46"/>
          <w:jc w:val="center"/>
        </w:trPr>
        <w:tc>
          <w:tcPr>
            <w:tcW w:w="7655" w:type="dxa"/>
            <w:gridSpan w:val="3"/>
            <w:shd w:val="clear" w:color="auto" w:fill="auto"/>
            <w:noWrap/>
            <w:vAlign w:val="bottom"/>
          </w:tcPr>
          <w:p w14:paraId="274046C0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lastRenderedPageBreak/>
              <w:t xml:space="preserve">Supplemental Table 3. </w:t>
            </w:r>
            <w:r w:rsidRPr="00812472">
              <w:rPr>
                <w:rFonts w:eastAsia="Calibri" w:cs="Times New Roman"/>
                <w:sz w:val="20"/>
                <w:szCs w:val="20"/>
                <w:lang w:val="en-US"/>
              </w:rPr>
              <w:t>Unadjusted hazards ratios of baseline parameters for cardiovascular mortality</w:t>
            </w:r>
          </w:p>
        </w:tc>
      </w:tr>
      <w:tr w:rsidR="00812472" w:rsidRPr="00812472" w14:paraId="118BC9D6" w14:textId="77777777" w:rsidTr="006A4742">
        <w:trPr>
          <w:trHeight w:val="46"/>
          <w:jc w:val="center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D6647D" w14:textId="77777777" w:rsidR="00812472" w:rsidRPr="00812472" w:rsidRDefault="00812472" w:rsidP="0077748C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D9DE88" w14:textId="77777777" w:rsidR="00812472" w:rsidRPr="00812472" w:rsidRDefault="00812472" w:rsidP="0077748C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HR (95% CI)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B3B006B" w14:textId="77777777" w:rsidR="00812472" w:rsidRPr="00812472" w:rsidRDefault="00812472" w:rsidP="0077748C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812472" w:rsidRPr="00812472" w14:paraId="64E850C6" w14:textId="77777777" w:rsidTr="006A4742">
        <w:trPr>
          <w:trHeight w:val="293"/>
          <w:jc w:val="center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DCB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Age [10 years]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82981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1.40 (1.01-1.95)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10D5D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0.047</w:t>
            </w:r>
          </w:p>
        </w:tc>
      </w:tr>
      <w:tr w:rsidR="00812472" w:rsidRPr="00812472" w14:paraId="4119E402" w14:textId="77777777" w:rsidTr="006A4742">
        <w:trPr>
          <w:trHeight w:val="309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3F6FBA8F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Gender [male]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C54D8BD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2.12 (0.71-6.33)</w:t>
            </w:r>
          </w:p>
        </w:tc>
        <w:tc>
          <w:tcPr>
            <w:tcW w:w="1417" w:type="dxa"/>
          </w:tcPr>
          <w:p w14:paraId="1E0BADDE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0.18</w:t>
            </w:r>
          </w:p>
        </w:tc>
      </w:tr>
      <w:tr w:rsidR="00812472" w:rsidRPr="00812472" w14:paraId="63DFEACF" w14:textId="77777777" w:rsidTr="006A4742">
        <w:trPr>
          <w:trHeight w:val="293"/>
          <w:jc w:val="center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E9B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Body mass index [kg/m</w:t>
            </w:r>
            <w:r w:rsidRPr="0081247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AE9B72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1.00 (0.93-1.09)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8E4452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0.96</w:t>
            </w:r>
          </w:p>
        </w:tc>
      </w:tr>
      <w:tr w:rsidR="00812472" w:rsidRPr="00812472" w14:paraId="374C7E9A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203FEC0E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Dialysis vintage [months]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F4F9B4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0.99 (1.00-1.00)</w:t>
            </w:r>
          </w:p>
        </w:tc>
        <w:tc>
          <w:tcPr>
            <w:tcW w:w="1417" w:type="dxa"/>
          </w:tcPr>
          <w:p w14:paraId="3C056DA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0.84</w:t>
            </w:r>
          </w:p>
        </w:tc>
      </w:tr>
      <w:tr w:rsidR="00812472" w:rsidRPr="00812472" w14:paraId="6EA004EB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0CA1B91C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Ultrafiltration rate [ml/h]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3470E8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1.00 (1.00-1.00)</w:t>
            </w:r>
          </w:p>
        </w:tc>
        <w:tc>
          <w:tcPr>
            <w:tcW w:w="1417" w:type="dxa"/>
          </w:tcPr>
          <w:p w14:paraId="480478ED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0.21</w:t>
            </w:r>
          </w:p>
        </w:tc>
      </w:tr>
      <w:tr w:rsidR="00812472" w:rsidRPr="00812472" w14:paraId="0D14BD38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0BE9AFFF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Net ultrafiltration [l]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F119099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0.76 (0.52-1.12)</w:t>
            </w:r>
          </w:p>
        </w:tc>
        <w:tc>
          <w:tcPr>
            <w:tcW w:w="1417" w:type="dxa"/>
          </w:tcPr>
          <w:p w14:paraId="7FE4F19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0.16</w:t>
            </w:r>
          </w:p>
        </w:tc>
      </w:tr>
      <w:tr w:rsidR="00812472" w:rsidRPr="00812472" w14:paraId="0AA04871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6FABC9F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Kt</w:t>
            </w:r>
            <w:proofErr w:type="spellEnd"/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/V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C6FBA2F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0.46 (0.14-1.53)</w:t>
            </w:r>
          </w:p>
        </w:tc>
        <w:tc>
          <w:tcPr>
            <w:tcW w:w="1417" w:type="dxa"/>
          </w:tcPr>
          <w:p w14:paraId="5546726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0.20</w:t>
            </w:r>
          </w:p>
        </w:tc>
      </w:tr>
      <w:tr w:rsidR="00812472" w:rsidRPr="00812472" w14:paraId="54003540" w14:textId="77777777" w:rsidTr="006A4742">
        <w:trPr>
          <w:trHeight w:val="293"/>
          <w:jc w:val="center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DB29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Systolic blood pressure [mmHg]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6F9201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1.01 (0.99-1.03)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410F99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0.59</w:t>
            </w:r>
          </w:p>
        </w:tc>
      </w:tr>
      <w:tr w:rsidR="00812472" w:rsidRPr="00812472" w14:paraId="262B687C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2707BBD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Diastolic blood pressure [mmHg]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EBD9D3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1.01 (0.98-1.04)</w:t>
            </w:r>
          </w:p>
        </w:tc>
        <w:tc>
          <w:tcPr>
            <w:tcW w:w="1417" w:type="dxa"/>
          </w:tcPr>
          <w:p w14:paraId="7B4521B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0.46</w:t>
            </w:r>
          </w:p>
        </w:tc>
      </w:tr>
      <w:tr w:rsidR="00812472" w:rsidRPr="00812472" w14:paraId="4FE9D9DE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6A54326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Heart rate [bpm]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B1DFBE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1.00 (1.00-1.00)</w:t>
            </w:r>
          </w:p>
        </w:tc>
        <w:tc>
          <w:tcPr>
            <w:tcW w:w="1417" w:type="dxa"/>
          </w:tcPr>
          <w:p w14:paraId="08556AA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0.98</w:t>
            </w:r>
          </w:p>
        </w:tc>
      </w:tr>
      <w:tr w:rsidR="00812472" w:rsidRPr="00812472" w14:paraId="449C33A4" w14:textId="77777777" w:rsidTr="006A4742">
        <w:trPr>
          <w:trHeight w:val="293"/>
          <w:jc w:val="center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57F8E2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Blood urea nitrogen [mg/dl]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F3CAC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0.98 (0.95-1.01)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9B6CB2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0.18</w:t>
            </w:r>
          </w:p>
        </w:tc>
      </w:tr>
      <w:tr w:rsidR="00812472" w:rsidRPr="00812472" w14:paraId="32335C20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3775F551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Phosphate [mmol/l]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350FCFE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0.87 (0.34-2.25)</w:t>
            </w:r>
          </w:p>
        </w:tc>
        <w:tc>
          <w:tcPr>
            <w:tcW w:w="1417" w:type="dxa"/>
          </w:tcPr>
          <w:p w14:paraId="15066A9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0.78</w:t>
            </w:r>
          </w:p>
        </w:tc>
      </w:tr>
      <w:tr w:rsidR="00812472" w:rsidRPr="00812472" w14:paraId="2A4C1A01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7761FF7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Total calcium [mmol/l]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592F2F2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10.5 (0.73-149.4)</w:t>
            </w:r>
          </w:p>
        </w:tc>
        <w:tc>
          <w:tcPr>
            <w:tcW w:w="1417" w:type="dxa"/>
          </w:tcPr>
          <w:p w14:paraId="717ED8B2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0.08</w:t>
            </w:r>
          </w:p>
        </w:tc>
      </w:tr>
      <w:tr w:rsidR="00812472" w:rsidRPr="00812472" w14:paraId="6B925DD7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448E5D39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Calcium </w:t>
            </w:r>
            <w:r w:rsidRPr="00812472">
              <w:rPr>
                <w:rFonts w:eastAsia="Times New Roman" w:cs="Times New Roman"/>
                <w:i/>
                <w:color w:val="000000"/>
                <w:sz w:val="20"/>
                <w:szCs w:val="20"/>
                <w:lang w:val="en-GB"/>
              </w:rPr>
              <w:t>x</w:t>
            </w: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phosphate [mmol</w:t>
            </w:r>
            <w:r w:rsidRPr="0081247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/l</w:t>
            </w:r>
            <w:r w:rsidRPr="0081247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49B2AC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1.02 (0.68-1.52)</w:t>
            </w:r>
          </w:p>
        </w:tc>
        <w:tc>
          <w:tcPr>
            <w:tcW w:w="1417" w:type="dxa"/>
          </w:tcPr>
          <w:p w14:paraId="6FC4CA50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0.92</w:t>
            </w:r>
          </w:p>
        </w:tc>
      </w:tr>
      <w:tr w:rsidR="00812472" w:rsidRPr="00812472" w14:paraId="31FEDF18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6926E7D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Creatinine [mg/dl]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498B16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0.87 (0.74-1.02)</w:t>
            </w:r>
          </w:p>
        </w:tc>
        <w:tc>
          <w:tcPr>
            <w:tcW w:w="1417" w:type="dxa"/>
          </w:tcPr>
          <w:p w14:paraId="40DB23F2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0.08</w:t>
            </w:r>
          </w:p>
        </w:tc>
      </w:tr>
      <w:tr w:rsidR="00812472" w:rsidRPr="00812472" w14:paraId="1C4DC030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19C16FF1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High-sensitivity CRP [mg/dl]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CF02A52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1.28 (1.06-1.55)</w:t>
            </w:r>
          </w:p>
        </w:tc>
        <w:tc>
          <w:tcPr>
            <w:tcW w:w="1417" w:type="dxa"/>
          </w:tcPr>
          <w:p w14:paraId="1494675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0.011</w:t>
            </w:r>
          </w:p>
        </w:tc>
      </w:tr>
      <w:tr w:rsidR="00812472" w:rsidRPr="00812472" w14:paraId="5B0129C6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6DD2B8C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Albumin [g/dl]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8073468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0.87 (0.28-2.72)</w:t>
            </w:r>
          </w:p>
        </w:tc>
        <w:tc>
          <w:tcPr>
            <w:tcW w:w="1417" w:type="dxa"/>
          </w:tcPr>
          <w:p w14:paraId="577267B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0.80</w:t>
            </w:r>
          </w:p>
        </w:tc>
      </w:tr>
      <w:tr w:rsidR="00812472" w:rsidRPr="00812472" w14:paraId="47BC2E21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56AC7269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Parathyroid hormone [</w:t>
            </w:r>
            <w:proofErr w:type="spellStart"/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pg</w:t>
            </w:r>
            <w:proofErr w:type="spellEnd"/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/ml]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0AE0C0C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1.00 (1.00-1.00)</w:t>
            </w:r>
          </w:p>
        </w:tc>
        <w:tc>
          <w:tcPr>
            <w:tcW w:w="1417" w:type="dxa"/>
          </w:tcPr>
          <w:p w14:paraId="2011036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0.41</w:t>
            </w:r>
          </w:p>
        </w:tc>
      </w:tr>
      <w:tr w:rsidR="00812472" w:rsidRPr="00812472" w14:paraId="02C6A0BA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19428C2C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Leukocytes [G/l]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90821D8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1.41 (1.17-1.70)</w:t>
            </w:r>
          </w:p>
        </w:tc>
        <w:tc>
          <w:tcPr>
            <w:tcW w:w="1417" w:type="dxa"/>
          </w:tcPr>
          <w:p w14:paraId="3807153D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812472" w:rsidRPr="00812472" w14:paraId="4A5AEF7B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1910B1B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Total cholesterol [mg/dl]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07DE75D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1.00 (0.99-1.01)</w:t>
            </w:r>
          </w:p>
        </w:tc>
        <w:tc>
          <w:tcPr>
            <w:tcW w:w="1417" w:type="dxa"/>
          </w:tcPr>
          <w:p w14:paraId="6921A24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0.67</w:t>
            </w:r>
          </w:p>
        </w:tc>
      </w:tr>
      <w:tr w:rsidR="00BC4BA8" w:rsidRPr="00BC4BA8" w14:paraId="77BDA893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</w:tcPr>
          <w:p w14:paraId="059DD164" w14:textId="6BB0FD1D" w:rsidR="00BC4BA8" w:rsidRPr="00812472" w:rsidRDefault="00BC4BA8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High-density lipoprotein cholesterol [mg/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dl]</w:t>
            </w:r>
            <w:r w:rsidR="002D0E9E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*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2769BAF" w14:textId="03D513DC" w:rsidR="00BC4BA8" w:rsidRPr="00812472" w:rsidRDefault="002D0E9E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1.01 (0.98-1.04)</w:t>
            </w:r>
          </w:p>
        </w:tc>
        <w:tc>
          <w:tcPr>
            <w:tcW w:w="1417" w:type="dxa"/>
          </w:tcPr>
          <w:p w14:paraId="6B3F5570" w14:textId="1DD3E3F7" w:rsidR="00BC4BA8" w:rsidRPr="00812472" w:rsidRDefault="002D0E9E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0.52</w:t>
            </w:r>
          </w:p>
        </w:tc>
      </w:tr>
      <w:tr w:rsidR="00BC4BA8" w:rsidRPr="00BC4BA8" w14:paraId="4E4ACA03" w14:textId="77777777" w:rsidTr="006A4742">
        <w:trPr>
          <w:trHeight w:val="293"/>
          <w:jc w:val="center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F496DF" w14:textId="7FEB421C" w:rsidR="00BC4BA8" w:rsidRPr="00812472" w:rsidRDefault="00BC4BA8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Low-density lipoprotein cholesterol [mg/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dl]</w:t>
            </w:r>
            <w:r w:rsidR="002D0E9E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*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4CD61B" w14:textId="6D60E2F0" w:rsidR="00BC4BA8" w:rsidRPr="00812472" w:rsidRDefault="002D0E9E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1.00 (0.99-1.02)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BEB5A2" w14:textId="1B5E2F92" w:rsidR="00BC4BA8" w:rsidRPr="00812472" w:rsidRDefault="002D0E9E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0.53</w:t>
            </w:r>
          </w:p>
        </w:tc>
      </w:tr>
      <w:tr w:rsidR="00812472" w:rsidRPr="00812472" w14:paraId="0D17A534" w14:textId="77777777" w:rsidTr="006A4742">
        <w:trPr>
          <w:trHeight w:val="293"/>
          <w:jc w:val="center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274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Charlson Comorbidity Index [0-21]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CA010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1.29 (1.15-1.45)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9707EC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812472" w:rsidRPr="00812472" w14:paraId="1D998511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5F2985C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Diabetes mellitus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6FDB42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0.62 (0.26-1.49)</w:t>
            </w:r>
          </w:p>
        </w:tc>
        <w:tc>
          <w:tcPr>
            <w:tcW w:w="1417" w:type="dxa"/>
          </w:tcPr>
          <w:p w14:paraId="5DF510FC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0.28</w:t>
            </w:r>
          </w:p>
        </w:tc>
      </w:tr>
      <w:tr w:rsidR="00812472" w:rsidRPr="00812472" w14:paraId="5A034A20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259297C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History of myocardial infarction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3D53C0F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0.13 (0.06-0.32)</w:t>
            </w:r>
          </w:p>
        </w:tc>
        <w:tc>
          <w:tcPr>
            <w:tcW w:w="1417" w:type="dxa"/>
          </w:tcPr>
          <w:p w14:paraId="266DB69C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812472" w:rsidRPr="00812472" w14:paraId="16EABFCD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4B3F8418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Left ventricular hypertrophy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EBB57B8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2.10 (0.62-7.18)</w:t>
            </w:r>
          </w:p>
        </w:tc>
        <w:tc>
          <w:tcPr>
            <w:tcW w:w="1417" w:type="dxa"/>
          </w:tcPr>
          <w:p w14:paraId="5421273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0.24</w:t>
            </w:r>
          </w:p>
        </w:tc>
      </w:tr>
      <w:tr w:rsidR="00812472" w:rsidRPr="00812472" w14:paraId="39B29DA1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46CCEC3F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Heart failure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E8FFF62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0.33 (0.12-0.90)</w:t>
            </w:r>
          </w:p>
        </w:tc>
        <w:tc>
          <w:tcPr>
            <w:tcW w:w="1417" w:type="dxa"/>
          </w:tcPr>
          <w:p w14:paraId="35452BE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0.030</w:t>
            </w:r>
          </w:p>
        </w:tc>
      </w:tr>
      <w:tr w:rsidR="00812472" w:rsidRPr="00812472" w14:paraId="660B4145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1455F95D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Peripheral artery disease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14C306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0.26 (0.11-0.63)</w:t>
            </w:r>
          </w:p>
        </w:tc>
        <w:tc>
          <w:tcPr>
            <w:tcW w:w="1417" w:type="dxa"/>
          </w:tcPr>
          <w:p w14:paraId="22E92A5F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812472" w:rsidRPr="00812472" w14:paraId="2EE08886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58D3EE3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565F73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0.05 (0.00-122.32)</w:t>
            </w:r>
          </w:p>
        </w:tc>
        <w:tc>
          <w:tcPr>
            <w:tcW w:w="1417" w:type="dxa"/>
          </w:tcPr>
          <w:p w14:paraId="43C9C6E8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0.44</w:t>
            </w:r>
          </w:p>
        </w:tc>
      </w:tr>
      <w:tr w:rsidR="00812472" w:rsidRPr="00812472" w14:paraId="7B41AB29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76E2592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Coronary heart disease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482997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0.21 (0.09-0.53)</w:t>
            </w:r>
          </w:p>
        </w:tc>
        <w:tc>
          <w:tcPr>
            <w:tcW w:w="1417" w:type="dxa"/>
          </w:tcPr>
          <w:p w14:paraId="0146268D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812472" w:rsidRPr="00812472" w14:paraId="52E15595" w14:textId="77777777" w:rsidTr="006A4742">
        <w:trPr>
          <w:trHeight w:val="293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2150501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Cerebral vascular disease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11D3BAE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0.46 (0.17-1.27)</w:t>
            </w:r>
          </w:p>
        </w:tc>
        <w:tc>
          <w:tcPr>
            <w:tcW w:w="1417" w:type="dxa"/>
          </w:tcPr>
          <w:p w14:paraId="798733F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0.14</w:t>
            </w:r>
          </w:p>
        </w:tc>
      </w:tr>
      <w:tr w:rsidR="00812472" w:rsidRPr="00812472" w14:paraId="5AB2364C" w14:textId="77777777" w:rsidTr="006A4742">
        <w:trPr>
          <w:trHeight w:val="293"/>
          <w:jc w:val="center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20A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Smoking [ever]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A7340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0.68 (0.27-1.70)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2403C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0.41</w:t>
            </w:r>
          </w:p>
        </w:tc>
      </w:tr>
      <w:tr w:rsidR="00812472" w:rsidRPr="00812472" w14:paraId="21E4709B" w14:textId="77777777" w:rsidTr="006A4742">
        <w:trPr>
          <w:trHeight w:val="293"/>
          <w:jc w:val="center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DA41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Antihypertensive medication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969E8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0.04 (0.00-19.90)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64C22E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0.31</w:t>
            </w:r>
          </w:p>
        </w:tc>
      </w:tr>
      <w:tr w:rsidR="00812472" w:rsidRPr="00812472" w14:paraId="21EF225B" w14:textId="77777777" w:rsidTr="006A4742">
        <w:trPr>
          <w:trHeight w:val="313"/>
          <w:jc w:val="center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BEF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Statin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6B606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1.77 (0.74-4.25)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5E1241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0.20</w:t>
            </w:r>
          </w:p>
        </w:tc>
      </w:tr>
      <w:tr w:rsidR="00812472" w:rsidRPr="00812472" w14:paraId="6B216BA3" w14:textId="77777777" w:rsidTr="006A4742">
        <w:trPr>
          <w:trHeight w:val="313"/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5AF42" w14:textId="1215DA35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Abbreviations: CI, confidence interval; HR, hazard ratio.</w:t>
            </w:r>
            <w:r w:rsidR="002D0E9E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*Missing values n=60.</w:t>
            </w:r>
          </w:p>
        </w:tc>
      </w:tr>
    </w:tbl>
    <w:p w14:paraId="30C86708" w14:textId="77777777" w:rsidR="00812472" w:rsidRPr="007449DC" w:rsidRDefault="00812472" w:rsidP="00135379">
      <w:pPr>
        <w:spacing w:after="0" w:line="240" w:lineRule="auto"/>
        <w:jc w:val="left"/>
        <w:rPr>
          <w:rFonts w:eastAsia="Calibri" w:cs="Times New Roman"/>
          <w:b/>
          <w:szCs w:val="24"/>
          <w:lang w:val="en-US"/>
        </w:rPr>
      </w:pPr>
    </w:p>
    <w:p w14:paraId="3A94B618" w14:textId="7C2B455F" w:rsidR="00135379" w:rsidRDefault="00135379" w:rsidP="00135379">
      <w:pPr>
        <w:spacing w:after="0" w:line="240" w:lineRule="auto"/>
        <w:jc w:val="left"/>
        <w:rPr>
          <w:rFonts w:eastAsia="Calibri" w:cs="Times New Roman"/>
          <w:szCs w:val="24"/>
          <w:lang w:val="en-US"/>
        </w:rPr>
      </w:pPr>
    </w:p>
    <w:p w14:paraId="2DAADE6E" w14:textId="77777777" w:rsidR="00812472" w:rsidRDefault="00812472" w:rsidP="00812472">
      <w:pPr>
        <w:jc w:val="left"/>
        <w:rPr>
          <w:lang w:val="en-US"/>
        </w:rPr>
        <w:sectPr w:rsidR="00812472" w:rsidSect="001640A2">
          <w:footerReference w:type="even" r:id="rId6"/>
          <w:footerReference w:type="default" r:id="rId7"/>
          <w:pgSz w:w="11905" w:h="16837"/>
          <w:pgMar w:top="1417" w:right="1417" w:bottom="1134" w:left="1417" w:header="708" w:footer="708" w:gutter="0"/>
          <w:cols w:space="708"/>
          <w:docGrid w:linePitch="360"/>
        </w:sectPr>
      </w:pPr>
      <w:r>
        <w:rPr>
          <w:lang w:val="en-US"/>
        </w:rPr>
        <w:br w:type="page"/>
      </w:r>
    </w:p>
    <w:tbl>
      <w:tblPr>
        <w:tblW w:w="16160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1559"/>
        <w:gridCol w:w="567"/>
        <w:gridCol w:w="1559"/>
        <w:gridCol w:w="567"/>
        <w:gridCol w:w="1559"/>
        <w:gridCol w:w="709"/>
        <w:gridCol w:w="1559"/>
        <w:gridCol w:w="567"/>
        <w:gridCol w:w="1560"/>
        <w:gridCol w:w="567"/>
        <w:gridCol w:w="1559"/>
        <w:gridCol w:w="567"/>
      </w:tblGrid>
      <w:tr w:rsidR="00812472" w:rsidRPr="00044301" w14:paraId="3C1F6F9E" w14:textId="77777777" w:rsidTr="002D0E9E">
        <w:trPr>
          <w:trHeight w:val="320"/>
        </w:trPr>
        <w:tc>
          <w:tcPr>
            <w:tcW w:w="161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3E54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Calibri" w:cs="Times New Roman"/>
                <w:b/>
                <w:sz w:val="18"/>
                <w:szCs w:val="18"/>
                <w:lang w:val="en-GB"/>
              </w:rPr>
            </w:pPr>
            <w:r w:rsidRPr="00812472">
              <w:rPr>
                <w:rFonts w:eastAsia="Calibri" w:cs="Times New Roman"/>
                <w:b/>
                <w:sz w:val="18"/>
                <w:szCs w:val="18"/>
                <w:lang w:val="en-GB"/>
              </w:rPr>
              <w:lastRenderedPageBreak/>
              <w:t>Supplemental Table 4.</w:t>
            </w:r>
            <w:r w:rsidRPr="00812472">
              <w:rPr>
                <w:rFonts w:eastAsia="Calibri" w:cs="Times New Roman"/>
                <w:sz w:val="18"/>
                <w:szCs w:val="18"/>
                <w:lang w:val="en-GB"/>
              </w:rPr>
              <w:t xml:space="preserve"> Explorative analysis of risk variables with cardiovascular mortality</w:t>
            </w:r>
          </w:p>
        </w:tc>
      </w:tr>
      <w:tr w:rsidR="00812472" w:rsidRPr="00812472" w14:paraId="25EBBCB2" w14:textId="77777777" w:rsidTr="002D0E9E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09DB4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Variable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6606" w14:textId="77777777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Unit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A3C" w14:textId="30680A5B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Exploratory </w:t>
            </w:r>
            <w:r w:rsidR="00B232F8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M</w:t>
            </w: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odel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89A2" w14:textId="22621EC0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Exploratory </w:t>
            </w:r>
            <w:r w:rsidR="00B232F8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M</w:t>
            </w: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odel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CCD0" w14:textId="29426F7D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Exploratory </w:t>
            </w:r>
            <w:r w:rsidR="00B232F8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M</w:t>
            </w: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odel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43D333E9" w14:textId="7E3E481B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Exploratory </w:t>
            </w:r>
            <w:r w:rsidR="00B232F8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M</w:t>
            </w: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odel 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187B3E26" w14:textId="36613ECD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Exploratory </w:t>
            </w:r>
            <w:r w:rsidR="00B232F8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M</w:t>
            </w: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odel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4B0BFCBD" w14:textId="4BB31637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Exploratory </w:t>
            </w:r>
            <w:r w:rsidR="00B232F8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M</w:t>
            </w: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odel 10</w:t>
            </w:r>
          </w:p>
        </w:tc>
      </w:tr>
      <w:tr w:rsidR="00812472" w:rsidRPr="00812472" w14:paraId="12884C95" w14:textId="77777777" w:rsidTr="002D0E9E">
        <w:trPr>
          <w:trHeight w:val="320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5FB2D0EE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A061340" w14:textId="77777777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617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HR (95% CI)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8BDD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  <w:t>P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64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HR (95% CI)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156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  <w:t>P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A399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HR (95% CI)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119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  <w:t>P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D5825CC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/>
              </w:rPr>
              <w:t>HR (95% CI)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9AEEFAE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  <w:t>P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72DC79E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/>
              </w:rPr>
              <w:t>HR (95% CI)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24FD75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  <w:t>P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C04B70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val="en-GB"/>
              </w:rPr>
              <w:t>HR (95% CI)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BEEC85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en-GB"/>
              </w:rPr>
              <w:t>P</w:t>
            </w:r>
          </w:p>
        </w:tc>
      </w:tr>
      <w:tr w:rsidR="00812472" w:rsidRPr="00812472" w14:paraId="36FF7C66" w14:textId="77777777" w:rsidTr="002D0E9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EEB298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Age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46291E" w14:textId="77777777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10 year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A42AB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1.07 (0.73-1.57)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072E2E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0.74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837F0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1.17 (0.79-1.74)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5AD84C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CC114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1.13 (0.76-1.70)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BBF86BE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0.55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DA0F879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1.05 (0.71-1.54)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368FE71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0.82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4DF60FA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1.07 (0.73-1.58)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3C2D13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0.72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3E0B4CD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1.04 (0.70-1.55)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E84C828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0.85</w:t>
            </w:r>
          </w:p>
        </w:tc>
      </w:tr>
      <w:tr w:rsidR="00812472" w:rsidRPr="00812472" w14:paraId="19886CA0" w14:textId="77777777" w:rsidTr="002D0E9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254350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High-sensitivity CRP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838E41" w14:textId="77777777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 mg/dl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8F55AB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1.23 (1.00-1.51)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A5D5B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0.046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042F3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93F5C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648678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B85B2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8E522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F220E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E4C7A8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CC696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F4411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7159A1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</w:tr>
      <w:tr w:rsidR="00812472" w:rsidRPr="00812472" w14:paraId="6BFE4D85" w14:textId="77777777" w:rsidTr="002D0E9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1BC08A0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Leukocytes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A39514" w14:textId="77777777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 G/l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9AE78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B0CF8D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E174630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1.46 (1.17-1.81)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EC83D8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8AB83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CA833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183E9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2581C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F0197D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0EAFB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78017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DDAB3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</w:tr>
      <w:tr w:rsidR="00812472" w:rsidRPr="00812472" w14:paraId="0C205B46" w14:textId="77777777" w:rsidTr="002D0E9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F0E0EE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History of myocardial infarction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F1B671" w14:textId="77777777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present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F0FEC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6B813F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E4A1D02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47CEBC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D2E98C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6.79 (2.77-16.65)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B56853D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4245C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7BF49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62B35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864920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7B01F8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B63BC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</w:tr>
      <w:tr w:rsidR="00812472" w:rsidRPr="00812472" w14:paraId="7BBF2111" w14:textId="77777777" w:rsidTr="002D0E9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5A4A52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Heart failure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E206FA" w14:textId="77777777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present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3280D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854751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0DC36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0DD2C8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5C1B5F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892E7C0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6D17B3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2.26 (0.82-6.25)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714F0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0.12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EF20CD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E3AEF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BCBE5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DE9321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</w:tr>
      <w:tr w:rsidR="00812472" w:rsidRPr="00812472" w14:paraId="52243EE3" w14:textId="77777777" w:rsidTr="002D0E9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647F5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Peripheral artery diseases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075F151" w14:textId="77777777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present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7B779A1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4C2011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1B07C8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A681E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D2C84C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15AE0B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66C2699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E118C0D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36D21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2.37 (0.94-5.96)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25E669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053D3C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50B00A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</w:tr>
      <w:tr w:rsidR="00812472" w:rsidRPr="00812472" w14:paraId="7CCFAD2F" w14:textId="77777777" w:rsidTr="002D0E9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8D63D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Coronary artery disease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3C96C8" w14:textId="77777777" w:rsidR="00812472" w:rsidRPr="00812472" w:rsidRDefault="00812472" w:rsidP="0081247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present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7168C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CD3FFC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31C680A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CFF1A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B77032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C043A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EF8999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7E9410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030FB8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7EBA8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C64E6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3.57 (1.42-8.98)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BA36A8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0.007</w:t>
            </w:r>
          </w:p>
        </w:tc>
      </w:tr>
      <w:tr w:rsidR="00812472" w:rsidRPr="00812472" w14:paraId="7E7AC137" w14:textId="77777777" w:rsidTr="002D0E9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3E25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HRT category 1 vs 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7E8CE7" w14:textId="77777777" w:rsidR="00812472" w:rsidRPr="00812472" w:rsidRDefault="00812472" w:rsidP="00812472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4F0525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7.57 (1.51-37.96)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936D9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E0AE45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8.58 (1.68-43.75)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8A7A89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58BC22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5.75 (1.19-27.87)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A3E040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DEFD2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7.48 (1.48-37.75)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A26510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0BCA83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7.46 (1.51-36.95)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64EA2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7840A6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6.96 (1.14-34.05)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54EFA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0.017</w:t>
            </w:r>
          </w:p>
        </w:tc>
      </w:tr>
      <w:tr w:rsidR="00812472" w:rsidRPr="00812472" w14:paraId="596FD55F" w14:textId="77777777" w:rsidTr="002D0E9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5C3B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HRT category 2 vs 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2A04" w14:textId="77777777" w:rsidR="00812472" w:rsidRPr="00812472" w:rsidRDefault="00812472" w:rsidP="00812472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86821F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16.98 (3.44-83.75)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3A883F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89C070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13.06 (2.65-64.46)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A8639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00E4E8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16.01 (3.31-77.49)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5A5E58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1E2031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17.04 (3.41-85.17)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69CD71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9F3F8AD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13.56 (2.70-68.06)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F97F097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2F5D8B4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15.23 (3.13-74.20)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C873102" w14:textId="77777777" w:rsidR="00812472" w:rsidRPr="00812472" w:rsidRDefault="00812472" w:rsidP="00812472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0.001</w:t>
            </w:r>
          </w:p>
        </w:tc>
      </w:tr>
      <w:tr w:rsidR="00812472" w:rsidRPr="00044301" w14:paraId="2E559D15" w14:textId="77777777" w:rsidTr="002D0E9E">
        <w:trPr>
          <w:trHeight w:val="315"/>
        </w:trPr>
        <w:tc>
          <w:tcPr>
            <w:tcW w:w="16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97E78" w14:textId="77777777" w:rsidR="00812472" w:rsidRPr="00812472" w:rsidRDefault="00812472" w:rsidP="00812472">
            <w:pPr>
              <w:spacing w:after="0" w:line="36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81247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Additional exploratory models were built if a variable was predictive for cardiovascular mortality in univariate analysis. </w:t>
            </w:r>
          </w:p>
        </w:tc>
      </w:tr>
    </w:tbl>
    <w:p w14:paraId="231142C7" w14:textId="2932AB08" w:rsidR="00812472" w:rsidRDefault="00812472" w:rsidP="00135379">
      <w:pPr>
        <w:spacing w:after="0" w:line="240" w:lineRule="auto"/>
        <w:jc w:val="left"/>
        <w:rPr>
          <w:rFonts w:eastAsia="Calibri" w:cs="Times New Roman"/>
          <w:szCs w:val="24"/>
          <w:lang w:val="en-US"/>
        </w:rPr>
      </w:pPr>
    </w:p>
    <w:p w14:paraId="17D8174B" w14:textId="5802535D" w:rsidR="00812472" w:rsidRDefault="00812472" w:rsidP="00135379">
      <w:pPr>
        <w:spacing w:after="0" w:line="240" w:lineRule="auto"/>
        <w:jc w:val="left"/>
        <w:rPr>
          <w:rFonts w:eastAsia="Calibri" w:cs="Times New Roman"/>
          <w:szCs w:val="24"/>
          <w:lang w:val="en-US"/>
        </w:rPr>
      </w:pPr>
    </w:p>
    <w:p w14:paraId="6C44FCAF" w14:textId="2D9EC6FA" w:rsidR="00812472" w:rsidRDefault="00812472" w:rsidP="00135379">
      <w:pPr>
        <w:spacing w:after="0" w:line="240" w:lineRule="auto"/>
        <w:jc w:val="left"/>
        <w:rPr>
          <w:rFonts w:eastAsia="Calibri" w:cs="Times New Roman"/>
          <w:szCs w:val="24"/>
          <w:lang w:val="en-US"/>
        </w:rPr>
      </w:pPr>
    </w:p>
    <w:p w14:paraId="36643F3E" w14:textId="77777777" w:rsidR="00812472" w:rsidRDefault="00812472" w:rsidP="00812472">
      <w:pPr>
        <w:rPr>
          <w:lang w:val="en-US"/>
        </w:rPr>
      </w:pPr>
    </w:p>
    <w:p w14:paraId="3EDAFD9F" w14:textId="77777777" w:rsidR="00812472" w:rsidRDefault="00812472" w:rsidP="00812472">
      <w:pPr>
        <w:rPr>
          <w:lang w:val="en-US"/>
        </w:rPr>
        <w:sectPr w:rsidR="00812472" w:rsidSect="002D0E9E">
          <w:pgSz w:w="1682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97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333"/>
        <w:gridCol w:w="1134"/>
        <w:gridCol w:w="2268"/>
        <w:gridCol w:w="1417"/>
      </w:tblGrid>
      <w:tr w:rsidR="00B92E8F" w:rsidRPr="00044301" w14:paraId="7A090948" w14:textId="77777777" w:rsidTr="0077748C">
        <w:trPr>
          <w:trHeight w:val="567"/>
          <w:jc w:val="center"/>
        </w:trPr>
        <w:tc>
          <w:tcPr>
            <w:tcW w:w="970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6C3A65" w14:textId="6A9C6048" w:rsidR="00B92E8F" w:rsidRPr="00DA4A5F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GB"/>
              </w:rPr>
              <w:lastRenderedPageBreak/>
              <w:t xml:space="preserve">Supplemental </w:t>
            </w:r>
            <w:r w:rsidRPr="00DA4A5F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Table </w:t>
            </w:r>
            <w:r>
              <w:rPr>
                <w:rFonts w:eastAsia="Calibri" w:cs="Times New Roman"/>
                <w:b/>
                <w:sz w:val="20"/>
                <w:szCs w:val="20"/>
                <w:lang w:val="en-GB"/>
              </w:rPr>
              <w:t>5</w:t>
            </w:r>
            <w:r w:rsidRPr="00DA4A5F">
              <w:rPr>
                <w:rFonts w:eastAsia="Calibri" w:cs="Times New Roman"/>
                <w:b/>
                <w:sz w:val="20"/>
                <w:szCs w:val="20"/>
                <w:lang w:val="en-GB"/>
              </w:rPr>
              <w:t>.</w:t>
            </w:r>
            <w:r w:rsidRPr="00DA4A5F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en-GB"/>
              </w:rPr>
              <w:t>Exploratory a</w:t>
            </w:r>
            <w:r w:rsidRPr="00DA4A5F">
              <w:rPr>
                <w:rFonts w:eastAsia="Calibri" w:cs="Times New Roman"/>
                <w:sz w:val="20"/>
                <w:szCs w:val="20"/>
                <w:lang w:val="en-GB"/>
              </w:rPr>
              <w:t xml:space="preserve">ssociation of </w:t>
            </w:r>
            <w:r>
              <w:rPr>
                <w:rFonts w:eastAsia="Calibri" w:cs="Times New Roman"/>
                <w:sz w:val="20"/>
                <w:szCs w:val="20"/>
                <w:lang w:val="en-GB"/>
              </w:rPr>
              <w:t>HRT</w:t>
            </w:r>
            <w:r w:rsidRPr="00DA4A5F">
              <w:rPr>
                <w:rFonts w:eastAsia="Calibri" w:cs="Times New Roman"/>
                <w:sz w:val="20"/>
                <w:szCs w:val="20"/>
                <w:lang w:val="en-GB"/>
              </w:rPr>
              <w:t xml:space="preserve"> with </w:t>
            </w:r>
            <w:r>
              <w:rPr>
                <w:rFonts w:eastAsia="Calibri" w:cs="Times New Roman"/>
                <w:sz w:val="20"/>
                <w:szCs w:val="20"/>
                <w:lang w:val="en-GB"/>
              </w:rPr>
              <w:t>cardiovascular</w:t>
            </w:r>
            <w:r w:rsidRPr="00DA4A5F">
              <w:rPr>
                <w:rFonts w:eastAsia="Calibri" w:cs="Times New Roman"/>
                <w:sz w:val="20"/>
                <w:szCs w:val="20"/>
                <w:lang w:val="en-GB"/>
              </w:rPr>
              <w:t xml:space="preserve"> mortality</w:t>
            </w:r>
          </w:p>
        </w:tc>
      </w:tr>
      <w:tr w:rsidR="00B92E8F" w:rsidRPr="00DA4A5F" w14:paraId="6B96FFE6" w14:textId="77777777" w:rsidTr="0077748C">
        <w:trPr>
          <w:trHeight w:val="340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B61221" w14:textId="77777777" w:rsidR="00B92E8F" w:rsidRPr="00DA4A5F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694F" w14:textId="77777777" w:rsidR="00B92E8F" w:rsidRPr="00DA4A5F" w:rsidRDefault="00B92E8F" w:rsidP="0077748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Adjusted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M</w:t>
            </w: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odel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3*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D610" w14:textId="77777777" w:rsidR="00B92E8F" w:rsidRPr="00DA4A5F" w:rsidRDefault="00B92E8F" w:rsidP="0077748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Adjusted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M</w:t>
            </w: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odel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4*</w:t>
            </w:r>
          </w:p>
        </w:tc>
      </w:tr>
      <w:tr w:rsidR="00B92E8F" w:rsidRPr="00DA4A5F" w14:paraId="23DB0231" w14:textId="77777777" w:rsidTr="0077748C">
        <w:trPr>
          <w:trHeight w:val="157"/>
          <w:jc w:val="center"/>
        </w:trPr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1AE3FD76" w14:textId="77777777" w:rsidR="00B92E8F" w:rsidRPr="00DA4A5F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68B7" w14:textId="77777777" w:rsidR="00B92E8F" w:rsidRPr="00DA4A5F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HR 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0DF2" w14:textId="77777777" w:rsidR="00B92E8F" w:rsidRPr="00DA4A5F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D21C" w14:textId="77777777" w:rsidR="00B92E8F" w:rsidRPr="00DA4A5F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HR (95% CI)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43CE" w14:textId="77777777" w:rsidR="00B92E8F" w:rsidRPr="00DA4A5F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B92E8F" w:rsidRPr="00DA4A5F" w14:paraId="1F3E0457" w14:textId="77777777" w:rsidTr="0077748C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EFC8CD" w14:textId="77777777" w:rsidR="00B92E8F" w:rsidRPr="00DA4A5F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HRT category 1 vs 0</w:t>
            </w:r>
          </w:p>
        </w:tc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F72063" w14:textId="77777777" w:rsidR="00B92E8F" w:rsidRPr="00DA4A5F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7.76 (1.53-39.22)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A24D7B" w14:textId="77777777" w:rsidR="00B92E8F" w:rsidRPr="00DA4A5F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0.013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834784" w14:textId="77777777" w:rsidR="00B92E8F" w:rsidRPr="00BA7218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6.86 </w:t>
            </w:r>
            <w:r w:rsidRPr="00BA721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1.37</w:t>
            </w:r>
            <w:r w:rsidRPr="00BA721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34.36</w:t>
            </w:r>
            <w:r w:rsidRPr="00BA721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5B7902" w14:textId="77777777" w:rsidR="00B92E8F" w:rsidRPr="00BA7218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0.019</w:t>
            </w:r>
          </w:p>
        </w:tc>
      </w:tr>
      <w:tr w:rsidR="00B92E8F" w:rsidRPr="00DA4A5F" w14:paraId="0280B979" w14:textId="77777777" w:rsidTr="0077748C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4371" w14:textId="77777777" w:rsidR="00B92E8F" w:rsidRPr="00DA4A5F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HRT category 2 vs 0</w:t>
            </w:r>
          </w:p>
        </w:tc>
        <w:tc>
          <w:tcPr>
            <w:tcW w:w="23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049E" w14:textId="77777777" w:rsidR="00B92E8F" w:rsidRPr="00DA4A5F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17.49 (3.49-87.51)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EE92" w14:textId="77777777" w:rsidR="00B92E8F" w:rsidRPr="00DA4A5F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5AB0" w14:textId="77777777" w:rsidR="00B92E8F" w:rsidRPr="00BA7218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11.41</w:t>
            </w:r>
            <w:r w:rsidRPr="00BA721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2.19-59.58</w:t>
            </w:r>
            <w:r w:rsidRPr="00BA7218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F152" w14:textId="77777777" w:rsidR="00B92E8F" w:rsidRPr="00BA7218" w:rsidRDefault="00B92E8F" w:rsidP="0077748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</w:tr>
      <w:tr w:rsidR="00B92E8F" w:rsidRPr="00044301" w14:paraId="3C378973" w14:textId="77777777" w:rsidTr="0077748C">
        <w:trPr>
          <w:trHeight w:val="300"/>
          <w:jc w:val="center"/>
        </w:trPr>
        <w:tc>
          <w:tcPr>
            <w:tcW w:w="970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F5812E7" w14:textId="77777777" w:rsidR="00B92E8F" w:rsidRDefault="00B92E8F" w:rsidP="0077748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*Note: </w:t>
            </w:r>
            <w:r w:rsidRPr="00676796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Due to the presence of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5 and </w:t>
            </w:r>
            <w:r w:rsidRPr="00676796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 variables in relation the 20 cardiovascular mortality events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in adjusted Model 3 and 4, respectively, </w:t>
            </w:r>
            <w:r w:rsidRPr="00676796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this model could potentially be overfitted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</w:t>
            </w:r>
          </w:p>
          <w:p w14:paraId="10D9E763" w14:textId="77777777" w:rsidR="00B92E8F" w:rsidRDefault="00B92E8F" w:rsidP="0077748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Adjusted Model 3: Age, albumin, high-sensitivity CRP, calcium </w:t>
            </w:r>
            <w:r w:rsidRPr="00676796">
              <w:rPr>
                <w:rFonts w:eastAsia="Times New Roman" w:cs="Times New Roman"/>
                <w:i/>
                <w:color w:val="000000"/>
                <w:sz w:val="20"/>
                <w:szCs w:val="20"/>
                <w:lang w:val="en-GB"/>
              </w:rPr>
              <w:t>x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phosphate, HRT.</w:t>
            </w:r>
          </w:p>
          <w:p w14:paraId="128E85AD" w14:textId="77777777" w:rsidR="00B92E8F" w:rsidRDefault="00B92E8F" w:rsidP="0077748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Adjusted Model 4: Age, albumin, high-sensitivity CRP, calcium </w:t>
            </w:r>
            <w:r w:rsidRPr="00676796">
              <w:rPr>
                <w:rFonts w:eastAsia="Times New Roman" w:cs="Times New Roman"/>
                <w:i/>
                <w:color w:val="000000"/>
                <w:sz w:val="20"/>
                <w:szCs w:val="20"/>
                <w:lang w:val="en-GB"/>
              </w:rPr>
              <w:t>x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phosphate, Charlson Comorbidity Index, HRT.</w:t>
            </w:r>
          </w:p>
          <w:p w14:paraId="00AB06FB" w14:textId="77777777" w:rsidR="00B92E8F" w:rsidRPr="00BA7218" w:rsidRDefault="00B92E8F" w:rsidP="0077748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Abbreviations: CI, confidence interval;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HR, hazard ratio; </w:t>
            </w:r>
            <w:r w:rsidRPr="00DA4A5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HRT, heart rate turbulence.</w:t>
            </w:r>
          </w:p>
        </w:tc>
      </w:tr>
    </w:tbl>
    <w:p w14:paraId="31009830" w14:textId="2FE4A44C" w:rsidR="002315F6" w:rsidRDefault="002315F6">
      <w:pPr>
        <w:spacing w:after="0" w:line="240" w:lineRule="auto"/>
        <w:jc w:val="left"/>
        <w:rPr>
          <w:b/>
          <w:lang w:val="en-US"/>
        </w:rPr>
      </w:pPr>
    </w:p>
    <w:p w14:paraId="717FBB0B" w14:textId="553783F9" w:rsidR="00B92E8F" w:rsidRDefault="00B92E8F">
      <w:pPr>
        <w:spacing w:after="0" w:line="240" w:lineRule="auto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pPr w:leftFromText="180" w:rightFromText="180" w:vertAnchor="text" w:horzAnchor="margin" w:tblpXSpec="center" w:tblpY="-57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1840"/>
        <w:gridCol w:w="709"/>
        <w:gridCol w:w="1845"/>
        <w:gridCol w:w="709"/>
        <w:gridCol w:w="1843"/>
        <w:gridCol w:w="709"/>
      </w:tblGrid>
      <w:tr w:rsidR="000C3EE8" w:rsidRPr="00044301" w14:paraId="59E0EEE2" w14:textId="77777777" w:rsidTr="00044301">
        <w:trPr>
          <w:trHeight w:val="276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55880" w14:textId="2997FB62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lastRenderedPageBreak/>
              <w:t xml:space="preserve">Supplemental </w:t>
            </w:r>
            <w:r w:rsidRPr="000C3EE8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Table </w:t>
            </w: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6</w:t>
            </w:r>
            <w:r w:rsidRPr="000C3EE8">
              <w:rPr>
                <w:rFonts w:eastAsia="Calibri" w:cs="Times New Roman"/>
                <w:b/>
                <w:sz w:val="20"/>
                <w:szCs w:val="20"/>
                <w:lang w:val="en-US"/>
              </w:rPr>
              <w:t>.</w:t>
            </w:r>
            <w:r w:rsidRPr="000C3EE8">
              <w:rPr>
                <w:rFonts w:eastAsia="Calibri" w:cs="Times New Roman"/>
                <w:sz w:val="20"/>
                <w:szCs w:val="20"/>
                <w:lang w:val="en-US"/>
              </w:rPr>
              <w:t xml:space="preserve"> Unadjusted and adjusted hazards ratios of 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 xml:space="preserve">ln transformed frequency-domain heart rate variability </w:t>
            </w:r>
            <w:r w:rsidR="009C2FA9">
              <w:rPr>
                <w:rFonts w:eastAsia="Calibri" w:cs="Times New Roman"/>
                <w:sz w:val="20"/>
                <w:szCs w:val="20"/>
                <w:lang w:val="en-US"/>
              </w:rPr>
              <w:t>measures</w:t>
            </w:r>
            <w:r w:rsidR="009C2FA9" w:rsidRPr="000C3EE8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0C3EE8">
              <w:rPr>
                <w:rFonts w:eastAsia="Calibri" w:cs="Times New Roman"/>
                <w:sz w:val="20"/>
                <w:szCs w:val="20"/>
                <w:lang w:val="en-US"/>
              </w:rPr>
              <w:t>for cardiovascular mortality</w:t>
            </w:r>
          </w:p>
        </w:tc>
      </w:tr>
      <w:tr w:rsidR="000C3EE8" w:rsidRPr="000C3EE8" w14:paraId="1CB892D4" w14:textId="77777777" w:rsidTr="00044301">
        <w:trPr>
          <w:trHeight w:val="276"/>
        </w:trPr>
        <w:tc>
          <w:tcPr>
            <w:tcW w:w="1006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3927CC" w14:textId="77777777" w:rsidR="000C3EE8" w:rsidRPr="000C3EE8" w:rsidRDefault="000C3EE8" w:rsidP="000C3EE8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Cardiovascular mortality risk</w:t>
            </w:r>
          </w:p>
        </w:tc>
      </w:tr>
      <w:tr w:rsidR="000C3EE8" w:rsidRPr="000C3EE8" w14:paraId="19E18DE4" w14:textId="77777777" w:rsidTr="00CB39E4">
        <w:trPr>
          <w:trHeight w:val="276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A10F" w14:textId="77777777" w:rsidR="000C3EE8" w:rsidRPr="000C3EE8" w:rsidRDefault="000C3EE8" w:rsidP="000C3EE8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B8AE" w14:textId="77777777" w:rsidR="000C3EE8" w:rsidRPr="000C3EE8" w:rsidRDefault="000C3EE8" w:rsidP="000C3EE8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Unit</w:t>
            </w:r>
          </w:p>
        </w:tc>
        <w:tc>
          <w:tcPr>
            <w:tcW w:w="2549" w:type="dxa"/>
            <w:gridSpan w:val="2"/>
            <w:shd w:val="clear" w:color="auto" w:fill="auto"/>
            <w:noWrap/>
            <w:vAlign w:val="bottom"/>
            <w:hideMark/>
          </w:tcPr>
          <w:p w14:paraId="3499CB58" w14:textId="77777777" w:rsidR="000C3EE8" w:rsidRPr="000C3EE8" w:rsidRDefault="000C3EE8" w:rsidP="000C3EE8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Univariate</w:t>
            </w:r>
          </w:p>
        </w:tc>
        <w:tc>
          <w:tcPr>
            <w:tcW w:w="2554" w:type="dxa"/>
            <w:gridSpan w:val="2"/>
            <w:shd w:val="clear" w:color="auto" w:fill="auto"/>
            <w:noWrap/>
            <w:vAlign w:val="bottom"/>
            <w:hideMark/>
          </w:tcPr>
          <w:p w14:paraId="0B1ACA89" w14:textId="77777777" w:rsidR="000C3EE8" w:rsidRPr="000C3EE8" w:rsidRDefault="000C3EE8" w:rsidP="000C3EE8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Adjusted Model 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14:paraId="1DD89BE6" w14:textId="77777777" w:rsidR="000C3EE8" w:rsidRPr="000C3EE8" w:rsidRDefault="000C3EE8" w:rsidP="000C3EE8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Adjusted Model 2</w:t>
            </w:r>
          </w:p>
        </w:tc>
      </w:tr>
      <w:tr w:rsidR="000C3EE8" w:rsidRPr="000C3EE8" w14:paraId="1B1A17C9" w14:textId="77777777" w:rsidTr="00CB39E4">
        <w:trPr>
          <w:trHeight w:val="276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0D144E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D0E22D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E3A3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HR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D7D4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C445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HR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642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A7A1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HR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8110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0C3EE8" w:rsidRPr="000C3EE8" w14:paraId="2AA55869" w14:textId="77777777" w:rsidTr="00CB39E4">
        <w:trPr>
          <w:trHeight w:val="256"/>
        </w:trPr>
        <w:tc>
          <w:tcPr>
            <w:tcW w:w="1560" w:type="dxa"/>
            <w:shd w:val="clear" w:color="auto" w:fill="auto"/>
            <w:noWrap/>
            <w:vAlign w:val="bottom"/>
          </w:tcPr>
          <w:p w14:paraId="05F65861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Total Power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A9261A" w14:textId="5B17C41F" w:rsidR="000C3EE8" w:rsidRPr="000C3EE8" w:rsidRDefault="000C3EE8" w:rsidP="000C3EE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ln(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32279B5F" w14:textId="7D0C5514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0.67 (0.35-1.30)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8062E1" w14:textId="61628BDA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14:paraId="3C5E23A3" w14:textId="70646E0B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0.72 (0.36-1.42)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89EC26" w14:textId="1D42B792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352FAC" w14:textId="0E856C6B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0.95 (0.49-1.85)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728001" w14:textId="3E466CC0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0.89</w:t>
            </w:r>
          </w:p>
        </w:tc>
      </w:tr>
      <w:tr w:rsidR="000C3EE8" w:rsidRPr="000C3EE8" w14:paraId="40D54B02" w14:textId="77777777" w:rsidTr="00CB39E4">
        <w:trPr>
          <w:trHeight w:val="256"/>
        </w:trPr>
        <w:tc>
          <w:tcPr>
            <w:tcW w:w="1560" w:type="dxa"/>
            <w:shd w:val="clear" w:color="auto" w:fill="auto"/>
            <w:noWrap/>
            <w:vAlign w:val="bottom"/>
          </w:tcPr>
          <w:p w14:paraId="243D8A9D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ULF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FB7409" w14:textId="42E4B48F" w:rsidR="000C3EE8" w:rsidRPr="000C3EE8" w:rsidRDefault="002B7558" w:rsidP="000C3EE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ln(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349F76A8" w14:textId="7A7D68EB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0.68 (0.36-1.28)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97C865" w14:textId="209E23FE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14:paraId="2DEFC1D4" w14:textId="5924821B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0.74 (0.39-1.40)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BB483" w14:textId="6BA36B0E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8DEE8" w14:textId="51500499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0.95 (0.51-1.78)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0C3189" w14:textId="12A5D9AA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0.87</w:t>
            </w:r>
          </w:p>
        </w:tc>
      </w:tr>
      <w:tr w:rsidR="000C3EE8" w:rsidRPr="000C3EE8" w14:paraId="544AF4B7" w14:textId="77777777" w:rsidTr="00CB39E4">
        <w:trPr>
          <w:trHeight w:val="256"/>
        </w:trPr>
        <w:tc>
          <w:tcPr>
            <w:tcW w:w="1560" w:type="dxa"/>
            <w:shd w:val="clear" w:color="auto" w:fill="auto"/>
            <w:noWrap/>
            <w:vAlign w:val="bottom"/>
          </w:tcPr>
          <w:p w14:paraId="51AB577A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VLF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47D5A9" w14:textId="6D18D8A1" w:rsidR="000C3EE8" w:rsidRPr="000C3EE8" w:rsidRDefault="002B7558" w:rsidP="000C3EE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ln(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1FDC9547" w14:textId="014EFBAA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0.70 (0.41-1.20)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57994F" w14:textId="17855D8B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14:paraId="77A167B4" w14:textId="7472F7D7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0.75 (0.43-1.29)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1455E9" w14:textId="7AAE7DA8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308650" w14:textId="5C92DA10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0.92 (0.52-1.62)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9D8D85" w14:textId="56F0D473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0.78</w:t>
            </w:r>
          </w:p>
        </w:tc>
      </w:tr>
      <w:tr w:rsidR="000C3EE8" w:rsidRPr="000C3EE8" w14:paraId="5FE58F2E" w14:textId="77777777" w:rsidTr="00CB39E4">
        <w:trPr>
          <w:trHeight w:val="256"/>
        </w:trPr>
        <w:tc>
          <w:tcPr>
            <w:tcW w:w="1560" w:type="dxa"/>
            <w:shd w:val="clear" w:color="auto" w:fill="auto"/>
            <w:noWrap/>
            <w:vAlign w:val="bottom"/>
          </w:tcPr>
          <w:p w14:paraId="5A9B02AB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LF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C2536F" w14:textId="5D8A2862" w:rsidR="000C3EE8" w:rsidRPr="000C3EE8" w:rsidRDefault="002B7558" w:rsidP="000C3EE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ln(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45077FB9" w14:textId="748D7812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0.72 (0.46-1.11)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BBB11A" w14:textId="2D1EE944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14:paraId="7A860490" w14:textId="10FDE2D0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0.71 (0.45-1.12)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6A0B84" w14:textId="3083D871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487C87" w14:textId="18826068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0.81 (0.51-1.31)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DE1C04" w14:textId="7472A209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0.40</w:t>
            </w:r>
          </w:p>
        </w:tc>
      </w:tr>
      <w:tr w:rsidR="000C3EE8" w:rsidRPr="000C3EE8" w14:paraId="3DB1EA16" w14:textId="77777777" w:rsidTr="00CB39E4">
        <w:trPr>
          <w:trHeight w:val="256"/>
        </w:trPr>
        <w:tc>
          <w:tcPr>
            <w:tcW w:w="1560" w:type="dxa"/>
            <w:shd w:val="clear" w:color="auto" w:fill="auto"/>
            <w:noWrap/>
            <w:vAlign w:val="bottom"/>
          </w:tcPr>
          <w:p w14:paraId="04B2CDBA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8B0F44" w14:textId="79B62115" w:rsidR="000C3EE8" w:rsidRPr="000C3EE8" w:rsidRDefault="002B7558" w:rsidP="000C3EE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ln(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3D59479" w14:textId="36C56798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0.94 (0.63-1.41)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ADA798" w14:textId="41202968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14:paraId="4803508E" w14:textId="6F813105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0.82 (0.53-1.26)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36255D" w14:textId="4100689E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442918" w14:textId="1FDD532C" w:rsidR="000C3EE8" w:rsidRPr="000C3EE8" w:rsidRDefault="00CB5BD3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0.91 (0.58-1.42)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E93C0E" w14:textId="2B2C0042" w:rsidR="000C3EE8" w:rsidRPr="000C3EE8" w:rsidRDefault="00CB5BD3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0.67</w:t>
            </w:r>
          </w:p>
        </w:tc>
      </w:tr>
      <w:tr w:rsidR="000C3EE8" w:rsidRPr="00044301" w14:paraId="5EB5977E" w14:textId="77777777" w:rsidTr="00044301">
        <w:trPr>
          <w:trHeight w:val="256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E120D7" w14:textId="0548572B" w:rsidR="000C3EE8" w:rsidRPr="000C3EE8" w:rsidRDefault="000C3EE8" w:rsidP="006E28F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Model 1: age, albumin; model 2: age, Charlson Comorbidity Index. Abbreviations: CI, confidence interval; ULF, ultra-low frequency; VLF, very low frequency; LF, low frequency; HF, high frequency.</w:t>
            </w:r>
          </w:p>
        </w:tc>
      </w:tr>
    </w:tbl>
    <w:p w14:paraId="4DCECC9C" w14:textId="118C5EC2" w:rsidR="000C3EE8" w:rsidRDefault="000C3EE8">
      <w:pPr>
        <w:spacing w:after="0" w:line="240" w:lineRule="auto"/>
        <w:jc w:val="left"/>
        <w:rPr>
          <w:b/>
          <w:lang w:val="en-US"/>
        </w:rPr>
      </w:pPr>
    </w:p>
    <w:p w14:paraId="511BE309" w14:textId="35E1B0B4" w:rsidR="000C3EE8" w:rsidRDefault="000C3EE8">
      <w:pPr>
        <w:spacing w:after="0" w:line="240" w:lineRule="auto"/>
        <w:jc w:val="left"/>
        <w:rPr>
          <w:b/>
          <w:lang w:val="en-US"/>
        </w:rPr>
      </w:pPr>
    </w:p>
    <w:p w14:paraId="2E44BA77" w14:textId="1DB22F3D" w:rsidR="000C3EE8" w:rsidRDefault="000C3EE8">
      <w:pPr>
        <w:spacing w:after="0" w:line="240" w:lineRule="auto"/>
        <w:jc w:val="left"/>
        <w:rPr>
          <w:b/>
          <w:lang w:val="en-US"/>
        </w:rPr>
      </w:pPr>
    </w:p>
    <w:p w14:paraId="57CAFFFD" w14:textId="7781B03C" w:rsidR="000C3EE8" w:rsidRDefault="000C3EE8">
      <w:pPr>
        <w:spacing w:after="0" w:line="240" w:lineRule="auto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14:paraId="4552EA7A" w14:textId="77777777" w:rsidR="000C3EE8" w:rsidRDefault="000C3EE8">
      <w:pPr>
        <w:spacing w:after="0" w:line="240" w:lineRule="auto"/>
        <w:jc w:val="left"/>
        <w:rPr>
          <w:b/>
          <w:lang w:val="en-US"/>
        </w:rPr>
      </w:pPr>
    </w:p>
    <w:p w14:paraId="0BD3B24F" w14:textId="77777777" w:rsidR="00B92E8F" w:rsidRDefault="00B92E8F">
      <w:pPr>
        <w:spacing w:after="0" w:line="240" w:lineRule="auto"/>
        <w:jc w:val="left"/>
        <w:rPr>
          <w:b/>
          <w:lang w:val="en-US"/>
        </w:rPr>
      </w:pPr>
    </w:p>
    <w:tbl>
      <w:tblPr>
        <w:tblW w:w="111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160"/>
        <w:gridCol w:w="2463"/>
        <w:gridCol w:w="709"/>
        <w:gridCol w:w="1629"/>
        <w:gridCol w:w="854"/>
        <w:gridCol w:w="1770"/>
        <w:gridCol w:w="708"/>
      </w:tblGrid>
      <w:tr w:rsidR="002315F6" w:rsidRPr="00044301" w14:paraId="4E3F4323" w14:textId="77777777" w:rsidTr="0077748C">
        <w:trPr>
          <w:trHeight w:val="320"/>
          <w:jc w:val="center"/>
        </w:trPr>
        <w:tc>
          <w:tcPr>
            <w:tcW w:w="111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11C856" w14:textId="2654F291" w:rsidR="002315F6" w:rsidRPr="00DA4A5F" w:rsidRDefault="002315F6" w:rsidP="00D5192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Supplemental Table </w:t>
            </w:r>
            <w:r w:rsidR="000C3EE8">
              <w:rPr>
                <w:rFonts w:eastAsia="Calibri" w:cs="Times New Roman"/>
                <w:b/>
                <w:sz w:val="20"/>
                <w:szCs w:val="20"/>
                <w:lang w:val="en-GB"/>
              </w:rPr>
              <w:t>7</w:t>
            </w:r>
            <w:r>
              <w:rPr>
                <w:rFonts w:eastAsia="Calibri" w:cs="Times New Roman"/>
                <w:b/>
                <w:sz w:val="20"/>
                <w:szCs w:val="20"/>
                <w:lang w:val="en-GB"/>
              </w:rPr>
              <w:t>.</w:t>
            </w:r>
            <w:r w:rsidRPr="00DA4A5F">
              <w:rPr>
                <w:rFonts w:eastAsia="Calibri" w:cs="Times New Roman"/>
                <w:sz w:val="20"/>
                <w:szCs w:val="20"/>
                <w:lang w:val="en-GB"/>
              </w:rPr>
              <w:t xml:space="preserve"> Association of </w:t>
            </w:r>
            <w:r>
              <w:rPr>
                <w:rFonts w:eastAsia="Calibri" w:cs="Times New Roman"/>
                <w:sz w:val="20"/>
                <w:szCs w:val="20"/>
                <w:lang w:val="en-GB"/>
              </w:rPr>
              <w:t>severe autonomic failure (SAF)</w:t>
            </w:r>
            <w:r w:rsidRPr="00DA4A5F">
              <w:rPr>
                <w:rFonts w:eastAsia="Calibri" w:cs="Times New Roman"/>
                <w:sz w:val="20"/>
                <w:szCs w:val="20"/>
                <w:lang w:val="en-GB"/>
              </w:rPr>
              <w:t xml:space="preserve"> with </w:t>
            </w:r>
            <w:r>
              <w:rPr>
                <w:rFonts w:eastAsia="Calibri" w:cs="Times New Roman"/>
                <w:sz w:val="20"/>
                <w:szCs w:val="20"/>
                <w:lang w:val="en-GB"/>
              </w:rPr>
              <w:t>cardiovascular</w:t>
            </w:r>
            <w:r w:rsidRPr="00DA4A5F">
              <w:rPr>
                <w:rFonts w:eastAsia="Calibri" w:cs="Times New Roman"/>
                <w:sz w:val="20"/>
                <w:szCs w:val="20"/>
                <w:lang w:val="en-GB"/>
              </w:rPr>
              <w:t xml:space="preserve"> mortality in univariate and multivaria</w:t>
            </w:r>
            <w:r>
              <w:rPr>
                <w:rFonts w:eastAsia="Calibri" w:cs="Times New Roman"/>
                <w:sz w:val="20"/>
                <w:szCs w:val="20"/>
                <w:lang w:val="en-GB"/>
              </w:rPr>
              <w:t>ble</w:t>
            </w:r>
            <w:r w:rsidRPr="00DA4A5F">
              <w:rPr>
                <w:rFonts w:eastAsia="Calibri" w:cs="Times New Roman"/>
                <w:sz w:val="20"/>
                <w:szCs w:val="20"/>
                <w:lang w:val="en-GB"/>
              </w:rPr>
              <w:t xml:space="preserve"> analysis</w:t>
            </w:r>
          </w:p>
        </w:tc>
      </w:tr>
      <w:tr w:rsidR="002315F6" w:rsidRPr="00DA4A5F" w14:paraId="4655F167" w14:textId="77777777" w:rsidTr="0077748C">
        <w:trPr>
          <w:trHeight w:val="340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FF82E2" w14:textId="77777777" w:rsidR="002315F6" w:rsidRPr="00DA4A5F" w:rsidRDefault="002315F6" w:rsidP="00D51929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AE4" w14:textId="0A3D1C4F" w:rsidR="002315F6" w:rsidRPr="00DA4A5F" w:rsidRDefault="002315F6" w:rsidP="00D5192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128" w14:textId="77777777" w:rsidR="002315F6" w:rsidRPr="00DA4A5F" w:rsidRDefault="002315F6" w:rsidP="00D5192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Univariate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2DAF" w14:textId="7F5C63E1" w:rsidR="002315F6" w:rsidRPr="00DA4A5F" w:rsidRDefault="002315F6" w:rsidP="00D5192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Adjusted </w:t>
            </w:r>
            <w:r w:rsidR="00B232F8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M</w:t>
            </w: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odel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90D4" w14:textId="1670B1DE" w:rsidR="002315F6" w:rsidRPr="00DA4A5F" w:rsidRDefault="002315F6" w:rsidP="00D5192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Adjusted </w:t>
            </w:r>
            <w:r w:rsidR="00B232F8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M</w:t>
            </w: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odel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2315F6" w:rsidRPr="00DA4A5F" w14:paraId="0060FD26" w14:textId="77777777" w:rsidTr="0077748C">
        <w:trPr>
          <w:trHeight w:val="320"/>
          <w:jc w:val="center"/>
        </w:trPr>
        <w:tc>
          <w:tcPr>
            <w:tcW w:w="290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6A1AD4D5" w14:textId="77777777" w:rsidR="002315F6" w:rsidRPr="00DA4A5F" w:rsidRDefault="002315F6" w:rsidP="00DC5F89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  <w:vMerge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2263D61C" w14:textId="77777777" w:rsidR="002315F6" w:rsidRPr="00DA4A5F" w:rsidRDefault="002315F6" w:rsidP="00DC5F8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A4C5" w14:textId="77777777" w:rsidR="002315F6" w:rsidRPr="00DA4A5F" w:rsidRDefault="002315F6" w:rsidP="00DC5F89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HR (95% CI)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709" w14:textId="77777777" w:rsidR="002315F6" w:rsidRPr="00DA4A5F" w:rsidRDefault="002315F6" w:rsidP="00DC5F89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</w:p>
        </w:tc>
        <w:tc>
          <w:tcPr>
            <w:tcW w:w="16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CCA5" w14:textId="77777777" w:rsidR="002315F6" w:rsidRPr="00DA4A5F" w:rsidRDefault="002315F6" w:rsidP="00DC5F89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HR (95% CI)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B0C1" w14:textId="77777777" w:rsidR="002315F6" w:rsidRPr="00DA4A5F" w:rsidRDefault="002315F6" w:rsidP="00DC5F89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BA7" w14:textId="77777777" w:rsidR="002315F6" w:rsidRPr="00DA4A5F" w:rsidRDefault="002315F6" w:rsidP="00DC5F89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  <w:t>HR (95% CI)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997B" w14:textId="77777777" w:rsidR="002315F6" w:rsidRPr="00DA4A5F" w:rsidRDefault="002315F6" w:rsidP="00DC5F89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A4A5F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2315F6" w:rsidRPr="00DA4A5F" w14:paraId="35A2CD07" w14:textId="77777777" w:rsidTr="0077748C">
        <w:trPr>
          <w:trHeight w:val="300"/>
          <w:jc w:val="center"/>
        </w:trPr>
        <w:tc>
          <w:tcPr>
            <w:tcW w:w="29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43D" w14:textId="3799B12C" w:rsidR="002315F6" w:rsidRPr="00DA4A5F" w:rsidRDefault="002315F6" w:rsidP="00D5192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Severe autonomic failure</w:t>
            </w:r>
            <w:r w:rsidRPr="00DA4A5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DA4A5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vs 0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8FA5" w14:textId="689246C2" w:rsidR="002315F6" w:rsidRPr="00DA4A5F" w:rsidRDefault="002315F6" w:rsidP="00D519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6B5C" w14:textId="19B36FE4" w:rsidR="002315F6" w:rsidRPr="00DA4A5F" w:rsidRDefault="002315F6" w:rsidP="00D5192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15F6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5.95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r w:rsidRPr="002315F6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2.47-14.</w:t>
            </w:r>
            <w:r w:rsidR="00D5192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67AA" w14:textId="50FEAC54" w:rsidR="002315F6" w:rsidRPr="00DA4A5F" w:rsidRDefault="00D51929" w:rsidP="00D5192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6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A3EB" w14:textId="3D627B02" w:rsidR="002315F6" w:rsidRPr="00DA4A5F" w:rsidRDefault="00D51929" w:rsidP="00D5192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D5192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r w:rsidRPr="00D5192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09</w:t>
            </w:r>
            <w:r w:rsidRPr="00D5192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-12.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49)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734C" w14:textId="1BE19889" w:rsidR="002315F6" w:rsidRPr="00DA4A5F" w:rsidRDefault="00D51929" w:rsidP="00D5192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E714" w14:textId="27D938CD" w:rsidR="002315F6" w:rsidRPr="00BA7218" w:rsidRDefault="00D51929" w:rsidP="00D5192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D5192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3.36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r w:rsidRPr="00D5192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1.25-9.03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B424" w14:textId="77C226BF" w:rsidR="002315F6" w:rsidRPr="00BA7218" w:rsidRDefault="00D51929" w:rsidP="00D5192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0.016</w:t>
            </w:r>
          </w:p>
        </w:tc>
      </w:tr>
      <w:tr w:rsidR="002315F6" w:rsidRPr="00156AA9" w14:paraId="3FBA4CCF" w14:textId="77777777" w:rsidTr="0077748C">
        <w:trPr>
          <w:trHeight w:val="315"/>
          <w:jc w:val="center"/>
        </w:trPr>
        <w:tc>
          <w:tcPr>
            <w:tcW w:w="11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05A70" w14:textId="5EBBF753" w:rsidR="002315F6" w:rsidRPr="00DA4A5F" w:rsidRDefault="00D51929" w:rsidP="00D519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Adjusted model 1 includes: Age, albumin and severe autonomic failure. Adjusted model 2 includes: Age, Charlson Comorbidity Index and severe autonomic failure. Severe autonomic failure is assumed if HRT category 2 and deceleration capacity ≤ 4.5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are present</w:t>
            </w:r>
            <w:r w:rsidR="008C00E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(n=36)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r w:rsidR="002315F6" w:rsidRPr="00DA4A5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Abbreviations: CI, confidence interval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; HR, hazard ratio</w:t>
            </w:r>
          </w:p>
        </w:tc>
      </w:tr>
    </w:tbl>
    <w:p w14:paraId="3ADF216B" w14:textId="77777777" w:rsidR="002315F6" w:rsidRDefault="002315F6">
      <w:pPr>
        <w:spacing w:after="0" w:line="240" w:lineRule="auto"/>
        <w:jc w:val="left"/>
        <w:rPr>
          <w:b/>
          <w:lang w:val="en-US"/>
        </w:rPr>
      </w:pPr>
    </w:p>
    <w:p w14:paraId="1A5A500A" w14:textId="15BD51B9" w:rsidR="002315F6" w:rsidRDefault="002315F6">
      <w:pPr>
        <w:spacing w:after="0" w:line="240" w:lineRule="auto"/>
        <w:jc w:val="left"/>
        <w:rPr>
          <w:b/>
          <w:lang w:val="en-US"/>
        </w:rPr>
      </w:pPr>
    </w:p>
    <w:p w14:paraId="1AF4E1A1" w14:textId="560CC2EB" w:rsidR="000C3EE8" w:rsidRDefault="000C3EE8">
      <w:pPr>
        <w:spacing w:after="0" w:line="240" w:lineRule="auto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pPr w:leftFromText="180" w:rightFromText="180" w:vertAnchor="text" w:horzAnchor="margin" w:tblpXSpec="center" w:tblpY="-57"/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693"/>
        <w:gridCol w:w="2410"/>
      </w:tblGrid>
      <w:tr w:rsidR="000C3EE8" w:rsidRPr="00044301" w14:paraId="5F82C2AA" w14:textId="77777777" w:rsidTr="0077748C">
        <w:trPr>
          <w:trHeight w:val="276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B87C3C" w14:textId="7C9DE603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 xml:space="preserve">Supplemental </w:t>
            </w: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Table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CB39E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="00CB39E4">
              <w:rPr>
                <w:rFonts w:eastAsia="Calibri" w:cs="Times New Roman"/>
                <w:sz w:val="20"/>
                <w:szCs w:val="20"/>
                <w:lang w:val="en-US"/>
              </w:rPr>
              <w:t xml:space="preserve">n transformed frequency-domain measures of heart 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rate variability at baseline in patients overall and grouped by survival state</w:t>
            </w:r>
          </w:p>
        </w:tc>
      </w:tr>
      <w:tr w:rsidR="00684808" w:rsidRPr="000C3EE8" w14:paraId="14BB6813" w14:textId="77777777" w:rsidTr="0077748C">
        <w:trPr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EECA" w14:textId="77777777" w:rsidR="000C3EE8" w:rsidRPr="000C3EE8" w:rsidRDefault="000C3EE8" w:rsidP="000C3EE8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9EF6" w14:textId="77777777" w:rsidR="000C3EE8" w:rsidRPr="000C3EE8" w:rsidRDefault="000C3EE8" w:rsidP="000C3EE8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2C92" w14:textId="77777777" w:rsidR="000C3EE8" w:rsidRPr="000C3EE8" w:rsidRDefault="000C3EE8" w:rsidP="000C3EE8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9169" w14:textId="77777777" w:rsidR="000C3EE8" w:rsidRPr="000C3EE8" w:rsidRDefault="000C3EE8" w:rsidP="000C3EE8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Cardiovascular mortality</w:t>
            </w:r>
          </w:p>
        </w:tc>
      </w:tr>
      <w:tr w:rsidR="00684808" w:rsidRPr="000C3EE8" w14:paraId="78406F6B" w14:textId="77777777" w:rsidTr="00684808">
        <w:trPr>
          <w:trHeight w:val="276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946F59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80B059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52D2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324F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Survivor (n=270)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C960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Non-survivor (n=20)</w:t>
            </w:r>
          </w:p>
        </w:tc>
      </w:tr>
      <w:tr w:rsidR="00684808" w:rsidRPr="000C3EE8" w14:paraId="58A74E06" w14:textId="77777777" w:rsidTr="00684808">
        <w:trPr>
          <w:trHeight w:val="256"/>
        </w:trPr>
        <w:tc>
          <w:tcPr>
            <w:tcW w:w="1276" w:type="dxa"/>
            <w:shd w:val="clear" w:color="auto" w:fill="auto"/>
            <w:noWrap/>
            <w:vAlign w:val="bottom"/>
          </w:tcPr>
          <w:p w14:paraId="3C4BB543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Total Power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75A99A" w14:textId="79BE9CA9" w:rsidR="000C3EE8" w:rsidRPr="000C3EE8" w:rsidRDefault="002B7558" w:rsidP="000C3EE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ln(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FF83FC1" w14:textId="780BBDFF" w:rsidR="000C3EE8" w:rsidRPr="000C3EE8" w:rsidRDefault="0068480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8.95±0.69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1B29B8B" w14:textId="34600675" w:rsidR="000C3EE8" w:rsidRPr="000C3EE8" w:rsidRDefault="0068480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8.96±0.69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C05E177" w14:textId="62E06C47" w:rsidR="000C3EE8" w:rsidRPr="000C3EE8" w:rsidRDefault="0068480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8.78±0.57</w:t>
            </w:r>
          </w:p>
        </w:tc>
      </w:tr>
      <w:tr w:rsidR="00684808" w:rsidRPr="000C3EE8" w14:paraId="0DD43812" w14:textId="77777777" w:rsidTr="00684808">
        <w:trPr>
          <w:trHeight w:val="256"/>
        </w:trPr>
        <w:tc>
          <w:tcPr>
            <w:tcW w:w="1276" w:type="dxa"/>
            <w:shd w:val="clear" w:color="auto" w:fill="auto"/>
            <w:noWrap/>
            <w:vAlign w:val="bottom"/>
          </w:tcPr>
          <w:p w14:paraId="25691413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ULF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33D2DA" w14:textId="5C92BD0A" w:rsidR="000C3EE8" w:rsidRPr="000C3EE8" w:rsidRDefault="002B7558" w:rsidP="000C3EE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ln(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E2CC6A5" w14:textId="3BEC062D" w:rsidR="000C3EE8" w:rsidRPr="000C3EE8" w:rsidRDefault="0068480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8.76±0.72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6CD6C6D" w14:textId="3C18A9C1" w:rsidR="000C3EE8" w:rsidRPr="000C3EE8" w:rsidRDefault="0068480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8.77±0.72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1C56C31" w14:textId="78F8F222" w:rsidR="000C3EE8" w:rsidRPr="000C3EE8" w:rsidRDefault="0068480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8.58±</w:t>
            </w:r>
            <w:r w:rsidR="007601F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</w:tr>
      <w:tr w:rsidR="00684808" w:rsidRPr="000C3EE8" w14:paraId="74CB74F9" w14:textId="77777777" w:rsidTr="00684808">
        <w:trPr>
          <w:trHeight w:val="256"/>
        </w:trPr>
        <w:tc>
          <w:tcPr>
            <w:tcW w:w="1276" w:type="dxa"/>
            <w:shd w:val="clear" w:color="auto" w:fill="auto"/>
            <w:noWrap/>
            <w:vAlign w:val="bottom"/>
          </w:tcPr>
          <w:p w14:paraId="2177BAB9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VLF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430DD2" w14:textId="25801B09" w:rsidR="000C3EE8" w:rsidRPr="000C3EE8" w:rsidRDefault="002B7558" w:rsidP="000C3EE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ln(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C75F71F" w14:textId="0E4F0E27" w:rsidR="000C3EE8" w:rsidRPr="000C3EE8" w:rsidRDefault="0068480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6.48±0.82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4964532" w14:textId="27A1EA1E" w:rsidR="000C3EE8" w:rsidRPr="000C3EE8" w:rsidRDefault="0068480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6.50±0.83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3E9360E" w14:textId="3A299806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6.23±0.65</w:t>
            </w:r>
          </w:p>
        </w:tc>
      </w:tr>
      <w:tr w:rsidR="00684808" w:rsidRPr="000C3EE8" w14:paraId="51FA9D4C" w14:textId="77777777" w:rsidTr="00684808">
        <w:trPr>
          <w:trHeight w:val="256"/>
        </w:trPr>
        <w:tc>
          <w:tcPr>
            <w:tcW w:w="1276" w:type="dxa"/>
            <w:shd w:val="clear" w:color="auto" w:fill="auto"/>
            <w:noWrap/>
            <w:vAlign w:val="bottom"/>
          </w:tcPr>
          <w:p w14:paraId="3C537602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LF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E306D0" w14:textId="324E2C95" w:rsidR="000C3EE8" w:rsidRPr="000C3EE8" w:rsidRDefault="002B7558" w:rsidP="000C3EE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ln(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8893C77" w14:textId="292FCB71" w:rsidR="000C3EE8" w:rsidRPr="000C3EE8" w:rsidRDefault="0068480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5.56±0.98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3E19870" w14:textId="09A74C45" w:rsidR="000C3EE8" w:rsidRPr="000C3EE8" w:rsidRDefault="0068480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5.58±1.00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0A20084" w14:textId="0A2A2A0D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5.21±0.69</w:t>
            </w:r>
          </w:p>
        </w:tc>
      </w:tr>
      <w:tr w:rsidR="00684808" w:rsidRPr="000C3EE8" w14:paraId="4A5BBBF4" w14:textId="77777777" w:rsidTr="00684808">
        <w:trPr>
          <w:trHeight w:val="256"/>
        </w:trPr>
        <w:tc>
          <w:tcPr>
            <w:tcW w:w="1276" w:type="dxa"/>
            <w:shd w:val="clear" w:color="auto" w:fill="auto"/>
            <w:noWrap/>
            <w:vAlign w:val="bottom"/>
          </w:tcPr>
          <w:p w14:paraId="1671422E" w14:textId="77777777" w:rsidR="000C3EE8" w:rsidRPr="000C3EE8" w:rsidRDefault="000C3EE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04A2D3" w14:textId="64B44E5A" w:rsidR="000C3EE8" w:rsidRPr="000C3EE8" w:rsidRDefault="002B7558" w:rsidP="000C3EE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ln(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6E73066" w14:textId="0D99DFF4" w:rsidR="000C3EE8" w:rsidRPr="000C3EE8" w:rsidRDefault="0068480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4.74±0.98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E389849" w14:textId="0FC9B0FD" w:rsidR="000C3EE8" w:rsidRPr="000C3EE8" w:rsidRDefault="00684808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4.75±1.09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C37238D" w14:textId="6E3030DD" w:rsidR="000C3EE8" w:rsidRPr="000C3EE8" w:rsidRDefault="007601FE" w:rsidP="000C3EE8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4.63±0.89</w:t>
            </w:r>
          </w:p>
        </w:tc>
      </w:tr>
      <w:tr w:rsidR="000C3EE8" w:rsidRPr="00044301" w14:paraId="2F01F19C" w14:textId="77777777" w:rsidTr="009C2FA9">
        <w:trPr>
          <w:trHeight w:val="256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E4579E" w14:textId="10496101" w:rsidR="000C3EE8" w:rsidRPr="000C3EE8" w:rsidRDefault="000C3EE8" w:rsidP="006E28F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Values are expressed as </w:t>
            </w:r>
            <w:r w:rsidR="009C2FA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mean ± standard deviation</w:t>
            </w:r>
            <w:r w:rsidRPr="000C3E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 ULF, ultra-low frequency; VLF, very low frequency; LF, low frequency; HF, high frequency.</w:t>
            </w:r>
          </w:p>
        </w:tc>
      </w:tr>
    </w:tbl>
    <w:p w14:paraId="429E9FBE" w14:textId="77777777" w:rsidR="002315F6" w:rsidRDefault="002315F6">
      <w:pPr>
        <w:spacing w:after="0" w:line="240" w:lineRule="auto"/>
        <w:jc w:val="left"/>
        <w:rPr>
          <w:b/>
          <w:lang w:val="en-US"/>
        </w:rPr>
      </w:pPr>
    </w:p>
    <w:p w14:paraId="76149029" w14:textId="77777777" w:rsidR="002315F6" w:rsidRDefault="002315F6" w:rsidP="005859C0">
      <w:pPr>
        <w:rPr>
          <w:b/>
          <w:lang w:val="en-US"/>
        </w:rPr>
      </w:pPr>
    </w:p>
    <w:p w14:paraId="7EA5EE3A" w14:textId="3F80928A" w:rsidR="002315F6" w:rsidRDefault="002315F6">
      <w:pPr>
        <w:spacing w:after="0" w:line="240" w:lineRule="auto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14:paraId="127F46E3" w14:textId="3EB12F84" w:rsidR="005859C0" w:rsidRDefault="005859C0" w:rsidP="00BF3FAA">
      <w:pPr>
        <w:spacing w:line="240" w:lineRule="auto"/>
        <w:rPr>
          <w:lang w:val="en-US"/>
        </w:rPr>
      </w:pPr>
      <w:r w:rsidRPr="00FD5EDB">
        <w:rPr>
          <w:b/>
          <w:lang w:val="en-US"/>
        </w:rPr>
        <w:lastRenderedPageBreak/>
        <w:t>Supplemental Figure 1.</w:t>
      </w:r>
      <w:r>
        <w:rPr>
          <w:lang w:val="en-US"/>
        </w:rPr>
        <w:t xml:space="preserve"> Cumulative cardiovascular mortality curves stratified by heart rate turbulence (HRT) including HRT category non-calculable.</w:t>
      </w:r>
    </w:p>
    <w:p w14:paraId="37CF30E2" w14:textId="77777777" w:rsidR="005859C0" w:rsidRDefault="005859C0" w:rsidP="00BF3FAA">
      <w:pPr>
        <w:spacing w:line="240" w:lineRule="auto"/>
        <w:rPr>
          <w:lang w:val="en-US"/>
        </w:rPr>
      </w:pPr>
      <w:r w:rsidRPr="002C0DEA">
        <w:rPr>
          <w:lang w:val="en-US"/>
        </w:rPr>
        <w:t>The number of patients of the individual groups involved in the analysis at 1, 2 and 3 years are shown under the graph.</w:t>
      </w:r>
      <w:r w:rsidRPr="00FD5EDB">
        <w:rPr>
          <w:lang w:val="en-US"/>
        </w:rPr>
        <w:t xml:space="preserve"> </w:t>
      </w:r>
      <w:r w:rsidRPr="002C0DEA">
        <w:rPr>
          <w:lang w:val="en-US"/>
        </w:rPr>
        <w:t xml:space="preserve">3-year cardiovascular mortality rates were </w:t>
      </w:r>
      <w:r w:rsidRPr="00FD5EDB">
        <w:rPr>
          <w:lang w:val="en-US"/>
        </w:rPr>
        <w:t>0.9%, 1.9%,</w:t>
      </w:r>
      <w:r w:rsidRPr="002C0DEA">
        <w:rPr>
          <w:lang w:val="en-US"/>
        </w:rPr>
        <w:t xml:space="preserve"> 10.2%, and 22.0% for those with HRT category </w:t>
      </w:r>
      <w:r>
        <w:rPr>
          <w:lang w:val="en-US"/>
        </w:rPr>
        <w:t>non-calculable (</w:t>
      </w:r>
      <w:proofErr w:type="spellStart"/>
      <w:r>
        <w:rPr>
          <w:lang w:val="en-US"/>
        </w:rPr>
        <w:t>n.c.</w:t>
      </w:r>
      <w:proofErr w:type="spellEnd"/>
      <w:r>
        <w:rPr>
          <w:lang w:val="en-US"/>
        </w:rPr>
        <w:t xml:space="preserve">), </w:t>
      </w:r>
      <w:r w:rsidRPr="002C0DEA">
        <w:rPr>
          <w:lang w:val="en-US"/>
        </w:rPr>
        <w:t>0, 1, and 2, respectively</w:t>
      </w:r>
      <w:r>
        <w:rPr>
          <w:lang w:val="en-US"/>
        </w:rPr>
        <w:t>. There was no significant difference in the survival probability of patients in HRT category 0 and HRT category non-calculable (</w:t>
      </w:r>
      <w:r w:rsidRPr="002C0DEA">
        <w:rPr>
          <w:lang w:val="en-US"/>
        </w:rPr>
        <w:t>χ</w:t>
      </w:r>
      <w:r w:rsidRPr="002C0DEA">
        <w:rPr>
          <w:vertAlign w:val="superscript"/>
          <w:lang w:val="en-US"/>
        </w:rPr>
        <w:t>2</w:t>
      </w:r>
      <w:r>
        <w:rPr>
          <w:lang w:val="en-US"/>
        </w:rPr>
        <w:t xml:space="preserve">=0.25, log-rank p=0.62). </w:t>
      </w:r>
    </w:p>
    <w:p w14:paraId="71BD228D" w14:textId="7FE380BE" w:rsidR="005859C0" w:rsidRDefault="005859C0" w:rsidP="00135379">
      <w:pPr>
        <w:spacing w:after="0" w:line="240" w:lineRule="auto"/>
        <w:jc w:val="left"/>
        <w:rPr>
          <w:rFonts w:eastAsia="Calibri" w:cs="Times New Roman"/>
          <w:szCs w:val="24"/>
          <w:lang w:val="en-US"/>
        </w:rPr>
      </w:pPr>
    </w:p>
    <w:p w14:paraId="55CEED3C" w14:textId="712936AA" w:rsidR="005859C0" w:rsidRPr="007449DC" w:rsidRDefault="008A75E6" w:rsidP="00FB355F">
      <w:pPr>
        <w:spacing w:after="0" w:line="240" w:lineRule="auto"/>
        <w:jc w:val="center"/>
        <w:rPr>
          <w:rFonts w:eastAsia="Calibri" w:cs="Times New Roman"/>
          <w:szCs w:val="24"/>
          <w:lang w:val="en-US"/>
        </w:rPr>
      </w:pPr>
      <w:r w:rsidRPr="008A75E6">
        <w:rPr>
          <w:rFonts w:eastAsia="Calibri" w:cs="Times New Roman"/>
          <w:noProof/>
          <w:szCs w:val="24"/>
          <w:lang w:val="en-US"/>
        </w:rPr>
        <w:drawing>
          <wp:inline distT="0" distB="0" distL="0" distR="0" wp14:anchorId="552311F7" wp14:editId="4CE1D8F9">
            <wp:extent cx="3461339" cy="4898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2767" cy="491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9C0" w:rsidRPr="007449DC" w:rsidSect="001640A2">
      <w:footerReference w:type="even" r:id="rId9"/>
      <w:footerReference w:type="default" r:id="rId10"/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CA00" w14:textId="77777777" w:rsidR="00843D8E" w:rsidRDefault="00843D8E" w:rsidP="003E13FA">
      <w:pPr>
        <w:spacing w:after="0" w:line="240" w:lineRule="auto"/>
      </w:pPr>
      <w:r>
        <w:separator/>
      </w:r>
    </w:p>
  </w:endnote>
  <w:endnote w:type="continuationSeparator" w:id="0">
    <w:p w14:paraId="22248429" w14:textId="77777777" w:rsidR="00843D8E" w:rsidRDefault="00843D8E" w:rsidP="003E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3336494"/>
      <w:docPartObj>
        <w:docPartGallery w:val="Page Numbers (Bottom of Page)"/>
        <w:docPartUnique/>
      </w:docPartObj>
    </w:sdtPr>
    <w:sdtContent>
      <w:p w14:paraId="71CCB52D" w14:textId="65948140" w:rsidR="00044301" w:rsidRDefault="00044301" w:rsidP="002D0E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ECE97D" w14:textId="77777777" w:rsidR="00044301" w:rsidRDefault="00044301" w:rsidP="00DC5F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4608861"/>
      <w:docPartObj>
        <w:docPartGallery w:val="Page Numbers (Bottom of Page)"/>
        <w:docPartUnique/>
      </w:docPartObj>
    </w:sdtPr>
    <w:sdtContent>
      <w:p w14:paraId="7591FC4B" w14:textId="0F849653" w:rsidR="00044301" w:rsidRDefault="00044301" w:rsidP="002D0E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99ECC9" w14:textId="77777777" w:rsidR="00044301" w:rsidRDefault="00044301" w:rsidP="008124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6213787"/>
      <w:docPartObj>
        <w:docPartGallery w:val="Page Numbers (Bottom of Page)"/>
        <w:docPartUnique/>
      </w:docPartObj>
    </w:sdtPr>
    <w:sdtContent>
      <w:p w14:paraId="3FAE8438" w14:textId="6C6D8743" w:rsidR="00044301" w:rsidRDefault="00044301" w:rsidP="003E13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B036F3" w14:textId="77777777" w:rsidR="00044301" w:rsidRDefault="00044301" w:rsidP="003E13FA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4094450"/>
      <w:docPartObj>
        <w:docPartGallery w:val="Page Numbers (Bottom of Page)"/>
        <w:docPartUnique/>
      </w:docPartObj>
    </w:sdtPr>
    <w:sdtContent>
      <w:p w14:paraId="5031FB58" w14:textId="5A352A80" w:rsidR="00044301" w:rsidRDefault="00044301" w:rsidP="003E13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BEAC0AC" w14:textId="77777777" w:rsidR="00044301" w:rsidRDefault="00044301" w:rsidP="003E13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8A81E" w14:textId="77777777" w:rsidR="00843D8E" w:rsidRDefault="00843D8E" w:rsidP="003E13FA">
      <w:pPr>
        <w:spacing w:after="0" w:line="240" w:lineRule="auto"/>
      </w:pPr>
      <w:r>
        <w:separator/>
      </w:r>
    </w:p>
  </w:footnote>
  <w:footnote w:type="continuationSeparator" w:id="0">
    <w:p w14:paraId="56277B7B" w14:textId="77777777" w:rsidR="00843D8E" w:rsidRDefault="00843D8E" w:rsidP="003E1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79"/>
    <w:rsid w:val="00012D03"/>
    <w:rsid w:val="00020DD3"/>
    <w:rsid w:val="000338B8"/>
    <w:rsid w:val="00044301"/>
    <w:rsid w:val="00065287"/>
    <w:rsid w:val="00070F94"/>
    <w:rsid w:val="000A3525"/>
    <w:rsid w:val="000A6EA1"/>
    <w:rsid w:val="000C3EE8"/>
    <w:rsid w:val="000D3841"/>
    <w:rsid w:val="000E4F32"/>
    <w:rsid w:val="00135379"/>
    <w:rsid w:val="001640A2"/>
    <w:rsid w:val="001A7C3B"/>
    <w:rsid w:val="001F491C"/>
    <w:rsid w:val="001F56C3"/>
    <w:rsid w:val="00212D1E"/>
    <w:rsid w:val="0022771D"/>
    <w:rsid w:val="002315F6"/>
    <w:rsid w:val="00232D1F"/>
    <w:rsid w:val="00285929"/>
    <w:rsid w:val="00295ECF"/>
    <w:rsid w:val="002A4257"/>
    <w:rsid w:val="002A48C2"/>
    <w:rsid w:val="002B7558"/>
    <w:rsid w:val="002D0E9E"/>
    <w:rsid w:val="002E7009"/>
    <w:rsid w:val="002F26F7"/>
    <w:rsid w:val="003028F1"/>
    <w:rsid w:val="0034016A"/>
    <w:rsid w:val="0035549B"/>
    <w:rsid w:val="003573BB"/>
    <w:rsid w:val="0037418A"/>
    <w:rsid w:val="003943A5"/>
    <w:rsid w:val="003A0C43"/>
    <w:rsid w:val="003B2716"/>
    <w:rsid w:val="003D3686"/>
    <w:rsid w:val="003E13FA"/>
    <w:rsid w:val="004071FD"/>
    <w:rsid w:val="004949A1"/>
    <w:rsid w:val="004A574F"/>
    <w:rsid w:val="004B1100"/>
    <w:rsid w:val="004C02FB"/>
    <w:rsid w:val="004C1DDE"/>
    <w:rsid w:val="005631BA"/>
    <w:rsid w:val="005859C0"/>
    <w:rsid w:val="005D12ED"/>
    <w:rsid w:val="005D6296"/>
    <w:rsid w:val="005F02A1"/>
    <w:rsid w:val="00602734"/>
    <w:rsid w:val="0060284B"/>
    <w:rsid w:val="00622945"/>
    <w:rsid w:val="00673B72"/>
    <w:rsid w:val="00674855"/>
    <w:rsid w:val="00676A46"/>
    <w:rsid w:val="00684808"/>
    <w:rsid w:val="006A0B7A"/>
    <w:rsid w:val="006A4742"/>
    <w:rsid w:val="006B2585"/>
    <w:rsid w:val="006E28FC"/>
    <w:rsid w:val="00735C76"/>
    <w:rsid w:val="007449DC"/>
    <w:rsid w:val="00745E77"/>
    <w:rsid w:val="007601FE"/>
    <w:rsid w:val="00773C8C"/>
    <w:rsid w:val="0077748C"/>
    <w:rsid w:val="007A6DFF"/>
    <w:rsid w:val="007B7AED"/>
    <w:rsid w:val="007C5463"/>
    <w:rsid w:val="007D3DD4"/>
    <w:rsid w:val="00812472"/>
    <w:rsid w:val="00843D8E"/>
    <w:rsid w:val="00845ACF"/>
    <w:rsid w:val="0087292B"/>
    <w:rsid w:val="00894C64"/>
    <w:rsid w:val="00895F64"/>
    <w:rsid w:val="008A75E6"/>
    <w:rsid w:val="008C00EC"/>
    <w:rsid w:val="008F3948"/>
    <w:rsid w:val="009202A3"/>
    <w:rsid w:val="009232C9"/>
    <w:rsid w:val="009356BB"/>
    <w:rsid w:val="009550B9"/>
    <w:rsid w:val="009C2FA9"/>
    <w:rsid w:val="00A276E4"/>
    <w:rsid w:val="00A46C49"/>
    <w:rsid w:val="00A472F5"/>
    <w:rsid w:val="00A56749"/>
    <w:rsid w:val="00A635AD"/>
    <w:rsid w:val="00A71471"/>
    <w:rsid w:val="00A93698"/>
    <w:rsid w:val="00AE30D5"/>
    <w:rsid w:val="00B2131A"/>
    <w:rsid w:val="00B232F8"/>
    <w:rsid w:val="00B44CF4"/>
    <w:rsid w:val="00B74413"/>
    <w:rsid w:val="00B7799F"/>
    <w:rsid w:val="00B83AAA"/>
    <w:rsid w:val="00B92E8F"/>
    <w:rsid w:val="00BA0E7A"/>
    <w:rsid w:val="00BC4BA8"/>
    <w:rsid w:val="00BF3FAA"/>
    <w:rsid w:val="00C109B6"/>
    <w:rsid w:val="00C33896"/>
    <w:rsid w:val="00C45C06"/>
    <w:rsid w:val="00C9132C"/>
    <w:rsid w:val="00C92CA5"/>
    <w:rsid w:val="00C97A3F"/>
    <w:rsid w:val="00CA1ACD"/>
    <w:rsid w:val="00CB39E4"/>
    <w:rsid w:val="00CB5BD3"/>
    <w:rsid w:val="00CE5F72"/>
    <w:rsid w:val="00CF3CCC"/>
    <w:rsid w:val="00D11342"/>
    <w:rsid w:val="00D51929"/>
    <w:rsid w:val="00D73F30"/>
    <w:rsid w:val="00D77BDE"/>
    <w:rsid w:val="00D837C5"/>
    <w:rsid w:val="00DB3A5E"/>
    <w:rsid w:val="00DC5F89"/>
    <w:rsid w:val="00DD2DC6"/>
    <w:rsid w:val="00DD48DB"/>
    <w:rsid w:val="00E05372"/>
    <w:rsid w:val="00E25E56"/>
    <w:rsid w:val="00E85617"/>
    <w:rsid w:val="00EA2E82"/>
    <w:rsid w:val="00EA7752"/>
    <w:rsid w:val="00F01868"/>
    <w:rsid w:val="00F521B3"/>
    <w:rsid w:val="00F745DF"/>
    <w:rsid w:val="00F828BF"/>
    <w:rsid w:val="00FA21F6"/>
    <w:rsid w:val="00FB355F"/>
    <w:rsid w:val="00FE1EC6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CB0543"/>
  <w14:defaultImageDpi w14:val="32767"/>
  <w15:chartTrackingRefBased/>
  <w15:docId w15:val="{5DC97F6E-6AC8-0847-94B9-DC7AE8E6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5379"/>
    <w:pPr>
      <w:spacing w:after="200" w:line="480" w:lineRule="auto"/>
      <w:jc w:val="both"/>
    </w:pPr>
    <w:rPr>
      <w:rFonts w:ascii="Times New Roman" w:hAnsi="Times New Roman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3F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3FA"/>
    <w:rPr>
      <w:rFonts w:ascii="Times New Roman" w:eastAsiaTheme="majorEastAsia" w:hAnsi="Times New Roman" w:cstheme="majorBidi"/>
      <w:b/>
      <w:color w:val="000000" w:themeColor="text1"/>
      <w:sz w:val="26"/>
      <w:szCs w:val="3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3E13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FA"/>
    <w:rPr>
      <w:rFonts w:ascii="Times New Roman" w:hAnsi="Times New Roman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3E13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FA"/>
    <w:rPr>
      <w:rFonts w:ascii="Times New Roman" w:hAnsi="Times New Roman"/>
      <w:szCs w:val="22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3E13FA"/>
  </w:style>
  <w:style w:type="paragraph" w:styleId="BalloonText">
    <w:name w:val="Balloon Text"/>
    <w:basedOn w:val="Normal"/>
    <w:link w:val="BalloonTextChar"/>
    <w:uiPriority w:val="99"/>
    <w:semiHidden/>
    <w:unhideWhenUsed/>
    <w:rsid w:val="003E13FA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FA"/>
    <w:rPr>
      <w:rFonts w:ascii="Times New Roman" w:hAnsi="Times New Roman" w:cs="Times New Roman"/>
      <w:sz w:val="18"/>
      <w:szCs w:val="18"/>
      <w:lang w:val="de-DE"/>
    </w:rPr>
  </w:style>
  <w:style w:type="paragraph" w:styleId="Revision">
    <w:name w:val="Revision"/>
    <w:hidden/>
    <w:uiPriority w:val="99"/>
    <w:semiHidden/>
    <w:rsid w:val="003E13FA"/>
    <w:rPr>
      <w:rFonts w:ascii="Times New Roman" w:hAnsi="Times New Roman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München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Christoph Braunisch</dc:creator>
  <cp:keywords/>
  <dc:description/>
  <cp:lastModifiedBy>Matthias Christoph Braunisch</cp:lastModifiedBy>
  <cp:revision>4</cp:revision>
  <dcterms:created xsi:type="dcterms:W3CDTF">2020-01-31T18:38:00Z</dcterms:created>
  <dcterms:modified xsi:type="dcterms:W3CDTF">2020-01-31T18:49:00Z</dcterms:modified>
</cp:coreProperties>
</file>