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21E8" w14:textId="77777777" w:rsidR="00224D85" w:rsidRPr="00352324" w:rsidRDefault="00C016F7">
      <w:pPr>
        <w:pStyle w:val="BodyB"/>
        <w:spacing w:before="240" w:after="240" w:line="36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shd w:val="clear" w:color="auto" w:fill="FEFFFF"/>
          <w:lang w:val="en-US"/>
        </w:rPr>
      </w:pPr>
      <w:r w:rsidRPr="00352324">
        <w:rPr>
          <w:rFonts w:ascii="Times New Roman Bold"/>
          <w:sz w:val="24"/>
          <w:szCs w:val="24"/>
          <w:shd w:val="clear" w:color="auto" w:fill="FEFFFF"/>
          <w:lang w:val="en-US"/>
        </w:rPr>
        <w:t>Supplementary figure legends</w:t>
      </w:r>
    </w:p>
    <w:p w14:paraId="403EDA92" w14:textId="489DEF5D" w:rsidR="00224D85" w:rsidRPr="00352324" w:rsidRDefault="00C016F7" w:rsidP="00662183">
      <w:pPr>
        <w:pStyle w:val="BodyB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662183">
        <w:rPr>
          <w:rFonts w:ascii="Times New Roman"/>
          <w:b/>
          <w:bCs/>
          <w:sz w:val="24"/>
          <w:szCs w:val="24"/>
          <w:shd w:val="clear" w:color="auto" w:fill="FEFEFE"/>
          <w:lang w:val="en-US"/>
        </w:rPr>
        <w:t>Supplementary Figure 1 -</w:t>
      </w:r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 xml:space="preserve"> Sequential gating strategy to determine the human antibody-secreting cell (ASC) phenotype. PBMCs were cultivated with DENV4 TVP particles in the MOI of 10 for 7 days. Cells were </w:t>
      </w:r>
      <w:proofErr w:type="gramStart"/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>harvested, and</w:t>
      </w:r>
      <w:proofErr w:type="gramEnd"/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 xml:space="preserve"> </w:t>
      </w:r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>labelled for surface staining antigens with fluorochrome-conjugated antibodies. A) The representative FACS data showing an enrichment for ASCs: 1) extended lymphocyte including blasting cells; 2</w:t>
      </w:r>
      <w:r w:rsidRPr="00352324">
        <w:rPr>
          <w:rFonts w:hAnsi="Times New Roman"/>
          <w:sz w:val="24"/>
          <w:szCs w:val="24"/>
          <w:shd w:val="clear" w:color="auto" w:fill="FEFEFE"/>
          <w:lang w:val="en-US"/>
        </w:rPr>
        <w:t>–</w:t>
      </w:r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>3) singlets; 4) CD20</w:t>
      </w:r>
      <w:r w:rsidRPr="00352324">
        <w:rPr>
          <w:rFonts w:hAnsi="Times New Roman"/>
          <w:sz w:val="24"/>
          <w:szCs w:val="24"/>
          <w:shd w:val="clear" w:color="auto" w:fill="FEFEFE"/>
          <w:lang w:val="en-US"/>
        </w:rPr>
        <w:t>−</w:t>
      </w:r>
      <w:r w:rsidRPr="00352324">
        <w:rPr>
          <w:sz w:val="24"/>
          <w:szCs w:val="24"/>
          <w:shd w:val="clear" w:color="auto" w:fill="FEFEFE"/>
          <w:lang w:val="en-US"/>
        </w:rPr>
        <w:t xml:space="preserve"> </w:t>
      </w:r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>cells; 5) CD38hi CD27hi cells.</w:t>
      </w:r>
    </w:p>
    <w:p w14:paraId="1B06F8AF" w14:textId="6F130B1B" w:rsidR="00224D85" w:rsidRPr="00352324" w:rsidRDefault="00C016F7" w:rsidP="00662183">
      <w:pPr>
        <w:pStyle w:val="BodyB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662183">
        <w:rPr>
          <w:rFonts w:ascii="Times New Roman"/>
          <w:b/>
          <w:bCs/>
          <w:sz w:val="24"/>
          <w:szCs w:val="24"/>
          <w:shd w:val="clear" w:color="auto" w:fill="FEFEFE"/>
          <w:lang w:val="en-US"/>
        </w:rPr>
        <w:t>Supplem</w:t>
      </w:r>
      <w:r w:rsidRPr="00662183">
        <w:rPr>
          <w:rFonts w:ascii="Times New Roman"/>
          <w:b/>
          <w:bCs/>
          <w:sz w:val="24"/>
          <w:szCs w:val="24"/>
          <w:shd w:val="clear" w:color="auto" w:fill="FEFEFE"/>
          <w:lang w:val="en-US"/>
        </w:rPr>
        <w:t>entary Figure 2 -</w:t>
      </w:r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 xml:space="preserve"> Dengue virus triggers the IgM secretion upon culture with PBMC-containing B cells. A total of 3.3 x 10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4</w:t>
      </w:r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 xml:space="preserve"> cultured PBMCs were harvested at day 7 of culture and added per well of ELISPOT plates to </w:t>
      </w:r>
      <w:proofErr w:type="gramStart"/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>enumerate</w:t>
      </w:r>
      <w:proofErr w:type="gramEnd"/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 xml:space="preserve"> IgM-secreting cells in each cultur</w:t>
      </w:r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>e condition.</w:t>
      </w:r>
    </w:p>
    <w:p w14:paraId="24E8F5C9" w14:textId="38820553" w:rsidR="00224D85" w:rsidRPr="00662183" w:rsidRDefault="00C016F7" w:rsidP="00662183">
      <w:pPr>
        <w:pStyle w:val="BodyB"/>
        <w:spacing w:after="240" w:line="360" w:lineRule="auto"/>
        <w:jc w:val="both"/>
        <w:rPr>
          <w:rFonts w:ascii="Times New Roman"/>
          <w:sz w:val="24"/>
          <w:szCs w:val="24"/>
          <w:shd w:val="clear" w:color="auto" w:fill="FEFEFE"/>
          <w:lang w:val="en-US"/>
        </w:rPr>
      </w:pPr>
      <w:r w:rsidRPr="00662183">
        <w:rPr>
          <w:b/>
          <w:bCs/>
        </w:rPr>
        <w:t>S</w:t>
      </w:r>
      <w:r w:rsidRPr="00662183">
        <w:rPr>
          <w:b/>
          <w:bCs/>
          <w:shd w:val="clear" w:color="auto" w:fill="FEFEFE"/>
        </w:rPr>
        <w:t>u</w:t>
      </w:r>
      <w:r w:rsidRPr="00662183">
        <w:rPr>
          <w:rFonts w:ascii="Times New Roman"/>
          <w:b/>
          <w:bCs/>
          <w:sz w:val="24"/>
          <w:szCs w:val="24"/>
          <w:shd w:val="clear" w:color="auto" w:fill="FEFEFE"/>
          <w:lang w:val="en-US"/>
        </w:rPr>
        <w:t>pplementary Figure 3 -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IgG secretion detected in the supernatants of PBMC-DENV cultures did not react against DENV1-4 EDIII recombinant proteins or viable DENV1-4 particles. Reactivity of supernatant samples harvested at day 7 of cultures w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ere tested through ELISA in different dilutions: a) 1:30 - human IgG; b) 1:40 - EDIII recombinant proteins from DENV1-4 serotypes; c) 1:40 - </w:t>
      </w:r>
      <w:proofErr w:type="gramStart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viable</w:t>
      </w:r>
      <w:proofErr w:type="gramEnd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DENV particles from DENV1-4 serotypes. NT - not tested.</w:t>
      </w:r>
    </w:p>
    <w:p w14:paraId="196F6C1E" w14:textId="727CCAEE" w:rsidR="00224D85" w:rsidRPr="00662183" w:rsidRDefault="00C016F7" w:rsidP="00662183">
      <w:pPr>
        <w:pStyle w:val="BodyB"/>
        <w:spacing w:after="240" w:line="360" w:lineRule="auto"/>
        <w:jc w:val="both"/>
        <w:rPr>
          <w:rFonts w:ascii="Times New Roman"/>
          <w:sz w:val="24"/>
          <w:szCs w:val="24"/>
          <w:shd w:val="clear" w:color="auto" w:fill="FEFEFE"/>
          <w:lang w:val="en-US"/>
        </w:rPr>
      </w:pPr>
      <w:r w:rsidRPr="00662183">
        <w:rPr>
          <w:rFonts w:ascii="Times New Roman"/>
          <w:b/>
          <w:bCs/>
          <w:sz w:val="24"/>
          <w:szCs w:val="24"/>
          <w:shd w:val="clear" w:color="auto" w:fill="FEFEFE"/>
          <w:lang w:val="en-US"/>
        </w:rPr>
        <w:t>S</w:t>
      </w:r>
      <w:r w:rsidRPr="00662183">
        <w:rPr>
          <w:rFonts w:ascii="Times New Roman"/>
          <w:b/>
          <w:bCs/>
          <w:sz w:val="24"/>
          <w:szCs w:val="24"/>
          <w:shd w:val="clear" w:color="auto" w:fill="FEFEFE"/>
          <w:lang w:val="en-US"/>
        </w:rPr>
        <w:t>upplementary Figure 4 -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Small IgG reactivity of pl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asma samples from blood donors of this study against distinct DENV targets through ELISA. Plasma samples were tested in different dilutions:  a) 1:100 - NS1 recombinant proteins from all 4 serotypes; b) 1:80 - EDIII recombinant proteins from DENV1-4 seroty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pes; c) 1:80 - DENV </w:t>
      </w:r>
      <w:proofErr w:type="gramStart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viable</w:t>
      </w:r>
      <w:proofErr w:type="gramEnd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particles from DENV1-4 serotypes.</w:t>
      </w:r>
      <w:bookmarkStart w:id="0" w:name="_GoBack"/>
      <w:bookmarkEnd w:id="0"/>
    </w:p>
    <w:p w14:paraId="096BA86B" w14:textId="0228CE3E" w:rsidR="00662183" w:rsidRPr="00662183" w:rsidRDefault="00C016F7" w:rsidP="00662183">
      <w:pPr>
        <w:pStyle w:val="BodyB"/>
        <w:spacing w:after="240" w:line="360" w:lineRule="auto"/>
        <w:jc w:val="both"/>
        <w:rPr>
          <w:rFonts w:ascii="Times New Roman"/>
          <w:sz w:val="24"/>
          <w:szCs w:val="24"/>
          <w:shd w:val="clear" w:color="auto" w:fill="FEFEFE"/>
          <w:lang w:val="en-US"/>
        </w:rPr>
      </w:pPr>
      <w:r w:rsidRPr="00662183">
        <w:rPr>
          <w:rFonts w:ascii="Times New Roman"/>
          <w:b/>
          <w:bCs/>
          <w:sz w:val="24"/>
          <w:szCs w:val="24"/>
          <w:shd w:val="clear" w:color="auto" w:fill="FEFEFE"/>
          <w:lang w:val="en-US"/>
        </w:rPr>
        <w:t>Supplementary Figure 5 -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Differential gene expression profile (fold change) between PBMC cultures stimulated with DENV4 TVP, Mitogens, or Mock supernatants for genes related to cellular </w:t>
      </w:r>
      <w:proofErr w:type="spellStart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signalli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ng</w:t>
      </w:r>
      <w:proofErr w:type="spellEnd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and B cell differentiation into ASCs. Targeted genes </w:t>
      </w:r>
      <w:proofErr w:type="gramStart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were:</w:t>
      </w:r>
      <w:proofErr w:type="gramEnd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a) 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BAFF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; b) 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IL-10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; c) 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SYK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; d) 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SRC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. Data are represented as boxes and whiskers (10-90% percentile). Dashed lines </w:t>
      </w:r>
      <w:proofErr w:type="gramStart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represents</w:t>
      </w:r>
      <w:proofErr w:type="gramEnd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the gene expression within the Mock culture condition. </w:t>
      </w:r>
    </w:p>
    <w:p w14:paraId="6A78AD6B" w14:textId="77777777" w:rsidR="00224D85" w:rsidRPr="00352324" w:rsidRDefault="00C016F7" w:rsidP="00662183">
      <w:pPr>
        <w:pStyle w:val="BodyB"/>
        <w:spacing w:after="240" w:line="360" w:lineRule="auto"/>
        <w:jc w:val="both"/>
      </w:pPr>
      <w:r w:rsidRPr="00662183">
        <w:rPr>
          <w:rFonts w:ascii="Times New Roman"/>
          <w:b/>
          <w:bCs/>
          <w:sz w:val="24"/>
          <w:szCs w:val="24"/>
          <w:shd w:val="clear" w:color="auto" w:fill="FEFEFE"/>
          <w:lang w:val="en-US"/>
        </w:rPr>
        <w:t xml:space="preserve">Supplementary Figure 6 - 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Activation of the tryptophan metabolism through either </w:t>
      </w:r>
      <w:proofErr w:type="spellStart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serotonine</w:t>
      </w:r>
      <w:proofErr w:type="spellEnd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(a) and kynurenine pathways (b-e) in the 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in vitro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model of DENV-mediated ASC differentiation in comparison to mitogen-stimulated culture. Different PBMC cultures der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ived from 19 healthy donors had their supernatants obtained at day seven of the culture for the measurement of the following metabolites: a) 5-hydroxyindoleacetic acid; b) Anthranilic acid; c) </w:t>
      </w:r>
      <w:proofErr w:type="spellStart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Kynureninic</w:t>
      </w:r>
      <w:proofErr w:type="spellEnd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acid; d) Quinolinic acid; e) Nicotinic acid. Dashed</w:t>
      </w:r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lines </w:t>
      </w:r>
      <w:proofErr w:type="gramStart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>represent</w:t>
      </w:r>
      <w:proofErr w:type="gramEnd"/>
      <w:r w:rsidRPr="00662183">
        <w:rPr>
          <w:rFonts w:ascii="Times New Roman"/>
          <w:sz w:val="24"/>
          <w:szCs w:val="24"/>
          <w:shd w:val="clear" w:color="auto" w:fill="FEFEFE"/>
          <w:lang w:val="en-US"/>
        </w:rPr>
        <w:t xml:space="preserve"> the standard amount of the metabolite found in the culture medium kept under the same conditions, but without cells.</w:t>
      </w:r>
      <w:r w:rsidRPr="00352324">
        <w:rPr>
          <w:sz w:val="32"/>
          <w:szCs w:val="32"/>
          <w:shd w:val="clear" w:color="auto" w:fill="FF2C21"/>
          <w:lang w:val="en-US"/>
        </w:rPr>
        <w:br w:type="page"/>
      </w:r>
    </w:p>
    <w:p w14:paraId="32A1D69C" w14:textId="77777777" w:rsidR="00224D85" w:rsidRPr="00352324" w:rsidRDefault="00224D85">
      <w:pPr>
        <w:pStyle w:val="BodyB"/>
        <w:spacing w:line="360" w:lineRule="auto"/>
        <w:jc w:val="both"/>
        <w:rPr>
          <w:lang w:val="en-US"/>
        </w:rPr>
      </w:pPr>
    </w:p>
    <w:p w14:paraId="05B2F85D" w14:textId="77777777" w:rsidR="00224D85" w:rsidRPr="00352324" w:rsidRDefault="00224D85">
      <w:pPr>
        <w:pStyle w:val="BodyB"/>
        <w:spacing w:line="360" w:lineRule="auto"/>
        <w:jc w:val="both"/>
        <w:rPr>
          <w:lang w:val="en-US"/>
        </w:rPr>
      </w:pPr>
    </w:p>
    <w:p w14:paraId="3DEECB85" w14:textId="77777777" w:rsidR="00224D85" w:rsidRPr="00352324" w:rsidRDefault="00C016F7">
      <w:pPr>
        <w:pStyle w:val="BodyB"/>
        <w:spacing w:line="36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shd w:val="clear" w:color="auto" w:fill="FEFFFF"/>
          <w:lang w:val="en-US"/>
        </w:rPr>
      </w:pPr>
      <w:r w:rsidRPr="00352324">
        <w:rPr>
          <w:rFonts w:ascii="Times New Roman Bold"/>
          <w:sz w:val="24"/>
          <w:szCs w:val="24"/>
          <w:shd w:val="clear" w:color="auto" w:fill="FEFFFF"/>
          <w:lang w:val="en-US"/>
        </w:rPr>
        <w:t>Supplementary table legends</w:t>
      </w:r>
    </w:p>
    <w:p w14:paraId="0D028EF4" w14:textId="77777777" w:rsidR="00224D85" w:rsidRPr="00352324" w:rsidRDefault="00224D85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en-US"/>
        </w:rPr>
      </w:pPr>
    </w:p>
    <w:p w14:paraId="3632CDC1" w14:textId="77777777" w:rsidR="00224D85" w:rsidRPr="00352324" w:rsidRDefault="00C016F7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en-US"/>
        </w:rPr>
      </w:pPr>
      <w:r w:rsidRPr="00352324">
        <w:rPr>
          <w:rFonts w:ascii="Times New Roman"/>
          <w:sz w:val="24"/>
          <w:szCs w:val="24"/>
          <w:shd w:val="clear" w:color="auto" w:fill="FEFFFF"/>
          <w:lang w:val="en-US"/>
        </w:rPr>
        <w:t>Supplementary Table 1 - Fluorochrome-conjugated antibodies used to estimate the percentage</w:t>
      </w:r>
      <w:r w:rsidRPr="00352324">
        <w:rPr>
          <w:rFonts w:ascii="Times New Roman"/>
          <w:sz w:val="24"/>
          <w:szCs w:val="24"/>
          <w:shd w:val="clear" w:color="auto" w:fill="FEFFFF"/>
          <w:lang w:val="en-US"/>
        </w:rPr>
        <w:t xml:space="preserve"> and absolute number of antibody-secreting cells within the cell cultures.</w:t>
      </w:r>
    </w:p>
    <w:tbl>
      <w:tblPr>
        <w:tblW w:w="62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05"/>
        <w:gridCol w:w="1545"/>
        <w:gridCol w:w="1585"/>
        <w:gridCol w:w="1245"/>
      </w:tblGrid>
      <w:tr w:rsidR="00224D85" w:rsidRPr="00352324" w14:paraId="1718CB38" w14:textId="77777777">
        <w:trPr>
          <w:trHeight w:val="432"/>
          <w:tblHeader/>
        </w:trPr>
        <w:tc>
          <w:tcPr>
            <w:tcW w:w="1905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37E8" w14:textId="77777777" w:rsidR="00224D85" w:rsidRPr="00352324" w:rsidRDefault="00C016F7">
            <w:pPr>
              <w:pStyle w:val="TableStyle1A"/>
              <w:spacing w:line="360" w:lineRule="auto"/>
            </w:pPr>
            <w:r w:rsidRPr="00352324">
              <w:rPr>
                <w:rFonts w:ascii="Times New Roman"/>
                <w:b w:val="0"/>
                <w:bCs w:val="0"/>
                <w:sz w:val="24"/>
                <w:szCs w:val="24"/>
                <w:lang w:val="en-US"/>
              </w:rPr>
              <w:t>Human antigen</w:t>
            </w:r>
          </w:p>
        </w:tc>
        <w:tc>
          <w:tcPr>
            <w:tcW w:w="1545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B478" w14:textId="77777777" w:rsidR="00224D85" w:rsidRPr="00352324" w:rsidRDefault="00C016F7">
            <w:pPr>
              <w:pStyle w:val="TableStyle1A"/>
              <w:spacing w:line="360" w:lineRule="auto"/>
            </w:pPr>
            <w:r w:rsidRPr="00352324">
              <w:rPr>
                <w:rFonts w:ascii="Times New Roman"/>
                <w:b w:val="0"/>
                <w:bCs w:val="0"/>
                <w:sz w:val="24"/>
                <w:szCs w:val="24"/>
                <w:lang w:val="en-US"/>
              </w:rPr>
              <w:t>Clone</w:t>
            </w:r>
          </w:p>
        </w:tc>
        <w:tc>
          <w:tcPr>
            <w:tcW w:w="1585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3CBB" w14:textId="77777777" w:rsidR="00224D85" w:rsidRPr="00352324" w:rsidRDefault="00C016F7">
            <w:pPr>
              <w:pStyle w:val="TableStyle1A"/>
              <w:spacing w:line="360" w:lineRule="auto"/>
            </w:pPr>
            <w:r w:rsidRPr="00352324">
              <w:rPr>
                <w:rFonts w:ascii="Times New Roman"/>
                <w:b w:val="0"/>
                <w:bCs w:val="0"/>
                <w:sz w:val="24"/>
                <w:szCs w:val="24"/>
                <w:lang w:val="en-US"/>
              </w:rPr>
              <w:t>Fluorophore</w:t>
            </w:r>
          </w:p>
        </w:tc>
        <w:tc>
          <w:tcPr>
            <w:tcW w:w="1245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A34F" w14:textId="77777777" w:rsidR="00224D85" w:rsidRPr="00352324" w:rsidRDefault="00C016F7">
            <w:pPr>
              <w:pStyle w:val="TableStyle1A"/>
              <w:spacing w:line="360" w:lineRule="auto"/>
            </w:pPr>
            <w:r w:rsidRPr="00352324">
              <w:rPr>
                <w:rFonts w:ascii="Times New Roman"/>
                <w:b w:val="0"/>
                <w:bCs w:val="0"/>
                <w:sz w:val="24"/>
                <w:szCs w:val="24"/>
                <w:lang w:val="en-US"/>
              </w:rPr>
              <w:t xml:space="preserve">Supplier </w:t>
            </w:r>
          </w:p>
        </w:tc>
      </w:tr>
      <w:tr w:rsidR="00224D85" w:rsidRPr="00352324" w14:paraId="0C469CDF" w14:textId="77777777">
        <w:tblPrEx>
          <w:shd w:val="clear" w:color="auto" w:fill="auto"/>
        </w:tblPrEx>
        <w:trPr>
          <w:trHeight w:val="432"/>
        </w:trPr>
        <w:tc>
          <w:tcPr>
            <w:tcW w:w="1905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DBB1" w14:textId="77777777" w:rsidR="00224D85" w:rsidRPr="00352324" w:rsidRDefault="00C016F7">
            <w:pPr>
              <w:pStyle w:val="TableStyle2A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CD20</w:t>
            </w:r>
          </w:p>
        </w:tc>
        <w:tc>
          <w:tcPr>
            <w:tcW w:w="1545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F8D" w14:textId="77777777" w:rsidR="00224D85" w:rsidRPr="00352324" w:rsidRDefault="00C016F7">
            <w:pPr>
              <w:pStyle w:val="TableStyle2A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2H7</w:t>
            </w:r>
          </w:p>
        </w:tc>
        <w:tc>
          <w:tcPr>
            <w:tcW w:w="1585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24A7" w14:textId="77777777" w:rsidR="00224D85" w:rsidRPr="00352324" w:rsidRDefault="00C016F7">
            <w:pPr>
              <w:pStyle w:val="TableStyle2A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FITC</w:t>
            </w:r>
          </w:p>
        </w:tc>
        <w:tc>
          <w:tcPr>
            <w:tcW w:w="1245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DB08" w14:textId="77777777" w:rsidR="00224D85" w:rsidRPr="00352324" w:rsidRDefault="00C016F7">
            <w:pPr>
              <w:pStyle w:val="TableStyle2A"/>
              <w:spacing w:line="360" w:lineRule="auto"/>
            </w:pPr>
            <w:proofErr w:type="spellStart"/>
            <w:r w:rsidRPr="00352324">
              <w:rPr>
                <w:rFonts w:ascii="Times New Roman"/>
                <w:sz w:val="24"/>
                <w:szCs w:val="24"/>
                <w:lang w:val="en-US"/>
              </w:rPr>
              <w:t>Biolegend</w:t>
            </w:r>
            <w:proofErr w:type="spellEnd"/>
          </w:p>
        </w:tc>
      </w:tr>
      <w:tr w:rsidR="00224D85" w:rsidRPr="00352324" w14:paraId="2DED344C" w14:textId="77777777">
        <w:tblPrEx>
          <w:shd w:val="clear" w:color="auto" w:fill="auto"/>
        </w:tblPrEx>
        <w:trPr>
          <w:trHeight w:val="327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DE1F" w14:textId="77777777" w:rsidR="00224D85" w:rsidRPr="00352324" w:rsidRDefault="00C016F7">
            <w:pPr>
              <w:pStyle w:val="TableStyle2A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CD38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0D32" w14:textId="77777777" w:rsidR="00224D85" w:rsidRPr="00352324" w:rsidRDefault="00C016F7">
            <w:pPr>
              <w:pStyle w:val="TableStyle2A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HI72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315F" w14:textId="77777777" w:rsidR="00224D85" w:rsidRPr="00352324" w:rsidRDefault="00C016F7">
            <w:pPr>
              <w:pStyle w:val="TableStyle2A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PE-Cy7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ED3E" w14:textId="77777777" w:rsidR="00224D85" w:rsidRPr="00352324" w:rsidRDefault="00C016F7">
            <w:pPr>
              <w:pStyle w:val="TableStyle2A"/>
              <w:spacing w:line="360" w:lineRule="auto"/>
            </w:pPr>
            <w:proofErr w:type="spellStart"/>
            <w:r w:rsidRPr="00352324">
              <w:rPr>
                <w:rFonts w:ascii="Times New Roman"/>
                <w:sz w:val="24"/>
                <w:szCs w:val="24"/>
                <w:lang w:val="en-US"/>
              </w:rPr>
              <w:t>Biolegend</w:t>
            </w:r>
            <w:proofErr w:type="spellEnd"/>
          </w:p>
        </w:tc>
      </w:tr>
      <w:tr w:rsidR="00224D85" w:rsidRPr="00352324" w14:paraId="34EE7093" w14:textId="77777777">
        <w:tblPrEx>
          <w:shd w:val="clear" w:color="auto" w:fill="auto"/>
        </w:tblPrEx>
        <w:trPr>
          <w:trHeight w:val="332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1A1A" w14:textId="77777777" w:rsidR="00224D85" w:rsidRPr="00352324" w:rsidRDefault="00C016F7">
            <w:pPr>
              <w:pStyle w:val="TableStyle2A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CD27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5721" w14:textId="77777777" w:rsidR="00224D85" w:rsidRPr="00352324" w:rsidRDefault="00C016F7">
            <w:pPr>
              <w:pStyle w:val="TableStyle2A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CD27M-t271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2DE1" w14:textId="77777777" w:rsidR="00224D85" w:rsidRPr="00352324" w:rsidRDefault="00C016F7">
            <w:pPr>
              <w:pStyle w:val="TableStyle2A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PE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06FB" w14:textId="77777777" w:rsidR="00224D85" w:rsidRPr="00352324" w:rsidRDefault="00C016F7">
            <w:pPr>
              <w:pStyle w:val="TableStyle2A"/>
              <w:spacing w:line="360" w:lineRule="auto"/>
            </w:pPr>
            <w:proofErr w:type="spellStart"/>
            <w:r w:rsidRPr="00352324">
              <w:rPr>
                <w:rFonts w:ascii="Times New Roman"/>
                <w:sz w:val="24"/>
                <w:szCs w:val="24"/>
                <w:lang w:val="en-US"/>
              </w:rPr>
              <w:t>Biolegend</w:t>
            </w:r>
            <w:proofErr w:type="spellEnd"/>
          </w:p>
        </w:tc>
      </w:tr>
    </w:tbl>
    <w:p w14:paraId="3A618362" w14:textId="77777777" w:rsidR="00224D85" w:rsidRPr="00352324" w:rsidRDefault="00224D85">
      <w:pPr>
        <w:pStyle w:val="BodyB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en-US"/>
        </w:rPr>
      </w:pPr>
    </w:p>
    <w:p w14:paraId="49FA1820" w14:textId="77777777" w:rsidR="00224D85" w:rsidRPr="00352324" w:rsidRDefault="00224D85">
      <w:pPr>
        <w:pStyle w:val="BodyB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en-US"/>
        </w:rPr>
      </w:pPr>
    </w:p>
    <w:p w14:paraId="1A7C4F15" w14:textId="77777777" w:rsidR="00224D85" w:rsidRPr="00352324" w:rsidRDefault="00224D85">
      <w:pPr>
        <w:pStyle w:val="BodyB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en-US"/>
        </w:rPr>
      </w:pPr>
    </w:p>
    <w:p w14:paraId="2DF288BC" w14:textId="77777777" w:rsidR="00224D85" w:rsidRPr="00352324" w:rsidRDefault="00224D85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en-US"/>
        </w:rPr>
      </w:pPr>
    </w:p>
    <w:p w14:paraId="4C745F4D" w14:textId="77777777" w:rsidR="00224D85" w:rsidRPr="00352324" w:rsidRDefault="00224D85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en-US"/>
        </w:rPr>
      </w:pPr>
    </w:p>
    <w:p w14:paraId="2778DFFF" w14:textId="77777777" w:rsidR="00224D85" w:rsidRPr="00352324" w:rsidRDefault="00224D85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en-US"/>
        </w:rPr>
      </w:pPr>
    </w:p>
    <w:p w14:paraId="6335F700" w14:textId="77777777" w:rsidR="00224D85" w:rsidRPr="00352324" w:rsidRDefault="00224D85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en-US"/>
        </w:rPr>
      </w:pPr>
    </w:p>
    <w:p w14:paraId="2851B223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612BBB36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65B9DFEE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26D09B15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2BDA4481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6F82D477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091DBDA3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5500D8FA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1C90C298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7885F78A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46765D6C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45EACE7A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5BFFFAC8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0644AA0B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133C243E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05471380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12C3D917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7E6BF4AF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0E96D9A9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4C28D414" w14:textId="77777777" w:rsidR="00224D85" w:rsidRPr="00352324" w:rsidRDefault="00224D85">
      <w:pPr>
        <w:pStyle w:val="BodyB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2600"/>
          <w:lang w:val="en-US"/>
        </w:rPr>
      </w:pPr>
    </w:p>
    <w:p w14:paraId="555CD922" w14:textId="77777777" w:rsidR="00224D85" w:rsidRPr="00352324" w:rsidRDefault="00C016F7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 xml:space="preserve">Supplementary Table 2 - </w:t>
      </w:r>
      <w:proofErr w:type="spellStart"/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>qRT</w:t>
      </w:r>
      <w:proofErr w:type="spellEnd"/>
      <w:r w:rsidRPr="00352324">
        <w:rPr>
          <w:rFonts w:ascii="Times New Roman"/>
          <w:sz w:val="24"/>
          <w:szCs w:val="24"/>
          <w:shd w:val="clear" w:color="auto" w:fill="FEFEFE"/>
          <w:lang w:val="en-US"/>
        </w:rPr>
        <w:t>-PCR primers.</w:t>
      </w: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134"/>
        <w:gridCol w:w="1957"/>
        <w:gridCol w:w="1262"/>
        <w:gridCol w:w="2788"/>
      </w:tblGrid>
      <w:tr w:rsidR="00224D85" w:rsidRPr="00352324" w14:paraId="10280720" w14:textId="77777777">
        <w:trPr>
          <w:trHeight w:val="795"/>
        </w:trPr>
        <w:tc>
          <w:tcPr>
            <w:tcW w:w="1426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2CD55" w14:textId="77777777" w:rsidR="00224D85" w:rsidRPr="00352324" w:rsidRDefault="00C016F7">
            <w:pPr>
              <w:pStyle w:val="BodyB"/>
              <w:spacing w:after="200"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Target</w:t>
            </w:r>
          </w:p>
        </w:tc>
        <w:tc>
          <w:tcPr>
            <w:tcW w:w="2134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C29DF" w14:textId="77777777" w:rsidR="00224D85" w:rsidRPr="00352324" w:rsidRDefault="00C016F7">
            <w:pPr>
              <w:pStyle w:val="BodyB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Forward primer</w:t>
            </w:r>
          </w:p>
          <w:p w14:paraId="602F0A61" w14:textId="77777777" w:rsidR="00224D85" w:rsidRPr="00352324" w:rsidRDefault="00C016F7">
            <w:pPr>
              <w:pStyle w:val="BodyB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5</w:t>
            </w:r>
            <w:r w:rsidRPr="00352324">
              <w:rPr>
                <w:rFonts w:hAnsi="Times New Roman"/>
                <w:sz w:val="24"/>
                <w:szCs w:val="24"/>
                <w:lang w:val="en-US"/>
              </w:rPr>
              <w:t>’</w:t>
            </w:r>
            <w:r w:rsidRPr="00352324">
              <w:rPr>
                <w:rFonts w:ascii="Times New Roman"/>
                <w:sz w:val="24"/>
                <w:szCs w:val="24"/>
                <w:lang w:val="en-US"/>
              </w:rPr>
              <w:t>-3</w:t>
            </w:r>
            <w:r w:rsidRPr="00352324">
              <w:rPr>
                <w:rFonts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95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E1830" w14:textId="77777777" w:rsidR="00224D85" w:rsidRPr="00352324" w:rsidRDefault="00C016F7">
            <w:pPr>
              <w:pStyle w:val="BodyB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Reverse primer</w:t>
            </w:r>
          </w:p>
          <w:p w14:paraId="3CE2A0F6" w14:textId="77777777" w:rsidR="00224D85" w:rsidRPr="00352324" w:rsidRDefault="00C016F7">
            <w:pPr>
              <w:pStyle w:val="BodyB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5</w:t>
            </w:r>
            <w:r w:rsidRPr="00352324">
              <w:rPr>
                <w:rFonts w:hAnsi="Times New Roman"/>
                <w:sz w:val="24"/>
                <w:szCs w:val="24"/>
                <w:lang w:val="en-US"/>
              </w:rPr>
              <w:t>’</w:t>
            </w:r>
            <w:r w:rsidRPr="00352324">
              <w:rPr>
                <w:rFonts w:ascii="Times New Roman"/>
                <w:sz w:val="24"/>
                <w:szCs w:val="24"/>
                <w:lang w:val="en-US"/>
              </w:rPr>
              <w:t>-3</w:t>
            </w:r>
            <w:r w:rsidRPr="00352324">
              <w:rPr>
                <w:rFonts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262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5C7B2" w14:textId="77777777" w:rsidR="00224D85" w:rsidRPr="00352324" w:rsidRDefault="00C016F7">
            <w:pPr>
              <w:pStyle w:val="BodyB"/>
              <w:spacing w:line="360" w:lineRule="auto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Amplicon size (bp)</w:t>
            </w:r>
          </w:p>
        </w:tc>
        <w:tc>
          <w:tcPr>
            <w:tcW w:w="2788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D8B2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224D85" w:rsidRPr="00352324" w14:paraId="7C216E7E" w14:textId="77777777">
        <w:trPr>
          <w:trHeight w:val="1235"/>
        </w:trPr>
        <w:tc>
          <w:tcPr>
            <w:tcW w:w="1426" w:type="dxa"/>
            <w:tcBorders>
              <w:top w:val="single" w:sz="8" w:space="0" w:color="515151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5FDA9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i/>
                <w:iCs/>
                <w:sz w:val="24"/>
                <w:szCs w:val="24"/>
                <w:lang w:val="en-US"/>
              </w:rPr>
              <w:t>SYK</w:t>
            </w:r>
          </w:p>
        </w:tc>
        <w:tc>
          <w:tcPr>
            <w:tcW w:w="2134" w:type="dxa"/>
            <w:tcBorders>
              <w:top w:val="single" w:sz="8" w:space="0" w:color="515151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12E95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AAAGACAAATGGAAAGTTCCTGA</w:t>
            </w:r>
          </w:p>
        </w:tc>
        <w:tc>
          <w:tcPr>
            <w:tcW w:w="1957" w:type="dxa"/>
            <w:tcBorders>
              <w:top w:val="single" w:sz="8" w:space="0" w:color="515151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50370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CTTTGTCGATGCGATAGTGC</w:t>
            </w:r>
          </w:p>
        </w:tc>
        <w:tc>
          <w:tcPr>
            <w:tcW w:w="1262" w:type="dxa"/>
            <w:tcBorders>
              <w:top w:val="single" w:sz="8" w:space="0" w:color="515151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1BC87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788" w:type="dxa"/>
            <w:tcBorders>
              <w:top w:val="single" w:sz="8" w:space="0" w:color="515151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A3C8A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>(</w:t>
            </w:r>
            <w:proofErr w:type="spellStart"/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>Grammatikos</w:t>
            </w:r>
            <w:proofErr w:type="spellEnd"/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 xml:space="preserve"> et al., 2013)</w:t>
            </w:r>
          </w:p>
        </w:tc>
      </w:tr>
      <w:tr w:rsidR="00224D85" w:rsidRPr="00352324" w14:paraId="6D645C83" w14:textId="77777777">
        <w:trPr>
          <w:trHeight w:val="76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8DB6D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i/>
                <w:iCs/>
                <w:sz w:val="24"/>
                <w:szCs w:val="24"/>
                <w:lang w:val="en-US"/>
              </w:rPr>
              <w:t>IL10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69D9E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GGTTGCCAAGCCTTGTCTGA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9901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AGGGAGTTCACATGCGCCT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F96B3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3AFA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>(</w:t>
            </w:r>
            <w:proofErr w:type="spellStart"/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>Pfaffl</w:t>
            </w:r>
            <w:proofErr w:type="spellEnd"/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>, 2001)</w:t>
            </w:r>
          </w:p>
        </w:tc>
      </w:tr>
      <w:tr w:rsidR="00224D85" w:rsidRPr="00352324" w14:paraId="487E41DD" w14:textId="77777777">
        <w:trPr>
          <w:trHeight w:val="76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09AC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i/>
                <w:iCs/>
                <w:sz w:val="24"/>
                <w:szCs w:val="24"/>
                <w:lang w:val="en-US"/>
              </w:rPr>
              <w:t>SRC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DD87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AGTGCTGGCGGAAGGAGCCT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08047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ATCCAAGCCGAGAAGCCGGT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5DD90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1B8E1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>(</w:t>
            </w:r>
            <w:proofErr w:type="spellStart"/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>Laghi</w:t>
            </w:r>
            <w:proofErr w:type="spellEnd"/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 xml:space="preserve"> &amp; Al, 2001)</w:t>
            </w:r>
          </w:p>
        </w:tc>
      </w:tr>
      <w:tr w:rsidR="00224D85" w:rsidRPr="00352324" w14:paraId="6D0821B4" w14:textId="77777777">
        <w:trPr>
          <w:trHeight w:val="765"/>
        </w:trPr>
        <w:tc>
          <w:tcPr>
            <w:tcW w:w="1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1A8FB" w14:textId="77777777" w:rsidR="00224D85" w:rsidRPr="00352324" w:rsidRDefault="00C016F7">
            <w:pPr>
              <w:pStyle w:val="TableStyle2A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BAFF</w:t>
            </w:r>
          </w:p>
          <w:p w14:paraId="70AC7C06" w14:textId="77777777" w:rsidR="00224D85" w:rsidRPr="00352324" w:rsidRDefault="00C016F7">
            <w:pPr>
              <w:pStyle w:val="TableStyle2A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(</w:t>
            </w:r>
            <w:r w:rsidRPr="00352324">
              <w:rPr>
                <w:rFonts w:ascii="Times New Roman"/>
                <w:i/>
                <w:iCs/>
                <w:sz w:val="24"/>
                <w:szCs w:val="24"/>
                <w:lang w:val="en-US"/>
              </w:rPr>
              <w:t>TNFSF13B)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EE007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AGGCAACTCCAGTCAGAACAGC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52B1C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TCATCCCCAAAGACATGGACC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39E59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E999E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>(</w:t>
            </w:r>
            <w:proofErr w:type="spellStart"/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>Schaumann</w:t>
            </w:r>
            <w:proofErr w:type="spellEnd"/>
            <w:r w:rsidRPr="00352324">
              <w:rPr>
                <w:rFonts w:ascii="Times New Roman"/>
                <w:sz w:val="24"/>
                <w:szCs w:val="24"/>
                <w:u w:color="4F4F4F"/>
                <w:lang w:val="en-US"/>
              </w:rPr>
              <w:t xml:space="preserve"> et al., 2007)</w:t>
            </w:r>
          </w:p>
        </w:tc>
      </w:tr>
      <w:tr w:rsidR="00224D85" w:rsidRPr="00352324" w14:paraId="53184D0D" w14:textId="77777777">
        <w:trPr>
          <w:trHeight w:val="765"/>
        </w:trPr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1F864" w14:textId="77777777" w:rsidR="00224D85" w:rsidRPr="00352324" w:rsidRDefault="00C016F7">
            <w:pPr>
              <w:pStyle w:val="TableStyle2A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IDO1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3DD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AGACCACAAGTCACAGCGCC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2F8A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TTGGCAAGACCTTACGGACAT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9B33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B3BF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(Opitz et al., 2011)</w:t>
            </w:r>
          </w:p>
        </w:tc>
      </w:tr>
      <w:tr w:rsidR="00224D85" w:rsidRPr="00352324" w14:paraId="272C046B" w14:textId="77777777">
        <w:trPr>
          <w:trHeight w:val="765"/>
        </w:trPr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BB12" w14:textId="77777777" w:rsidR="00224D85" w:rsidRPr="00352324" w:rsidRDefault="00C016F7">
            <w:pPr>
              <w:pStyle w:val="TableStyle2A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IDO2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58917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TGCTTCATGCCTTTGATGAG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9123F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GAAGGCCTTATGGGAAGGAG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BB07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C19B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(Opitz et al., 2011)</w:t>
            </w:r>
          </w:p>
        </w:tc>
      </w:tr>
      <w:tr w:rsidR="00224D85" w:rsidRPr="00352324" w14:paraId="7FDBB2F4" w14:textId="77777777">
        <w:trPr>
          <w:trHeight w:val="1660"/>
        </w:trPr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3DAF" w14:textId="77777777" w:rsidR="00224D85" w:rsidRPr="00352324" w:rsidRDefault="00C016F7">
            <w:pPr>
              <w:pStyle w:val="TableStyle2A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lang w:val="en-US"/>
              </w:rPr>
              <w:t>DENV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57FC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</w:rPr>
              <w:t>GACTAGTGGTTAGAGGAGACC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D5097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</w:rPr>
              <w:t>GTCTCCTCTAACCTCTAGTCCT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97603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</w:rPr>
              <w:t>155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14408" w14:textId="77777777" w:rsidR="00224D85" w:rsidRPr="00352324" w:rsidRDefault="00C016F7">
            <w:pPr>
              <w:pStyle w:val="BodyB"/>
              <w:spacing w:line="360" w:lineRule="auto"/>
              <w:jc w:val="center"/>
            </w:pPr>
            <w:r w:rsidRPr="00352324">
              <w:rPr>
                <w:rFonts w:ascii="Times New Roman"/>
                <w:sz w:val="24"/>
                <w:szCs w:val="24"/>
                <w:shd w:val="clear" w:color="auto" w:fill="FEFEFE"/>
              </w:rPr>
              <w:t>Laborat</w:t>
            </w:r>
            <w:r w:rsidRPr="00352324">
              <w:rPr>
                <w:rFonts w:hAnsi="Times New Roman"/>
                <w:sz w:val="24"/>
                <w:szCs w:val="24"/>
                <w:shd w:val="clear" w:color="auto" w:fill="FEFEFE"/>
              </w:rPr>
              <w:t>ó</w:t>
            </w:r>
            <w:r w:rsidRPr="00352324">
              <w:rPr>
                <w:rFonts w:ascii="Times New Roman"/>
                <w:sz w:val="24"/>
                <w:szCs w:val="24"/>
                <w:shd w:val="clear" w:color="auto" w:fill="FEFEFE"/>
              </w:rPr>
              <w:t>rio de Virologia Molecular, Instituto Carlos Chagas, ICC/Fiocruz-PR, Curitiba, PR - Brazil</w:t>
            </w:r>
          </w:p>
        </w:tc>
      </w:tr>
    </w:tbl>
    <w:p w14:paraId="2A6D48DB" w14:textId="77777777" w:rsidR="00224D85" w:rsidRPr="00352324" w:rsidRDefault="00224D85">
      <w:pPr>
        <w:pStyle w:val="BodyB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14:paraId="3D90CA1B" w14:textId="77777777" w:rsidR="00224D85" w:rsidRPr="00352324" w:rsidRDefault="00224D85">
      <w:pPr>
        <w:pStyle w:val="BodyB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76A651C3" w14:textId="77777777" w:rsidR="00224D85" w:rsidRPr="00352324" w:rsidRDefault="00224D85">
      <w:pPr>
        <w:pStyle w:val="BodyB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659B8B84" w14:textId="77777777" w:rsidR="00224D85" w:rsidRPr="00352324" w:rsidRDefault="00224D85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1B443387" w14:textId="77777777" w:rsidR="00224D85" w:rsidRPr="00352324" w:rsidRDefault="00224D85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22797D17" w14:textId="77777777" w:rsidR="00224D85" w:rsidRPr="00352324" w:rsidRDefault="00224D85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29C093EE" w14:textId="77777777" w:rsidR="00224D85" w:rsidRPr="00352324" w:rsidRDefault="00224D85">
      <w:pPr>
        <w:pStyle w:val="Body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5BF7CA41" w14:textId="77777777" w:rsidR="00224D85" w:rsidRPr="00352324" w:rsidRDefault="00C016F7">
      <w:pPr>
        <w:pStyle w:val="BodyD"/>
        <w:widowControl w:val="0"/>
        <w:spacing w:before="120" w:after="120" w:line="360" w:lineRule="auto"/>
      </w:pPr>
      <w:r w:rsidRPr="00352324">
        <w:rPr>
          <w:shd w:val="clear" w:color="auto" w:fill="FEFEFE"/>
          <w:lang w:val="pt-PT"/>
        </w:rPr>
        <w:br w:type="page"/>
      </w:r>
    </w:p>
    <w:p w14:paraId="4C1713AD" w14:textId="77777777" w:rsidR="00224D85" w:rsidRPr="00352324" w:rsidRDefault="00224D85">
      <w:pPr>
        <w:pStyle w:val="BodyD"/>
        <w:widowControl w:val="0"/>
        <w:spacing w:before="120" w:after="120" w:line="360" w:lineRule="auto"/>
        <w:rPr>
          <w:lang w:val="pt-PT"/>
        </w:rPr>
      </w:pPr>
    </w:p>
    <w:p w14:paraId="2C5ABB8D" w14:textId="77777777" w:rsidR="00224D85" w:rsidRPr="00352324" w:rsidRDefault="00224D85">
      <w:pPr>
        <w:pStyle w:val="BodyD"/>
        <w:widowControl w:val="0"/>
        <w:spacing w:before="120" w:after="120" w:line="360" w:lineRule="auto"/>
        <w:rPr>
          <w:lang w:val="pt-PT"/>
        </w:rPr>
      </w:pPr>
    </w:p>
    <w:p w14:paraId="2FD9D2AF" w14:textId="77777777" w:rsidR="00224D85" w:rsidRPr="00352324" w:rsidRDefault="00224D85">
      <w:pPr>
        <w:pStyle w:val="BodyD"/>
        <w:widowControl w:val="0"/>
        <w:spacing w:before="120" w:after="120" w:line="360" w:lineRule="auto"/>
        <w:rPr>
          <w:lang w:val="pt-PT"/>
        </w:rPr>
      </w:pPr>
    </w:p>
    <w:p w14:paraId="527461D5" w14:textId="77777777" w:rsidR="00224D85" w:rsidRPr="00352324" w:rsidRDefault="00C016F7">
      <w:pPr>
        <w:pStyle w:val="BodyD"/>
        <w:widowControl w:val="0"/>
        <w:spacing w:before="120" w:after="120" w:line="360" w:lineRule="auto"/>
        <w:rPr>
          <w:rFonts w:ascii="Times New Roman Bold" w:eastAsia="Times New Roman Bold" w:hAnsi="Times New Roman Bold" w:cs="Times New Roman Bold"/>
          <w:shd w:val="clear" w:color="auto" w:fill="FEFEFE"/>
        </w:rPr>
      </w:pPr>
      <w:r w:rsidRPr="00352324">
        <w:rPr>
          <w:rFonts w:ascii="Times New Roman Bold"/>
          <w:shd w:val="clear" w:color="auto" w:fill="FEFEFE"/>
        </w:rPr>
        <w:t>Supplementary references</w:t>
      </w:r>
    </w:p>
    <w:p w14:paraId="55DA158C" w14:textId="77777777" w:rsidR="00224D85" w:rsidRPr="00352324" w:rsidRDefault="00224D85">
      <w:pPr>
        <w:pStyle w:val="BodyD"/>
        <w:widowControl w:val="0"/>
        <w:spacing w:before="120" w:after="120" w:line="360" w:lineRule="auto"/>
        <w:rPr>
          <w:shd w:val="clear" w:color="auto" w:fill="FEFEFE"/>
        </w:rPr>
      </w:pPr>
    </w:p>
    <w:p w14:paraId="2A798EA7" w14:textId="77777777" w:rsidR="00224D85" w:rsidRPr="00352324" w:rsidRDefault="00C016F7">
      <w:pPr>
        <w:pStyle w:val="BodyD"/>
        <w:widowControl w:val="0"/>
        <w:spacing w:before="120" w:after="120" w:line="360" w:lineRule="auto"/>
        <w:rPr>
          <w:shd w:val="clear" w:color="auto" w:fill="FEFEFE"/>
        </w:rPr>
      </w:pPr>
      <w:r w:rsidRPr="00352324">
        <w:rPr>
          <w:shd w:val="clear" w:color="auto" w:fill="FEFEFE"/>
        </w:rPr>
        <w:t>GRAMMATIKOS, A. P. et al. Spleen Tyrosine Kinase (</w:t>
      </w:r>
      <w:proofErr w:type="spellStart"/>
      <w:r w:rsidRPr="00352324">
        <w:rPr>
          <w:shd w:val="clear" w:color="auto" w:fill="FEFEFE"/>
        </w:rPr>
        <w:t>Syk</w:t>
      </w:r>
      <w:proofErr w:type="spellEnd"/>
      <w:r w:rsidRPr="00352324">
        <w:rPr>
          <w:shd w:val="clear" w:color="auto" w:fill="FEFEFE"/>
        </w:rPr>
        <w:t xml:space="preserve">) Regulates Systemic Lupus Erythematosus (SLE) T Cell Signaling. </w:t>
      </w:r>
      <w:proofErr w:type="spellStart"/>
      <w:r w:rsidRPr="00352324">
        <w:rPr>
          <w:rFonts w:ascii="Times New Roman Bold"/>
          <w:shd w:val="clear" w:color="auto" w:fill="FEFEFE"/>
        </w:rPr>
        <w:t>PLoS</w:t>
      </w:r>
      <w:proofErr w:type="spellEnd"/>
      <w:r w:rsidRPr="00352324">
        <w:rPr>
          <w:rFonts w:ascii="Times New Roman Bold"/>
          <w:shd w:val="clear" w:color="auto" w:fill="FEFEFE"/>
        </w:rPr>
        <w:t xml:space="preserve"> ONE</w:t>
      </w:r>
      <w:r w:rsidRPr="00352324">
        <w:rPr>
          <w:shd w:val="clear" w:color="auto" w:fill="FEFEFE"/>
        </w:rPr>
        <w:t xml:space="preserve">, v. 8, n. 8, 27 ago. 2013. </w:t>
      </w:r>
    </w:p>
    <w:p w14:paraId="14625AA3" w14:textId="77777777" w:rsidR="00224D85" w:rsidRPr="00352324" w:rsidRDefault="00C016F7">
      <w:pPr>
        <w:pStyle w:val="BodyD"/>
        <w:widowControl w:val="0"/>
        <w:spacing w:after="160" w:line="360" w:lineRule="auto"/>
        <w:rPr>
          <w:shd w:val="clear" w:color="auto" w:fill="FEFEFE"/>
        </w:rPr>
      </w:pPr>
      <w:r w:rsidRPr="00352324">
        <w:rPr>
          <w:shd w:val="clear" w:color="auto" w:fill="FEFEFE"/>
        </w:rPr>
        <w:t xml:space="preserve">LAGHI, L. et al. </w:t>
      </w:r>
      <w:proofErr w:type="gramStart"/>
      <w:r w:rsidRPr="00352324">
        <w:rPr>
          <w:shd w:val="clear" w:color="auto" w:fill="FEFEFE"/>
        </w:rPr>
        <w:t>Lack of</w:t>
      </w:r>
      <w:proofErr w:type="gramEnd"/>
      <w:r w:rsidRPr="00352324">
        <w:rPr>
          <w:shd w:val="clear" w:color="auto" w:fill="FEFEFE"/>
        </w:rPr>
        <w:t xml:space="preserve"> mutation at codon 531 of SRC in advanced colorectal cancers from Italian pat</w:t>
      </w:r>
      <w:r w:rsidRPr="00352324">
        <w:rPr>
          <w:shd w:val="clear" w:color="auto" w:fill="FEFEFE"/>
        </w:rPr>
        <w:t xml:space="preserve">ients. </w:t>
      </w:r>
      <w:r w:rsidRPr="00352324">
        <w:rPr>
          <w:rFonts w:ascii="Times New Roman Bold"/>
          <w:shd w:val="clear" w:color="auto" w:fill="FEFEFE"/>
        </w:rPr>
        <w:t>British Journal of Cancer</w:t>
      </w:r>
      <w:r w:rsidRPr="00352324">
        <w:rPr>
          <w:shd w:val="clear" w:color="auto" w:fill="FEFEFE"/>
        </w:rPr>
        <w:t xml:space="preserve">, v. 84, n. 2, p. 196–198, 2001. </w:t>
      </w:r>
    </w:p>
    <w:p w14:paraId="1C3BDB03" w14:textId="77777777" w:rsidR="00224D85" w:rsidRPr="00352324" w:rsidRDefault="00C016F7">
      <w:pPr>
        <w:pStyle w:val="BodyD"/>
        <w:widowControl w:val="0"/>
        <w:spacing w:before="120" w:after="120" w:line="360" w:lineRule="auto"/>
        <w:rPr>
          <w:shd w:val="clear" w:color="auto" w:fill="FEFEFE"/>
        </w:rPr>
      </w:pPr>
      <w:r w:rsidRPr="00352324">
        <w:rPr>
          <w:shd w:val="clear" w:color="auto" w:fill="FEFEFE"/>
        </w:rPr>
        <w:t xml:space="preserve">OPITZ, C. A. et al. The indoleamine-2,3-dioxygenase (IDO) inhibitor 1-methyl-d-tryptophan upregulates IDO1 in human cancer cells. </w:t>
      </w:r>
      <w:proofErr w:type="spellStart"/>
      <w:r w:rsidRPr="00352324">
        <w:rPr>
          <w:rFonts w:ascii="Times New Roman Bold"/>
          <w:shd w:val="clear" w:color="auto" w:fill="FEFEFE"/>
        </w:rPr>
        <w:t>PLoS</w:t>
      </w:r>
      <w:proofErr w:type="spellEnd"/>
      <w:r w:rsidRPr="00352324">
        <w:rPr>
          <w:rFonts w:ascii="Times New Roman Bold"/>
          <w:shd w:val="clear" w:color="auto" w:fill="FEFEFE"/>
        </w:rPr>
        <w:t xml:space="preserve"> ONE</w:t>
      </w:r>
      <w:r w:rsidRPr="00352324">
        <w:rPr>
          <w:shd w:val="clear" w:color="auto" w:fill="FEFEFE"/>
        </w:rPr>
        <w:t xml:space="preserve">, v. 6, n. 5, 2011. </w:t>
      </w:r>
    </w:p>
    <w:p w14:paraId="3F4DB39E" w14:textId="77777777" w:rsidR="00224D85" w:rsidRPr="00352324" w:rsidRDefault="00C016F7">
      <w:pPr>
        <w:pStyle w:val="BodyD"/>
        <w:widowControl w:val="0"/>
        <w:spacing w:before="120" w:after="120" w:line="360" w:lineRule="auto"/>
        <w:rPr>
          <w:shd w:val="clear" w:color="auto" w:fill="FEFEFE"/>
        </w:rPr>
      </w:pPr>
      <w:r w:rsidRPr="00352324">
        <w:rPr>
          <w:shd w:val="clear" w:color="auto" w:fill="FEFEFE"/>
        </w:rPr>
        <w:t>PFAFFL, M. W. A new mathematica</w:t>
      </w:r>
      <w:r w:rsidRPr="00352324">
        <w:rPr>
          <w:shd w:val="clear" w:color="auto" w:fill="FEFEFE"/>
        </w:rPr>
        <w:t xml:space="preserve">l model for relative quantification in real-time RT-PCR. </w:t>
      </w:r>
      <w:r w:rsidRPr="00352324">
        <w:rPr>
          <w:rFonts w:ascii="Times New Roman Bold"/>
          <w:shd w:val="clear" w:color="auto" w:fill="FEFEFE"/>
        </w:rPr>
        <w:t>Nucleic Acids Research</w:t>
      </w:r>
      <w:r w:rsidRPr="00352324">
        <w:rPr>
          <w:shd w:val="clear" w:color="auto" w:fill="FEFEFE"/>
        </w:rPr>
        <w:t xml:space="preserve">, v. 29, n. 9, p. 45e – 45, 1 </w:t>
      </w:r>
      <w:proofErr w:type="spellStart"/>
      <w:r w:rsidRPr="00352324">
        <w:rPr>
          <w:shd w:val="clear" w:color="auto" w:fill="FEFEFE"/>
        </w:rPr>
        <w:t>maio</w:t>
      </w:r>
      <w:proofErr w:type="spellEnd"/>
      <w:r w:rsidRPr="00352324">
        <w:rPr>
          <w:shd w:val="clear" w:color="auto" w:fill="FEFEFE"/>
        </w:rPr>
        <w:t xml:space="preserve"> 2001. </w:t>
      </w:r>
    </w:p>
    <w:p w14:paraId="22F090B6" w14:textId="77777777" w:rsidR="00224D85" w:rsidRDefault="00C016F7">
      <w:pPr>
        <w:pStyle w:val="BodyD"/>
        <w:widowControl w:val="0"/>
        <w:spacing w:before="120" w:after="120" w:line="360" w:lineRule="auto"/>
      </w:pPr>
      <w:r w:rsidRPr="00352324">
        <w:rPr>
          <w:shd w:val="clear" w:color="auto" w:fill="FEFEFE"/>
        </w:rPr>
        <w:t>SCHAUMANN, D. H. S. et al. VCAM-1-positive stromal cells from human bone marrow producing cytokines for B lineage progenitors and for p</w:t>
      </w:r>
      <w:r w:rsidRPr="00352324">
        <w:rPr>
          <w:shd w:val="clear" w:color="auto" w:fill="FEFEFE"/>
        </w:rPr>
        <w:t xml:space="preserve">lasma cells: SDF-1, flt3L, and BAFF. </w:t>
      </w:r>
      <w:r w:rsidRPr="00352324">
        <w:rPr>
          <w:rFonts w:ascii="Times New Roman Bold"/>
          <w:shd w:val="clear" w:color="auto" w:fill="FEFEFE"/>
        </w:rPr>
        <w:t>Molecular Immunology</w:t>
      </w:r>
      <w:r w:rsidRPr="00352324">
        <w:rPr>
          <w:shd w:val="clear" w:color="auto" w:fill="FEFEFE"/>
        </w:rPr>
        <w:t>, v. 44, n. 7, p. 1606–1612, 2007.</w:t>
      </w:r>
      <w:r>
        <w:rPr>
          <w:shd w:val="clear" w:color="auto" w:fill="FEFEFE"/>
        </w:rPr>
        <w:t xml:space="preserve"> </w:t>
      </w:r>
    </w:p>
    <w:sectPr w:rsidR="00224D85" w:rsidSect="00662183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3951" w14:textId="77777777" w:rsidR="00C016F7" w:rsidRDefault="00C016F7">
      <w:r>
        <w:separator/>
      </w:r>
    </w:p>
  </w:endnote>
  <w:endnote w:type="continuationSeparator" w:id="0">
    <w:p w14:paraId="0F8F5216" w14:textId="77777777" w:rsidR="00C016F7" w:rsidRDefault="00C0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F430" w14:textId="77777777" w:rsidR="00224D85" w:rsidRDefault="00224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E7A39" w14:textId="77777777" w:rsidR="00C016F7" w:rsidRDefault="00C016F7">
      <w:r>
        <w:separator/>
      </w:r>
    </w:p>
  </w:footnote>
  <w:footnote w:type="continuationSeparator" w:id="0">
    <w:p w14:paraId="7F9A8B1E" w14:textId="77777777" w:rsidR="00C016F7" w:rsidRDefault="00C0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6FCB" w14:textId="77777777" w:rsidR="00224D85" w:rsidRDefault="00224D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85"/>
    <w:rsid w:val="00224D85"/>
    <w:rsid w:val="00352324"/>
    <w:rsid w:val="00662183"/>
    <w:rsid w:val="00C0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E562A"/>
  <w15:docId w15:val="{40C96FAB-7222-43CF-9927-B05ADE8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ascii="Helvetica" w:hAnsi="Arial Unicode MS" w:cs="Arial Unicode MS"/>
      <w:color w:val="000000"/>
      <w:sz w:val="22"/>
      <w:szCs w:val="22"/>
      <w:u w:color="000000"/>
      <w:lang w:val="pt-PT"/>
    </w:rPr>
  </w:style>
  <w:style w:type="paragraph" w:customStyle="1" w:styleId="TableStyle1A">
    <w:name w:val="Table Style 1 A"/>
    <w:rPr>
      <w:rFonts w:ascii="Helvetica" w:hAnsi="Arial Unicode MS" w:cs="Arial Unicode MS"/>
      <w:b/>
      <w:bCs/>
      <w:color w:val="000000"/>
      <w:u w:color="000000"/>
      <w:lang w:val="pt-PT"/>
    </w:rPr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  <w:lang w:val="pt-PT"/>
    </w:rPr>
  </w:style>
  <w:style w:type="paragraph" w:customStyle="1" w:styleId="BodyD">
    <w:name w:val="Body 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Frontiers Media SA</cp:lastModifiedBy>
  <cp:revision>3</cp:revision>
  <dcterms:created xsi:type="dcterms:W3CDTF">2020-01-27T14:44:00Z</dcterms:created>
  <dcterms:modified xsi:type="dcterms:W3CDTF">2020-01-27T14:48:00Z</dcterms:modified>
</cp:coreProperties>
</file>