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8E" w:rsidRDefault="0008528E" w:rsidP="0008528E">
      <w:pPr>
        <w:rPr>
          <w:lang w:val="en-US"/>
        </w:rPr>
      </w:pPr>
      <w:r>
        <w:rPr>
          <w:lang w:val="en-US"/>
        </w:rPr>
        <w:t xml:space="preserve">Supplementary </w:t>
      </w:r>
      <w:r w:rsidRPr="009F3466">
        <w:rPr>
          <w:lang w:val="en-US"/>
        </w:rPr>
        <w:t xml:space="preserve">Table </w:t>
      </w:r>
      <w:r w:rsidR="0080548D">
        <w:rPr>
          <w:lang w:val="en-US"/>
        </w:rPr>
        <w:t>4</w:t>
      </w:r>
      <w:bookmarkStart w:id="0" w:name="_GoBack"/>
      <w:bookmarkEnd w:id="0"/>
      <w:r w:rsidRPr="009F3466">
        <w:rPr>
          <w:lang w:val="en-US"/>
        </w:rPr>
        <w:t>: Actions prioritized in the Delphi-procedure</w:t>
      </w:r>
    </w:p>
    <w:p w:rsidR="0008528E" w:rsidRPr="009F3466" w:rsidRDefault="0008528E" w:rsidP="0008528E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399"/>
        <w:gridCol w:w="910"/>
        <w:gridCol w:w="510"/>
        <w:gridCol w:w="910"/>
        <w:gridCol w:w="1338"/>
      </w:tblGrid>
      <w:tr w:rsidR="0008528E" w:rsidRPr="009F3466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09" w:type="dxa"/>
            <w:gridSpan w:val="2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Round 1</w:t>
            </w:r>
          </w:p>
        </w:tc>
        <w:tc>
          <w:tcPr>
            <w:tcW w:w="1420" w:type="dxa"/>
            <w:gridSpan w:val="2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Round 2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8528E" w:rsidRPr="009F3466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Action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Top-3, n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Top-3, n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Result (round)</w:t>
            </w:r>
          </w:p>
        </w:tc>
      </w:tr>
      <w:tr w:rsidR="0008528E" w:rsidRPr="009F3466" w:rsidTr="00893390">
        <w:tc>
          <w:tcPr>
            <w:tcW w:w="8711" w:type="dxa"/>
            <w:gridSpan w:val="6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i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i/>
                <w:sz w:val="18"/>
                <w:szCs w:val="18"/>
                <w:lang w:val="en-US"/>
              </w:rPr>
              <w:t>Roles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1. Develop a national guideline on collaboration.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Accepted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2. Make agreements on a regional level about when and who can request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tests.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Rejected (1)</w:t>
            </w:r>
          </w:p>
        </w:tc>
      </w:tr>
      <w:tr w:rsidR="0008528E" w:rsidRPr="00DF67A7" w:rsidTr="00893390">
        <w:tc>
          <w:tcPr>
            <w:tcW w:w="8711" w:type="dxa"/>
            <w:gridSpan w:val="6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i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i/>
                <w:sz w:val="18"/>
                <w:szCs w:val="18"/>
                <w:lang w:val="en-US"/>
              </w:rPr>
              <w:t>Data collection and sharing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3. Define relevant data that should be registered and shared between health care professionals for effective use of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Accepted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4. Further develop the National Link Point to enable easy exchange of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data between health care professionals.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Rejected (2)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5. Facilitate aligned registration for the reason of adjusting a patient’s treatment regime, to monitor and evaluate effectiveness of applying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Rejected (1)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6. Standardize patient data that needs to be registered with regard to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Accepted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7. Adjust or develop software systems to facilitate applying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Rejected (1)</w:t>
            </w:r>
          </w:p>
        </w:tc>
      </w:tr>
      <w:tr w:rsidR="0008528E" w:rsidRPr="00DF67A7" w:rsidTr="00893390">
        <w:tc>
          <w:tcPr>
            <w:tcW w:w="8711" w:type="dxa"/>
            <w:gridSpan w:val="6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i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i/>
                <w:sz w:val="18"/>
                <w:szCs w:val="18"/>
                <w:lang w:val="en-US"/>
              </w:rPr>
              <w:t>Evidence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8. Gather data on the number of prevented ineffective or adverse drug responses through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Accepted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9. Monitor data on the frequency of genetic variants that are tested with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Rejected (1)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10. Validate the predictive value of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tests through prospective or observational research.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Accepted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11. Assess the c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ost saving of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test through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US"/>
              </w:rPr>
              <w:t>ph</w:t>
            </w: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armaco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-economic studies.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Accepted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12. Collect data on the impact on clinical outcomes by assessing the patient experience of the severity of ineffective or adverse drug response.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Accepted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13. Develop aligned patient information on the benefit of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tests.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Accepted</w:t>
            </w:r>
          </w:p>
        </w:tc>
      </w:tr>
      <w:tr w:rsidR="0008528E" w:rsidRPr="00DF67A7" w:rsidTr="00893390">
        <w:tc>
          <w:tcPr>
            <w:tcW w:w="8711" w:type="dxa"/>
            <w:gridSpan w:val="6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i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i/>
                <w:sz w:val="18"/>
                <w:szCs w:val="18"/>
                <w:lang w:val="en-US"/>
              </w:rPr>
              <w:t>Reimbursement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14. Develop aligned patient information on the costs of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test and the impact on their health care insurance reimbursement.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Rejected (1)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15. </w:t>
            </w:r>
            <w:bookmarkStart w:id="1" w:name="_Hlk7081871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Include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PGx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tests as an optional test for general </w:t>
            </w:r>
            <w:proofErr w:type="spellStart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practioners</w:t>
            </w:r>
            <w:proofErr w:type="spellEnd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in their guideline</w:t>
            </w:r>
            <w:bookmarkEnd w:id="1"/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Accepted</w:t>
            </w:r>
          </w:p>
        </w:tc>
      </w:tr>
      <w:tr w:rsidR="0008528E" w:rsidRPr="00DF67A7" w:rsidTr="00893390">
        <w:tc>
          <w:tcPr>
            <w:tcW w:w="4644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16. Define and prioritize disease areas eligible for reimbursement based on data on clinical utility.</w:t>
            </w:r>
          </w:p>
        </w:tc>
        <w:tc>
          <w:tcPr>
            <w:tcW w:w="399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910" w:type="dxa"/>
          </w:tcPr>
          <w:p w:rsidR="0008528E" w:rsidRPr="00DF67A7" w:rsidRDefault="0008528E" w:rsidP="00893390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38" w:type="dxa"/>
          </w:tcPr>
          <w:p w:rsidR="0008528E" w:rsidRPr="00DF67A7" w:rsidRDefault="0008528E" w:rsidP="00893390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F67A7">
              <w:rPr>
                <w:rFonts w:eastAsia="Times New Roman" w:cs="Times New Roman"/>
                <w:sz w:val="18"/>
                <w:szCs w:val="18"/>
                <w:lang w:val="en-US"/>
              </w:rPr>
              <w:t>Rejected (2)</w:t>
            </w:r>
          </w:p>
        </w:tc>
      </w:tr>
    </w:tbl>
    <w:p w:rsidR="0008528E" w:rsidRDefault="0008528E" w:rsidP="0008528E"/>
    <w:p w:rsidR="00BC635F" w:rsidRDefault="00BC635F"/>
    <w:sectPr w:rsidR="00BC6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8E"/>
    <w:rsid w:val="0008528E"/>
    <w:rsid w:val="000917C4"/>
    <w:rsid w:val="0080548D"/>
    <w:rsid w:val="00B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17C4"/>
  <w15:chartTrackingRefBased/>
  <w15:docId w15:val="{AC7FD1B6-E310-44C7-91B7-6A912E41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28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1F0025A1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Tessel Rigter</dc:creator>
  <cp:keywords/>
  <dc:description/>
  <cp:lastModifiedBy>Rigter, T. (Tessel)</cp:lastModifiedBy>
  <cp:revision>2</cp:revision>
  <dcterms:created xsi:type="dcterms:W3CDTF">2019-12-29T18:53:00Z</dcterms:created>
  <dcterms:modified xsi:type="dcterms:W3CDTF">2019-12-29T18:53:00Z</dcterms:modified>
</cp:coreProperties>
</file>