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1E" w:rsidRPr="00C16817" w:rsidRDefault="00115F99" w:rsidP="0026471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i/>
          <w:iCs/>
          <w:sz w:val="24"/>
          <w:szCs w:val="24"/>
        </w:rPr>
        <w:t>PSD:</w:t>
      </w:r>
      <w:r w:rsidR="00F15273" w:rsidRPr="00C16817">
        <w:rPr>
          <w:rFonts w:asciiTheme="majorBidi" w:hAnsiTheme="majorBidi" w:cstheme="majorBidi"/>
          <w:b/>
          <w:bCs/>
          <w:i/>
          <w:iCs/>
          <w:sz w:val="24"/>
          <w:szCs w:val="24"/>
        </w:rPr>
        <w:br/>
      </w:r>
    </w:p>
    <w:p w:rsidR="00CC5BEC" w:rsidRPr="00C16817" w:rsidRDefault="00115F99" w:rsidP="0026471E">
      <w:pPr>
        <w:pStyle w:val="ListParagraph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Kir2</w:t>
      </w:r>
      <w:r w:rsidR="00CC0EBB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channels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6471E" w:rsidRPr="00C16817" w:rsidRDefault="0026471E" w:rsidP="0026471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6471E" w:rsidRPr="00C16817" w:rsidRDefault="0026471E" w:rsidP="00BD145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Leonoudakis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D.,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Mailliard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W.,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Wingerd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K., Clegg, D., and Vandenberg, C. (2001). Inward rectifier potassium channel Kir2.2 is associated with synapse-associated protein SAP97. </w:t>
      </w:r>
      <w:proofErr w:type="spellStart"/>
      <w:proofErr w:type="gramStart"/>
      <w:r w:rsidRPr="00C16817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D638A6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C16817">
        <w:rPr>
          <w:rFonts w:asciiTheme="majorBidi" w:hAnsiTheme="majorBidi" w:cstheme="majorBidi"/>
          <w:i/>
          <w:iCs/>
          <w:sz w:val="24"/>
          <w:szCs w:val="24"/>
        </w:rPr>
        <w:t>Cell</w:t>
      </w:r>
      <w:proofErr w:type="spellEnd"/>
      <w:proofErr w:type="gramEnd"/>
      <w:r w:rsidRPr="00C16817">
        <w:rPr>
          <w:rFonts w:asciiTheme="majorBidi" w:hAnsiTheme="majorBidi" w:cstheme="majorBidi"/>
          <w:i/>
          <w:iCs/>
          <w:sz w:val="24"/>
          <w:szCs w:val="24"/>
        </w:rPr>
        <w:t xml:space="preserve"> Sci</w:t>
      </w:r>
      <w:r w:rsidR="00D638A6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114, 987–998.</w:t>
      </w:r>
    </w:p>
    <w:p w:rsidR="0026471E" w:rsidRPr="00C16817" w:rsidRDefault="00F15273" w:rsidP="0026471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Hoffmann, B.,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Klöcker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Benndorf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K.,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Biskup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C. (2015). Visualization of the dynamics of PSD-95 and Kir2.1 interaction by fluorescence lifetime-based resonance energy transfer imaging. Medical Photonics 27, 70–82. doi:</w:t>
      </w:r>
      <w:hyperlink r:id="rId5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10.1016/j.medpho.2014.11.001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C16817" w:rsidRPr="00C16817" w:rsidRDefault="00AD51DF" w:rsidP="00C1681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NMDA</w:t>
      </w:r>
      <w:r w:rsidR="00CC0EBB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AMPA</w:t>
      </w:r>
      <w:r w:rsidR="00CC0EBB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receptors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6471E" w:rsidRPr="00C16817" w:rsidRDefault="00AD51DF" w:rsidP="00BD145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>Chen, X., Levy, J. M., Hou, A., Winters, C., Azzam, R., Sousa, A. A., et al. (2015). PSD-95 family MAGUKs are essential for anchoring AMPA and NMDA receptor complexes at the postsynaptic density. Proc. Natl. Acad. Sci. U.S.A. 112, E6983-6992. doi:</w:t>
      </w:r>
      <w:hyperlink r:id="rId6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10.1073/pnas.1517045112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AD51DF" w:rsidRPr="00C16817" w:rsidRDefault="00AD51DF" w:rsidP="0026471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Scheefhals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N.,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MacGillavry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H. D. (2018). Functional organization of postsynaptic glutamate receptors. Mol. Cell.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91, 82–94. doi:</w:t>
      </w:r>
      <w:hyperlink r:id="rId7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10.1016/j.mcn.2018.05.002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C16817" w:rsidRPr="00C16817" w:rsidRDefault="00AD51DF" w:rsidP="00C1681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b/>
          <w:bCs/>
          <w:sz w:val="24"/>
          <w:szCs w:val="24"/>
        </w:rPr>
        <w:t>Glycin</w:t>
      </w:r>
      <w:proofErr w:type="spellEnd"/>
      <w:r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0EBB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GABA(A) </w:t>
      </w:r>
      <w:r w:rsidR="00CC0EBB" w:rsidRPr="00C16817">
        <w:rPr>
          <w:rFonts w:asciiTheme="majorBidi" w:hAnsiTheme="majorBidi" w:cstheme="majorBidi"/>
          <w:b/>
          <w:bCs/>
          <w:sz w:val="24"/>
          <w:szCs w:val="24"/>
        </w:rPr>
        <w:t>receptors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D145A" w:rsidRPr="00C16817" w:rsidRDefault="00BD145A" w:rsidP="00BD145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Patrizio, A., Renner, M.,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Pizzarelli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R.,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Triller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A., and Specht, C. G. (2017). Alpha subunit-dependent glycine receptor clustering and regulation of synaptic receptor numbers. Sci</w:t>
      </w:r>
      <w:r w:rsidR="00A45D58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Rep</w:t>
      </w:r>
      <w:r w:rsidR="00A45D58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7, 10899. doi:</w:t>
      </w:r>
      <w:hyperlink r:id="rId8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10.1038/s41598-017-11264-3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D145A" w:rsidRPr="00C16817" w:rsidRDefault="00BD145A" w:rsidP="00BD145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Kasaragod, V. B.,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Schindelin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H. (2018). Structure–Function Relationships of Glycine and GABAA Receptors and Their Interplay </w:t>
      </w:r>
      <w:proofErr w:type="gramStart"/>
      <w:r w:rsidRPr="00C16817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C16817">
        <w:rPr>
          <w:rFonts w:asciiTheme="majorBidi" w:hAnsiTheme="majorBidi" w:cstheme="majorBidi"/>
          <w:sz w:val="24"/>
          <w:szCs w:val="24"/>
        </w:rPr>
        <w:t xml:space="preserve"> the Scaffolding Protein Gephyrin. Front</w:t>
      </w:r>
      <w:r w:rsidR="00A45D58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Mol</w:t>
      </w:r>
      <w:r w:rsidR="00A45D58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="00A45D58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11. doi:</w:t>
      </w:r>
      <w:hyperlink r:id="rId9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10.3389/fnmol.2018.00317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CC0EBB" w:rsidRPr="00C16817" w:rsidRDefault="00BD145A" w:rsidP="009F5E9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Tretter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V., Jacob, T. C., Mukherjee, J.,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Fritschy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J.-M.,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Pangalos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N., and Moss, S. J. (2008). The Clustering of GABAA Receptor Subtypes at Inhibitory Synapses is Facilitated via the Direct Binding of Receptor α2 Subunits to Gephyrin.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28, 1356–1365. doi:</w:t>
      </w:r>
      <w:hyperlink r:id="rId10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10.1523/JNEUROSCI.5050-07.2008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9F5E93" w:rsidRPr="00C16817" w:rsidRDefault="009F5E93" w:rsidP="009F5E93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2770EC" w:rsidRPr="00C16817" w:rsidRDefault="002770EC" w:rsidP="009F5E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i/>
          <w:iCs/>
          <w:sz w:val="24"/>
          <w:szCs w:val="24"/>
        </w:rPr>
        <w:t>AIS:</w:t>
      </w:r>
    </w:p>
    <w:p w:rsidR="00AB42F4" w:rsidRPr="00C16817" w:rsidRDefault="00115F99" w:rsidP="00AB42F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70EC" w:rsidRPr="00C16817">
        <w:rPr>
          <w:rFonts w:asciiTheme="majorBidi" w:hAnsiTheme="majorBidi" w:cstheme="majorBidi"/>
          <w:b/>
          <w:bCs/>
          <w:sz w:val="24"/>
          <w:szCs w:val="24"/>
        </w:rPr>
        <w:t>Kv1 channels:</w:t>
      </w:r>
    </w:p>
    <w:p w:rsidR="00977C40" w:rsidRPr="00C16817" w:rsidRDefault="002770EC" w:rsidP="0061121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Leterrier, C. (2018). The Axon Initial Segment: An Updated Viewpoint.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38, 2135–2145. doi:</w:t>
      </w:r>
      <w:hyperlink r:id="rId11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10.1523/JNEUROSCI.1922-17.2018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AB42F4" w:rsidRPr="00C16817" w:rsidRDefault="00AB42F4" w:rsidP="00A45D5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Kole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H. P.,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Letzkus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 J., and Stuart, G. J. (2007). Axon initial </w:t>
      </w:r>
      <w:r w:rsidRPr="00A45D58">
        <w:rPr>
          <w:rFonts w:asciiTheme="majorBidi" w:hAnsiTheme="majorBidi" w:cstheme="majorBidi"/>
          <w:sz w:val="24"/>
          <w:szCs w:val="24"/>
        </w:rPr>
        <w:t xml:space="preserve">segment Kv1 channels control axonal action potential waveform and synaptic efficacy. Neuron 55, 633–647. </w:t>
      </w:r>
      <w:proofErr w:type="gramStart"/>
      <w:r w:rsidRPr="00A45D58">
        <w:rPr>
          <w:rFonts w:asciiTheme="majorBidi" w:hAnsiTheme="majorBidi" w:cstheme="majorBidi"/>
          <w:sz w:val="24"/>
          <w:szCs w:val="24"/>
        </w:rPr>
        <w:t>doi:10.1016/j.neuron</w:t>
      </w:r>
      <w:proofErr w:type="gramEnd"/>
      <w:r w:rsidRPr="00A45D58">
        <w:rPr>
          <w:rFonts w:asciiTheme="majorBidi" w:hAnsiTheme="majorBidi" w:cstheme="majorBidi"/>
          <w:sz w:val="24"/>
          <w:szCs w:val="24"/>
        </w:rPr>
        <w:t>.2007.07.031.</w:t>
      </w:r>
    </w:p>
    <w:p w:rsidR="00F76C0C" w:rsidRPr="00C16817" w:rsidRDefault="00F76C0C" w:rsidP="00AB42F4">
      <w:pPr>
        <w:spacing w:after="0" w:line="240" w:lineRule="auto"/>
        <w:ind w:hanging="480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115F99" w:rsidRPr="00C16817" w:rsidRDefault="00611211" w:rsidP="004C770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Ogawa, Y.,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Horresh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I., Trimmer, J. S.,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Bredt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D. S.,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Peles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E.,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 (2008). Postsynaptic density-93 clusters Kv1 channels at axon initial segments independently of Caspr2.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28, 5731–5739. doi:</w:t>
      </w:r>
      <w:hyperlink r:id="rId12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10.1523/JNEUROSCI.4431-07.2008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611211" w:rsidRPr="00C16817" w:rsidRDefault="00611211" w:rsidP="004C770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Traka, M.,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Goutebroze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L.,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Denisenko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N.,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Bessa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Nifli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Havaki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S., et al. (2003). Association of TAG-1 with Caspr2 is essential for the molecular organization of juxtaparanodal regions of myelinated fibers. J. Cell Biol. 162, 1161–1172. doi:</w:t>
      </w:r>
      <w:hyperlink r:id="rId13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10.1083/jcb.200305078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F9223C" w:rsidRPr="00C16817" w:rsidRDefault="00F922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Nav channels:</w:t>
      </w:r>
    </w:p>
    <w:p w:rsidR="0005598C" w:rsidRPr="00C16817" w:rsidRDefault="0005598C" w:rsidP="004C77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Freeman, S. A.,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Desmazières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A., Fricker, D.,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Lubetzki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C., and Sol-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Foulon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N. (2016). Mechanisms of sodium channel clustering and its influence on axonal impulse conduction. Cell. Mol. Life Sci. 73, 723–735. doi:</w:t>
      </w:r>
      <w:hyperlink r:id="rId14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10.1007/s00018-015-2081-1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05598C" w:rsidRPr="00C16817" w:rsidRDefault="0005598C" w:rsidP="004C77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Garrido, J. J., Giraud, P.,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Carlier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E., Fernandes, F.,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Moussif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Fache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M.-P., et al. (2003). A Targeting Motif Involved in Sodium Channel Clustering at the Axonal Initial Segment. Science 300, 2091–2094. doi:</w:t>
      </w:r>
      <w:hyperlink r:id="rId15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10.1126/science.1085167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05598C" w:rsidRPr="00C16817" w:rsidRDefault="0005598C" w:rsidP="004C77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Lemaillet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G., Walker, B., and Lambert, S. (2003). Identification of a Conserved Ankyrin-binding Motif in the Family of Sodium Channel α Subunits. J. Biol. Chem. 278, 27333–27339. doi:</w:t>
      </w:r>
      <w:hyperlink r:id="rId16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10.1074/jbc.M303327200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91587F" w:rsidRPr="00C16817" w:rsidRDefault="0005598C" w:rsidP="004C770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Misonou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H. (2018). Precise localizations of voltage-gated sodium and potassium channels in neurons. Dev</w:t>
      </w:r>
      <w:r w:rsidR="00093C44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Neurobiol</w:t>
      </w:r>
      <w:proofErr w:type="spellEnd"/>
      <w:r w:rsidR="00D3292A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78, 271–282. doi:</w:t>
      </w:r>
      <w:hyperlink r:id="rId17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10.1002/dneu.22565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6F29F5" w:rsidRPr="00C16817" w:rsidRDefault="0091587F" w:rsidP="00234C2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Zhou, D., Lambert, S.,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Malen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P. L., Carpenter, S., Boland, L. M., and Bennett, V. (1998).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AnkyrinG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 is required for clustering of voltage-gated Na channels at axon initial segments and for normal action potential firing. J. Cell Biol. 143, 1295–1304. doi:</w:t>
      </w:r>
      <w:hyperlink r:id="rId18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10.1083/jcb.143.5.1295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4D09BF" w:rsidRPr="00C16817" w:rsidRDefault="0005598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Kv2 channels:</w:t>
      </w:r>
    </w:p>
    <w:p w:rsidR="00807192" w:rsidRPr="00C16817" w:rsidRDefault="00807192" w:rsidP="00234C2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Jensen, C. S., Watanabe, S., Stas, J. I.,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Klaphaak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J., Yamane, A., Schmitt, N., et al. (2017). Trafficking of Kv2.1 Channels to the Axon Initial Segment by a Novel Nonconventional Secretory Pathway. J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 37, 11523–11536. doi:</w:t>
      </w:r>
      <w:hyperlink r:id="rId19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10.1523/JNEUROSCI.3510-16.2017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A735F9" w:rsidRPr="00C16817" w:rsidRDefault="00807192" w:rsidP="00FC4836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>King, A. N., Manning, C. F., and Trimmer, J. S. (2014). A unique ion channel clustering domain on the axon initial segment of mammalian neurons. J</w:t>
      </w:r>
      <w:r w:rsidR="00093523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Comp</w:t>
      </w:r>
      <w:r w:rsidR="00093523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Neurol</w:t>
      </w:r>
      <w:r w:rsidR="00093523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522, 2594–2608. doi:</w:t>
      </w:r>
      <w:hyperlink r:id="rId20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10.1002/cne.23551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C565DD" w:rsidRPr="00C16817" w:rsidRDefault="00C565D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KCNQ</w:t>
      </w:r>
      <w:r w:rsidR="00E4567E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channels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A2A18" w:rsidRPr="00C16817" w:rsidRDefault="003A2A18" w:rsidP="00FC48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lastRenderedPageBreak/>
        <w:t>Klinger, F., Gould, G., Boehm, S., and Shapiro, M. S. (2011). Distribution of M-channel subunits KCNQ2 and KCNQ3 in rat hippocampus. Neuroimage</w:t>
      </w:r>
      <w:r w:rsidR="007871CB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58, 761–769. doi:</w:t>
      </w:r>
      <w:hyperlink r:id="rId21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10.1016/j.neuroimage.2011.07.003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7E796B" w:rsidRPr="00C16817" w:rsidRDefault="007E796B" w:rsidP="00FC4836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Pan, Z. (2006). A Common Ankyrin-G-Based Mechanism Retains KCNQ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NaV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 Channels at Electrically Active Domains of the Axon. J</w:t>
      </w:r>
      <w:r w:rsidR="007871CB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="007871CB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26, 2599–2613. doi:</w:t>
      </w:r>
      <w:hyperlink r:id="rId22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10.1523/JNEUROSCI.4314-05.2006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C565DD" w:rsidRPr="00C16817" w:rsidRDefault="00C565D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0B33" w:rsidRPr="00C16817" w:rsidRDefault="00DF0B33" w:rsidP="00835E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NODES</w:t>
      </w:r>
      <w:r w:rsidR="007520A0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OF THE RANVIER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C757A" w:rsidRPr="00C16817" w:rsidRDefault="00AC757A" w:rsidP="00AC757A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C757A" w:rsidRPr="00C16817" w:rsidRDefault="00F714E5" w:rsidP="00AC757A">
      <w:pPr>
        <w:spacing w:line="240" w:lineRule="auto"/>
        <w:ind w:left="48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KCNQ</w:t>
      </w:r>
      <w:r w:rsidR="006F03F5"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 xml:space="preserve"> channels</w:t>
      </w: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:</w:t>
      </w:r>
    </w:p>
    <w:p w:rsidR="00DF0B33" w:rsidRPr="00C16817" w:rsidRDefault="00DF0B33" w:rsidP="00835E5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Devaux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 J.,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Kleopa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K. A., Cooper, E. C., and Scherer, S. S. (2004). KCNQ2 is a nodal K+ channel.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24, 1236–1244. doi:</w:t>
      </w:r>
      <w:hyperlink r:id="rId23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10.1523/JNEUROSCI.4512-03.2004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6F03F5" w:rsidRPr="00F40EBA" w:rsidRDefault="001423F8" w:rsidP="00F40EB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>Klinger, F., Gould, G., Boehm, S., and Shapiro, M. S. (2011). Distribution of M-channel subunits KCNQ2 and KCNQ3 in rat hippocampus. Neuroimage</w:t>
      </w:r>
      <w:r w:rsidR="00BE1B5A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58, 761–769. doi:</w:t>
      </w:r>
      <w:hyperlink r:id="rId24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10.1016/j.neuroimage.2011.07.003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  <w:r w:rsidR="00B15463" w:rsidRPr="00C16817">
        <w:rPr>
          <w:rFonts w:asciiTheme="majorBidi" w:hAnsiTheme="majorBidi" w:cstheme="majorBidi"/>
          <w:sz w:val="24"/>
          <w:szCs w:val="24"/>
        </w:rPr>
        <w:t>s</w:t>
      </w:r>
    </w:p>
    <w:p w:rsidR="006F03F5" w:rsidRPr="00C16817" w:rsidRDefault="006F03F5" w:rsidP="00AC757A">
      <w:pPr>
        <w:spacing w:after="0" w:line="240" w:lineRule="auto"/>
        <w:ind w:left="48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proofErr w:type="spellStart"/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NaV</w:t>
      </w:r>
      <w:proofErr w:type="spellEnd"/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 xml:space="preserve"> channels:</w:t>
      </w:r>
    </w:p>
    <w:p w:rsidR="00357D19" w:rsidRPr="00C16817" w:rsidRDefault="00357D19" w:rsidP="001423F8">
      <w:pPr>
        <w:spacing w:after="0" w:line="240" w:lineRule="auto"/>
        <w:ind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357D19" w:rsidRPr="00C16817" w:rsidRDefault="00357D19" w:rsidP="00B1546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Freeman, S. A.,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Desmazières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A., Fricker, D.,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Lubetzki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C., and Sol-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Foulon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N. (2016). Mechanisms of sodium channel clustering and its influence on axonal impulse conduction. Cell. Mol. Life Sci. 73, 723–735. doi:</w:t>
      </w:r>
      <w:hyperlink r:id="rId25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10.1007/s00018-015-2081-1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357D19" w:rsidRPr="00C16817" w:rsidRDefault="00357D19" w:rsidP="00B1546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Lemaillet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G., Walker, B., and Lambert, S. (2003). Identification of a Conserved Ankyrin-binding Motif in the Family of Sodium Channel α Subunits. J. Biol. Chem. 278, 27333–27339. doi:</w:t>
      </w:r>
      <w:hyperlink r:id="rId26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10.1074/jbc.M303327200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357D19" w:rsidRPr="00C16817" w:rsidRDefault="00357D19" w:rsidP="00B15463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Misonou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H. (2018). Precise localizations of voltage-gated sodium and potassium channels in neurons. Dev</w:t>
      </w:r>
      <w:r w:rsidR="00BE1B5A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Neurobiol</w:t>
      </w:r>
      <w:proofErr w:type="spellEnd"/>
      <w:r w:rsidR="00BE1B5A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78, 271–282. doi:</w:t>
      </w:r>
      <w:hyperlink r:id="rId27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10.1002/dneu.22565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071AFB" w:rsidRPr="00C16817" w:rsidRDefault="00D21242" w:rsidP="00FA73B5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Salzer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 L. (1997). Clustering sodium channels at the node of Ranvier: close encounters of the axon-glia kind. </w:t>
      </w:r>
      <w:r w:rsidRPr="00C16817">
        <w:rPr>
          <w:rFonts w:asciiTheme="majorBidi" w:hAnsiTheme="majorBidi" w:cstheme="majorBidi"/>
          <w:i/>
          <w:iCs/>
          <w:sz w:val="24"/>
          <w:szCs w:val="24"/>
        </w:rPr>
        <w:t>Neuron</w:t>
      </w:r>
      <w:r w:rsidRPr="00C16817">
        <w:rPr>
          <w:rFonts w:asciiTheme="majorBidi" w:hAnsiTheme="majorBidi" w:cstheme="majorBidi"/>
          <w:sz w:val="24"/>
          <w:szCs w:val="24"/>
        </w:rPr>
        <w:t xml:space="preserve"> 18, 843–846. doi:</w:t>
      </w:r>
      <w:hyperlink r:id="rId28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10.1016/s0896-6273(00)80323-2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DF0B33" w:rsidRPr="00C16817" w:rsidRDefault="00071AFB" w:rsidP="00071A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Kv3.1</w:t>
      </w:r>
      <w:r w:rsidR="00FA73B5" w:rsidRPr="00C16817">
        <w:rPr>
          <w:rFonts w:asciiTheme="majorBidi" w:hAnsiTheme="majorBidi" w:cstheme="majorBidi"/>
          <w:b/>
          <w:bCs/>
          <w:sz w:val="24"/>
          <w:szCs w:val="24"/>
        </w:rPr>
        <w:t xml:space="preserve"> channels</w:t>
      </w:r>
      <w:r w:rsidRPr="00C1681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0586E" w:rsidRPr="00C16817" w:rsidRDefault="00966C8C" w:rsidP="00966C8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Xu, M., Cao, R., Xiao, R., Zhu, M. X., and Gu, C. (2007). The axon-dendrite targeting of Kv3 (Shaw) channels is determined by a targeting motif that associates with the T1 domain and ankyrin G.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27, 14158–14170. doi:</w:t>
      </w:r>
      <w:hyperlink r:id="rId29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10.1523/JNEUROSCI.3675-07.2007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966C8C" w:rsidRPr="00C16817" w:rsidRDefault="00966C8C" w:rsidP="00966C8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Devaux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J., Alcaraz, G.,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Grinspan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J., Bennett, V., Joho, R., Crest, M., et al. (2003). Kv3.1b is a novel component of CNS nodes.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23, 4509–4518.</w:t>
      </w:r>
    </w:p>
    <w:p w:rsidR="00966C8C" w:rsidRPr="00F40EBA" w:rsidRDefault="00966C8C" w:rsidP="00F40EB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M. N. (2010). Clustered K+ channel complexes in axons. Neuroscience Letters 486, 101–106. doi:</w:t>
      </w:r>
      <w:hyperlink r:id="rId30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10.1016/j.neulet.2010.08.081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966C8C" w:rsidRPr="00C16817" w:rsidRDefault="00966C8C" w:rsidP="00966C8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F0B33" w:rsidRPr="00C16817" w:rsidRDefault="00DF0B33" w:rsidP="00AC757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JUXTAPARANODES:</w:t>
      </w:r>
    </w:p>
    <w:p w:rsidR="007829D3" w:rsidRPr="00C16817" w:rsidRDefault="007829D3" w:rsidP="00AC757A">
      <w:pPr>
        <w:spacing w:after="0" w:line="240" w:lineRule="auto"/>
        <w:ind w:left="48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Kv1</w:t>
      </w:r>
      <w:r w:rsidR="00816B28"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 xml:space="preserve"> channels</w:t>
      </w: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:</w:t>
      </w:r>
    </w:p>
    <w:p w:rsidR="00AC757A" w:rsidRPr="00C16817" w:rsidRDefault="00AC757A" w:rsidP="00AC757A">
      <w:pPr>
        <w:spacing w:after="0" w:line="240" w:lineRule="auto"/>
        <w:ind w:left="48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966C8C" w:rsidRPr="00C16817" w:rsidRDefault="00966C8C" w:rsidP="00EC496B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 (2004). It’s “juxta” potassium channel!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Res. 76, 749–757. doi:</w:t>
      </w:r>
      <w:hyperlink r:id="rId31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10.1002/jnr.20073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EC496B" w:rsidRPr="00C16817" w:rsidRDefault="00EC496B" w:rsidP="00C1681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 (2010). Clustered K+ channel complexes in axons.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="00A11399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Lett</w:t>
      </w:r>
      <w:r w:rsidR="00A11399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486, 101–106. doi:</w:t>
      </w:r>
      <w:hyperlink r:id="rId32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10.1016/j.neulet.2010.08.081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563D79" w:rsidRPr="00C16817" w:rsidRDefault="00563D79" w:rsidP="0059200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Ogawa, Y.,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Oses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-Prieto, J., Kim, M. Y.,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Horresh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I.,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Peles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E., Burlingame, A. L., et al. (2010). ADAM22, a Kv1 channel-interacting protein, </w:t>
      </w:r>
      <w:proofErr w:type="gramStart"/>
      <w:r w:rsidRPr="00C16817">
        <w:rPr>
          <w:rFonts w:asciiTheme="majorBidi" w:hAnsiTheme="majorBidi" w:cstheme="majorBidi"/>
          <w:sz w:val="24"/>
          <w:szCs w:val="24"/>
        </w:rPr>
        <w:t>recruits</w:t>
      </w:r>
      <w:proofErr w:type="gramEnd"/>
      <w:r w:rsidRPr="00C16817">
        <w:rPr>
          <w:rFonts w:asciiTheme="majorBidi" w:hAnsiTheme="majorBidi" w:cstheme="majorBidi"/>
          <w:sz w:val="24"/>
          <w:szCs w:val="24"/>
        </w:rPr>
        <w:t xml:space="preserve"> membrane-associated guanylate kinases to juxtaparanodes of myelinated axons. J.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30, 1038–1048. doi:</w:t>
      </w:r>
      <w:hyperlink r:id="rId33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10.1523/JNEUROSCI.4661-09.2010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592003" w:rsidRPr="00C16817" w:rsidRDefault="00592003" w:rsidP="0059200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Wang, H., Kunkel, D. D., Martin, T. M.,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Schwartzkroin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P. A.,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Tempel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B. L. (1993).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Heteromultimeric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 K+ channels in terminal and juxtaparanodal regions of neurons. Nature 365, 75–79. doi:</w:t>
      </w:r>
      <w:hyperlink r:id="rId34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10.1038/365075a0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9228EE" w:rsidRPr="00C16817" w:rsidRDefault="00592003" w:rsidP="0059200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Poliak, S., Salomon, D.,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Elhanany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H.,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Sabanay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H., Kiernan, B.,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Pevny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L., et al. (2003). Juxtaparanodal clustering of Shaker-like K+ channels in myelinated axons depends on Caspr2 and TAG-1. J. Cell Biol. 162, 1149–1160. doi:</w:t>
      </w:r>
      <w:hyperlink r:id="rId35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10.1083/jcb.200305018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293EDF" w:rsidRPr="00C16817" w:rsidRDefault="00592003" w:rsidP="0059200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Arancibia-Carcamo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I. L.,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Attwell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D. (2014). The node of Ranvier in CNS pathology. Acta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Neuropathol</w:t>
      </w:r>
      <w:proofErr w:type="spellEnd"/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128, 161–175. doi:</w:t>
      </w:r>
      <w:hyperlink r:id="rId36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10.1007/s00401-014-1305-z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096FCF" w:rsidRPr="00C16817" w:rsidRDefault="00592003" w:rsidP="0070722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N., Park, E. W., Zhen, D., Arbuckle, M. I., Poliak, S.,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Peles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E., et al. (2002). Clustering of neuronal potassium channels is independent of their interaction with PSD-95. J</w:t>
      </w:r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Cell Biol</w:t>
      </w:r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159, 663–672. doi:</w:t>
      </w:r>
      <w:hyperlink r:id="rId37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10.1083/jcb.200206024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096FCF" w:rsidRPr="00C16817" w:rsidRDefault="00096FCF" w:rsidP="00F45BDF">
      <w:pPr>
        <w:spacing w:after="0" w:line="240" w:lineRule="auto"/>
        <w:ind w:hanging="480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707225" w:rsidRPr="00F40EBA" w:rsidRDefault="00E57AB1" w:rsidP="00F40EB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ACTIVE ZONE:</w:t>
      </w:r>
    </w:p>
    <w:p w:rsidR="00E57AB1" w:rsidRPr="00C16817" w:rsidRDefault="00E57AB1" w:rsidP="00A14CC9">
      <w:pPr>
        <w:spacing w:after="0" w:line="240" w:lineRule="auto"/>
        <w:ind w:hanging="480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E57AB1" w:rsidRPr="00C16817" w:rsidRDefault="00E57AB1" w:rsidP="00AC757A">
      <w:pPr>
        <w:spacing w:after="0" w:line="240" w:lineRule="auto"/>
        <w:ind w:left="48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  <w:proofErr w:type="spellStart"/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C</w:t>
      </w:r>
      <w:r w:rsidR="00AC757A"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a</w:t>
      </w: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V</w:t>
      </w:r>
      <w:proofErr w:type="spellEnd"/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 xml:space="preserve"> </w:t>
      </w:r>
      <w:r w:rsidR="00AC757A"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channels</w:t>
      </w:r>
      <w:r w:rsidRPr="00C16817"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  <w:t>:</w:t>
      </w:r>
    </w:p>
    <w:p w:rsidR="00AC757A" w:rsidRPr="00C16817" w:rsidRDefault="00AC757A" w:rsidP="00AC757A">
      <w:pPr>
        <w:spacing w:after="0" w:line="240" w:lineRule="auto"/>
        <w:ind w:left="840" w:hanging="480"/>
        <w:rPr>
          <w:rFonts w:asciiTheme="majorBidi" w:eastAsia="Times New Roman" w:hAnsiTheme="majorBidi" w:cstheme="majorBidi"/>
          <w:b/>
          <w:bCs/>
          <w:sz w:val="24"/>
          <w:szCs w:val="24"/>
          <w:lang w:bidi="he-IL"/>
        </w:rPr>
      </w:pPr>
    </w:p>
    <w:p w:rsidR="00B07E59" w:rsidRPr="00C16817" w:rsidRDefault="00B07E59" w:rsidP="00AC757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Gundelfinger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E. D., and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Fejtova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A. (2012). Molecular organization and plasticity of the cytomatrix at the active zone.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Curr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Opin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Neurobiol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. 22, 423–430. doi:</w:t>
      </w:r>
      <w:hyperlink r:id="rId38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10.1016/j.conb.2011.10.005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07E59" w:rsidRPr="00C16817" w:rsidRDefault="00B07E59" w:rsidP="00AC757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Kaeser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P. S., Deng, L., Wang, Y.,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Dulubova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I., Liu, X.,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Rizo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J., et al. (2011). RIM proteins tether Ca2+-channels to presynaptic active zones via a direct PDZ-domain interaction. Cell 144, 282–295. doi:</w:t>
      </w:r>
      <w:hyperlink r:id="rId39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10.1016/j.cell.2010.12.029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07E59" w:rsidRPr="00C16817" w:rsidRDefault="00B07E59" w:rsidP="00AC757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Krinner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Butola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T., Jung, S., Wichmann, C., and Moser, T. (2017). RIM-Binding Protein 2 Promotes </w:t>
      </w:r>
      <w:proofErr w:type="gramStart"/>
      <w:r w:rsidRPr="00C16817">
        <w:rPr>
          <w:rFonts w:asciiTheme="majorBidi" w:hAnsiTheme="majorBidi" w:cstheme="majorBidi"/>
          <w:sz w:val="24"/>
          <w:szCs w:val="24"/>
        </w:rPr>
        <w:t>a Large Number of</w:t>
      </w:r>
      <w:proofErr w:type="gramEnd"/>
      <w:r w:rsidRPr="00C16817">
        <w:rPr>
          <w:rFonts w:asciiTheme="majorBidi" w:hAnsiTheme="majorBidi" w:cstheme="majorBidi"/>
          <w:sz w:val="24"/>
          <w:szCs w:val="24"/>
        </w:rPr>
        <w:t xml:space="preserve"> CaV1.3 Ca2+-Channels and Contributes to Fast Synaptic Vesicle Replenishment at Hair Cell Active Zones. Front</w:t>
      </w:r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Cell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spellEnd"/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11. doi:</w:t>
      </w:r>
      <w:hyperlink r:id="rId40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10.3389/fncel.2017.00334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07E59" w:rsidRPr="00C16817" w:rsidRDefault="00B07E59" w:rsidP="00AC757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16817">
        <w:rPr>
          <w:rFonts w:asciiTheme="majorBidi" w:hAnsiTheme="majorBidi" w:cstheme="majorBidi"/>
          <w:sz w:val="24"/>
          <w:szCs w:val="24"/>
        </w:rPr>
        <w:t xml:space="preserve">Miki, T., Kaufmann, W. A.,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Malagon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G., Gomez, L.,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Tabuchi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K., Watanabe, M., et al. (2017). Numbers of presynaptic Ca2+ channel clusters match those of functionally </w:t>
      </w:r>
      <w:r w:rsidRPr="00C16817">
        <w:rPr>
          <w:rFonts w:asciiTheme="majorBidi" w:hAnsiTheme="majorBidi" w:cstheme="majorBidi"/>
          <w:sz w:val="24"/>
          <w:szCs w:val="24"/>
        </w:rPr>
        <w:lastRenderedPageBreak/>
        <w:t>defined vesicular docking sites in single central synapses. Proc. Natl. Acad. Sci. U.S.A. 114, E5246–E5255. doi:</w:t>
      </w:r>
      <w:hyperlink r:id="rId41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10.1073/pnas.1704470114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07E59" w:rsidRPr="00C16817" w:rsidRDefault="00B07E59" w:rsidP="00AC757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Südhof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T. C. (2012). The presynaptic active zone. Neuron 75, 11–25. doi:</w:t>
      </w:r>
      <w:hyperlink r:id="rId42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10.1016/j.neuron.2012.06.012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E57AB1" w:rsidRPr="00C16817" w:rsidRDefault="00E57AB1" w:rsidP="00A14CC9">
      <w:pPr>
        <w:spacing w:after="0" w:line="240" w:lineRule="auto"/>
        <w:ind w:hanging="480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:rsidR="00A14CC9" w:rsidRPr="00C16817" w:rsidRDefault="00B07E5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16817">
        <w:rPr>
          <w:rFonts w:asciiTheme="majorBidi" w:hAnsiTheme="majorBidi" w:cstheme="majorBidi"/>
          <w:b/>
          <w:bCs/>
          <w:sz w:val="24"/>
          <w:szCs w:val="24"/>
        </w:rPr>
        <w:t>Basket cell terminals:</w:t>
      </w:r>
    </w:p>
    <w:p w:rsidR="00EA3A41" w:rsidRPr="00C16817" w:rsidRDefault="00EA3A41" w:rsidP="001C22A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Kole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J., Qian, J.,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Waase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P., Klassen, T. L., Chen, T. T., Augustine, G. J., et al. (2015). Selective Loss of Presynaptic Potassium Channel Clusters at the Cerebellar Basket Cell Terminal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Pinceau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 in Adam11 Mutants Reveals Their Role in Ephaptic Control of Purkinje Cell Firing. </w:t>
      </w:r>
      <w:proofErr w:type="spellStart"/>
      <w:proofErr w:type="gramStart"/>
      <w:r w:rsidRPr="00C16817">
        <w:rPr>
          <w:rFonts w:asciiTheme="majorBidi" w:hAnsiTheme="majorBidi" w:cstheme="majorBidi"/>
          <w:sz w:val="24"/>
          <w:szCs w:val="24"/>
        </w:rPr>
        <w:t>J</w:t>
      </w:r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>Neurosci</w:t>
      </w:r>
      <w:proofErr w:type="gramEnd"/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35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>, 11433–11444. doi:</w:t>
      </w:r>
      <w:hyperlink r:id="rId43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10.1523/JNEUROSCI.1346-15.2015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EA3A41" w:rsidRPr="00C16817" w:rsidRDefault="00EA3A41" w:rsidP="001C22AB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16817">
        <w:rPr>
          <w:rFonts w:asciiTheme="majorBidi" w:hAnsiTheme="majorBidi" w:cstheme="majorBidi"/>
          <w:sz w:val="24"/>
          <w:szCs w:val="24"/>
        </w:rPr>
        <w:t>Rasband</w:t>
      </w:r>
      <w:proofErr w:type="spellEnd"/>
      <w:r w:rsidRPr="00C16817">
        <w:rPr>
          <w:rFonts w:asciiTheme="majorBidi" w:hAnsiTheme="majorBidi" w:cstheme="majorBidi"/>
          <w:sz w:val="24"/>
          <w:szCs w:val="24"/>
        </w:rPr>
        <w:t xml:space="preserve">, M. N. (2010). Clustered K+ channel complexes in axons. </w:t>
      </w:r>
      <w:proofErr w:type="spellStart"/>
      <w:r w:rsidRPr="00C16817">
        <w:rPr>
          <w:rFonts w:asciiTheme="majorBidi" w:hAnsiTheme="majorBidi" w:cstheme="majorBidi"/>
          <w:sz w:val="24"/>
          <w:szCs w:val="24"/>
        </w:rPr>
        <w:t>Neurosc</w:t>
      </w:r>
      <w:r w:rsidR="003D50AF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="003D50AF">
        <w:rPr>
          <w:rFonts w:asciiTheme="majorBidi" w:hAnsiTheme="majorBidi" w:cstheme="majorBidi"/>
          <w:sz w:val="24"/>
          <w:szCs w:val="24"/>
        </w:rPr>
        <w:t>.</w:t>
      </w:r>
      <w:r w:rsidRPr="00C16817">
        <w:rPr>
          <w:rFonts w:asciiTheme="majorBidi" w:hAnsiTheme="majorBidi" w:cstheme="majorBidi"/>
          <w:sz w:val="24"/>
          <w:szCs w:val="24"/>
        </w:rPr>
        <w:t xml:space="preserve"> Lett</w:t>
      </w:r>
      <w:r w:rsidR="003D50AF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  <w:r w:rsidRPr="00C16817">
        <w:rPr>
          <w:rFonts w:asciiTheme="majorBidi" w:hAnsiTheme="majorBidi" w:cstheme="majorBidi"/>
          <w:sz w:val="24"/>
          <w:szCs w:val="24"/>
        </w:rPr>
        <w:t xml:space="preserve"> 486, 101–106. doi:</w:t>
      </w:r>
      <w:hyperlink r:id="rId44" w:history="1">
        <w:r w:rsidRPr="00C1681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10.1016/j.neulet.2010.08.081</w:t>
        </w:r>
      </w:hyperlink>
      <w:r w:rsidRPr="00C16817">
        <w:rPr>
          <w:rFonts w:asciiTheme="majorBidi" w:hAnsiTheme="majorBidi" w:cstheme="majorBidi"/>
          <w:sz w:val="24"/>
          <w:szCs w:val="24"/>
        </w:rPr>
        <w:t>.</w:t>
      </w:r>
    </w:p>
    <w:p w:rsidR="00B07E59" w:rsidRPr="00C16817" w:rsidRDefault="00B07E59" w:rsidP="001C22AB">
      <w:pPr>
        <w:rPr>
          <w:rFonts w:asciiTheme="majorBidi" w:hAnsiTheme="majorBidi" w:cstheme="majorBidi"/>
          <w:sz w:val="24"/>
          <w:szCs w:val="24"/>
        </w:rPr>
      </w:pPr>
    </w:p>
    <w:sectPr w:rsidR="00B07E59" w:rsidRPr="00C1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659"/>
    <w:multiLevelType w:val="hybridMultilevel"/>
    <w:tmpl w:val="26A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115"/>
    <w:multiLevelType w:val="hybridMultilevel"/>
    <w:tmpl w:val="30AC8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442EC"/>
    <w:multiLevelType w:val="hybridMultilevel"/>
    <w:tmpl w:val="2F9A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3068A"/>
    <w:multiLevelType w:val="hybridMultilevel"/>
    <w:tmpl w:val="133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42BC"/>
    <w:multiLevelType w:val="hybridMultilevel"/>
    <w:tmpl w:val="3AE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23A91"/>
    <w:multiLevelType w:val="hybridMultilevel"/>
    <w:tmpl w:val="6A9E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07B24"/>
    <w:multiLevelType w:val="hybridMultilevel"/>
    <w:tmpl w:val="6E5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181B"/>
    <w:multiLevelType w:val="hybridMultilevel"/>
    <w:tmpl w:val="F602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55C3"/>
    <w:multiLevelType w:val="hybridMultilevel"/>
    <w:tmpl w:val="B77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B7404"/>
    <w:multiLevelType w:val="hybridMultilevel"/>
    <w:tmpl w:val="3136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07D91"/>
    <w:multiLevelType w:val="hybridMultilevel"/>
    <w:tmpl w:val="1402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E80"/>
    <w:multiLevelType w:val="hybridMultilevel"/>
    <w:tmpl w:val="37AA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357A1"/>
    <w:multiLevelType w:val="hybridMultilevel"/>
    <w:tmpl w:val="173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E479D"/>
    <w:multiLevelType w:val="hybridMultilevel"/>
    <w:tmpl w:val="23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16A2"/>
    <w:multiLevelType w:val="hybridMultilevel"/>
    <w:tmpl w:val="10EE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E3738"/>
    <w:multiLevelType w:val="hybridMultilevel"/>
    <w:tmpl w:val="20C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MDWysDAztrQ0MTFR0lEKTi0uzszPAykwrgUAxWBQ4SwAAAA="/>
  </w:docVars>
  <w:rsids>
    <w:rsidRoot w:val="00115F99"/>
    <w:rsid w:val="0005598C"/>
    <w:rsid w:val="00071AFB"/>
    <w:rsid w:val="00093523"/>
    <w:rsid w:val="00093C44"/>
    <w:rsid w:val="00096FCF"/>
    <w:rsid w:val="00115F99"/>
    <w:rsid w:val="00130459"/>
    <w:rsid w:val="001406D4"/>
    <w:rsid w:val="001423F8"/>
    <w:rsid w:val="001C22AB"/>
    <w:rsid w:val="00234C2A"/>
    <w:rsid w:val="0026471E"/>
    <w:rsid w:val="002770EC"/>
    <w:rsid w:val="00293EDF"/>
    <w:rsid w:val="00357D19"/>
    <w:rsid w:val="003A2A18"/>
    <w:rsid w:val="003D50AF"/>
    <w:rsid w:val="0042411B"/>
    <w:rsid w:val="00455312"/>
    <w:rsid w:val="004C770C"/>
    <w:rsid w:val="004D09BF"/>
    <w:rsid w:val="00547628"/>
    <w:rsid w:val="00563D79"/>
    <w:rsid w:val="0057698E"/>
    <w:rsid w:val="00592003"/>
    <w:rsid w:val="00611211"/>
    <w:rsid w:val="006C4866"/>
    <w:rsid w:val="006F03F5"/>
    <w:rsid w:val="006F29F5"/>
    <w:rsid w:val="00707225"/>
    <w:rsid w:val="007520A0"/>
    <w:rsid w:val="007829D3"/>
    <w:rsid w:val="007871CB"/>
    <w:rsid w:val="007E796B"/>
    <w:rsid w:val="00807192"/>
    <w:rsid w:val="00816B28"/>
    <w:rsid w:val="00835E52"/>
    <w:rsid w:val="008D4BB7"/>
    <w:rsid w:val="0091587F"/>
    <w:rsid w:val="009228EE"/>
    <w:rsid w:val="00966C8C"/>
    <w:rsid w:val="00977C40"/>
    <w:rsid w:val="009A186C"/>
    <w:rsid w:val="009F5E93"/>
    <w:rsid w:val="00A11399"/>
    <w:rsid w:val="00A14CC9"/>
    <w:rsid w:val="00A45D58"/>
    <w:rsid w:val="00A735F9"/>
    <w:rsid w:val="00AB42F4"/>
    <w:rsid w:val="00AC757A"/>
    <w:rsid w:val="00AD51DF"/>
    <w:rsid w:val="00B0586E"/>
    <w:rsid w:val="00B07E59"/>
    <w:rsid w:val="00B15463"/>
    <w:rsid w:val="00BB4A8E"/>
    <w:rsid w:val="00BD145A"/>
    <w:rsid w:val="00BE1B5A"/>
    <w:rsid w:val="00C16817"/>
    <w:rsid w:val="00C565DD"/>
    <w:rsid w:val="00CC0EBB"/>
    <w:rsid w:val="00CC5BEC"/>
    <w:rsid w:val="00D21242"/>
    <w:rsid w:val="00D3292A"/>
    <w:rsid w:val="00D638A6"/>
    <w:rsid w:val="00DF0B33"/>
    <w:rsid w:val="00E4567E"/>
    <w:rsid w:val="00E57AB1"/>
    <w:rsid w:val="00E708EA"/>
    <w:rsid w:val="00EA0FB4"/>
    <w:rsid w:val="00EA3A41"/>
    <w:rsid w:val="00EC496B"/>
    <w:rsid w:val="00F15273"/>
    <w:rsid w:val="00F40EBA"/>
    <w:rsid w:val="00F45BDF"/>
    <w:rsid w:val="00F714E5"/>
    <w:rsid w:val="00F76C0C"/>
    <w:rsid w:val="00F9223C"/>
    <w:rsid w:val="00FA73B5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D98A"/>
  <w15:chartTrackingRefBased/>
  <w15:docId w15:val="{62E0F0E9-C018-4CB7-8E27-470B80CE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4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2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41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3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4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4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3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3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2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3/jcb.200305078" TargetMode="External"/><Relationship Id="rId18" Type="http://schemas.openxmlformats.org/officeDocument/2006/relationships/hyperlink" Target="https://doi.org/10.1083/jcb.143.5.1295" TargetMode="External"/><Relationship Id="rId26" Type="http://schemas.openxmlformats.org/officeDocument/2006/relationships/hyperlink" Target="https://doi.org/10.1074/jbc.M303327200" TargetMode="External"/><Relationship Id="rId39" Type="http://schemas.openxmlformats.org/officeDocument/2006/relationships/hyperlink" Target="https://doi.org/10.1016/j.cell.2010.12.029" TargetMode="External"/><Relationship Id="rId21" Type="http://schemas.openxmlformats.org/officeDocument/2006/relationships/hyperlink" Target="https://doi.org/10.1016/j.neuroimage.2011.07.003" TargetMode="External"/><Relationship Id="rId34" Type="http://schemas.openxmlformats.org/officeDocument/2006/relationships/hyperlink" Target="https://doi.org/10.1038/365075a0" TargetMode="External"/><Relationship Id="rId42" Type="http://schemas.openxmlformats.org/officeDocument/2006/relationships/hyperlink" Target="https://doi.org/10.1016/j.neuron.2012.06.012" TargetMode="External"/><Relationship Id="rId7" Type="http://schemas.openxmlformats.org/officeDocument/2006/relationships/hyperlink" Target="https://doi.org/10.1016/j.mcn.2018.05.0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4/jbc.M303327200" TargetMode="External"/><Relationship Id="rId29" Type="http://schemas.openxmlformats.org/officeDocument/2006/relationships/hyperlink" Target="https://doi.org/10.1523/JNEUROSCI.3675-07.20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73/pnas.1517045112" TargetMode="External"/><Relationship Id="rId11" Type="http://schemas.openxmlformats.org/officeDocument/2006/relationships/hyperlink" Target="https://doi.org/10.1523/JNEUROSCI.1922-17.2018" TargetMode="External"/><Relationship Id="rId24" Type="http://schemas.openxmlformats.org/officeDocument/2006/relationships/hyperlink" Target="https://doi.org/10.1016/j.neuroimage.2011.07.003" TargetMode="External"/><Relationship Id="rId32" Type="http://schemas.openxmlformats.org/officeDocument/2006/relationships/hyperlink" Target="https://doi.org/10.1016/j.neulet.2010.08.081" TargetMode="External"/><Relationship Id="rId37" Type="http://schemas.openxmlformats.org/officeDocument/2006/relationships/hyperlink" Target="https://doi.org/10.1083/jcb.200206024" TargetMode="External"/><Relationship Id="rId40" Type="http://schemas.openxmlformats.org/officeDocument/2006/relationships/hyperlink" Target="https://doi.org/10.3389/fncel.2017.0033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i.org/10.1016/j.medpho.2014.11.001" TargetMode="External"/><Relationship Id="rId15" Type="http://schemas.openxmlformats.org/officeDocument/2006/relationships/hyperlink" Target="https://doi.org/10.1126/science.1085167" TargetMode="External"/><Relationship Id="rId23" Type="http://schemas.openxmlformats.org/officeDocument/2006/relationships/hyperlink" Target="https://doi.org/10.1523/JNEUROSCI.4512-03.2004" TargetMode="External"/><Relationship Id="rId28" Type="http://schemas.openxmlformats.org/officeDocument/2006/relationships/hyperlink" Target="https://doi.org/10.1016/s0896-6273(00)80323-2" TargetMode="External"/><Relationship Id="rId36" Type="http://schemas.openxmlformats.org/officeDocument/2006/relationships/hyperlink" Target="https://doi.org/10.1007/s00401-014-1305-z" TargetMode="External"/><Relationship Id="rId10" Type="http://schemas.openxmlformats.org/officeDocument/2006/relationships/hyperlink" Target="https://doi.org/10.1523/JNEUROSCI.5050-07.2008" TargetMode="External"/><Relationship Id="rId19" Type="http://schemas.openxmlformats.org/officeDocument/2006/relationships/hyperlink" Target="https://doi.org/10.1523/JNEUROSCI.3510-16.2017" TargetMode="External"/><Relationship Id="rId31" Type="http://schemas.openxmlformats.org/officeDocument/2006/relationships/hyperlink" Target="https://doi.org/10.1002/jnr.20073" TargetMode="External"/><Relationship Id="rId44" Type="http://schemas.openxmlformats.org/officeDocument/2006/relationships/hyperlink" Target="https://doi.org/10.1016/j.neulet.2010.08.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nmol.2018.00317" TargetMode="External"/><Relationship Id="rId14" Type="http://schemas.openxmlformats.org/officeDocument/2006/relationships/hyperlink" Target="https://doi.org/10.1007/s00018-015-2081-1" TargetMode="External"/><Relationship Id="rId22" Type="http://schemas.openxmlformats.org/officeDocument/2006/relationships/hyperlink" Target="https://doi.org/10.1523/JNEUROSCI.4314-05.2006" TargetMode="External"/><Relationship Id="rId27" Type="http://schemas.openxmlformats.org/officeDocument/2006/relationships/hyperlink" Target="https://doi.org/10.1002/dneu.22565" TargetMode="External"/><Relationship Id="rId30" Type="http://schemas.openxmlformats.org/officeDocument/2006/relationships/hyperlink" Target="https://doi.org/10.1016/j.neulet.2010.08.081" TargetMode="External"/><Relationship Id="rId35" Type="http://schemas.openxmlformats.org/officeDocument/2006/relationships/hyperlink" Target="https://doi.org/10.1083/jcb.200305018" TargetMode="External"/><Relationship Id="rId43" Type="http://schemas.openxmlformats.org/officeDocument/2006/relationships/hyperlink" Target="https://doi.org/10.1523/JNEUROSCI.1346-15.2015" TargetMode="External"/><Relationship Id="rId8" Type="http://schemas.openxmlformats.org/officeDocument/2006/relationships/hyperlink" Target="https://doi.org/10.1038/s41598-017-11264-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523/JNEUROSCI.4431-07.2008" TargetMode="External"/><Relationship Id="rId17" Type="http://schemas.openxmlformats.org/officeDocument/2006/relationships/hyperlink" Target="https://doi.org/10.1002/dneu.22565" TargetMode="External"/><Relationship Id="rId25" Type="http://schemas.openxmlformats.org/officeDocument/2006/relationships/hyperlink" Target="https://doi.org/10.1007/s00018-015-2081-1" TargetMode="External"/><Relationship Id="rId33" Type="http://schemas.openxmlformats.org/officeDocument/2006/relationships/hyperlink" Target="https://doi.org/10.1523/JNEUROSCI.4661-09.2010" TargetMode="External"/><Relationship Id="rId38" Type="http://schemas.openxmlformats.org/officeDocument/2006/relationships/hyperlink" Target="https://doi.org/10.1016/j.conb.2011.10.00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1002/cne.23551" TargetMode="External"/><Relationship Id="rId41" Type="http://schemas.openxmlformats.org/officeDocument/2006/relationships/hyperlink" Target="https://doi.org/10.1073/pnas.1704470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71</cp:revision>
  <dcterms:created xsi:type="dcterms:W3CDTF">2019-11-22T14:08:00Z</dcterms:created>
  <dcterms:modified xsi:type="dcterms:W3CDTF">2019-11-27T11:54:00Z</dcterms:modified>
</cp:coreProperties>
</file>