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rtl w:val="0"/>
        </w:rPr>
      </w:r>
    </w:p>
    <w:p w:rsidR="00000000" w:rsidDel="00000000" w:rsidP="00000000" w:rsidRDefault="00000000" w:rsidRPr="00000000" w14:paraId="00000002">
      <w:pPr>
        <w:pStyle w:val="Title"/>
        <w:spacing w:line="276" w:lineRule="auto"/>
        <w:rPr>
          <w:b w:val="1"/>
        </w:rPr>
      </w:pPr>
      <w:r w:rsidDel="00000000" w:rsidR="00000000" w:rsidRPr="00000000">
        <w:rPr>
          <w:b w:val="1"/>
          <w:rtl w:val="0"/>
        </w:rPr>
        <w:t xml:space="preserve">Supplementary information </w:t>
      </w:r>
      <w:r w:rsidDel="00000000" w:rsidR="00000000" w:rsidRPr="00000000">
        <w:rPr>
          <w:rtl w:val="0"/>
        </w:rPr>
      </w:r>
    </w:p>
    <w:p w:rsidR="00000000" w:rsidDel="00000000" w:rsidP="00000000" w:rsidRDefault="00000000" w:rsidRPr="00000000" w14:paraId="00000003">
      <w:pPr>
        <w:pStyle w:val="Title"/>
        <w:spacing w:line="276" w:lineRule="auto"/>
        <w:rPr/>
      </w:pPr>
      <w:r w:rsidDel="00000000" w:rsidR="00000000" w:rsidRPr="00000000">
        <w:rPr>
          <w:i w:val="1"/>
          <w:rtl w:val="0"/>
        </w:rPr>
        <w:t xml:space="preserve">LAM</w:t>
      </w:r>
      <w:r w:rsidDel="00000000" w:rsidR="00000000" w:rsidRPr="00000000">
        <w:rPr>
          <w:rtl w:val="0"/>
        </w:rPr>
        <w:t xml:space="preserve"> genes contribute to environmental stress tolerance but sensibilise yeast cells to azoles</w:t>
      </w:r>
    </w:p>
    <w:p w:rsidR="00000000" w:rsidDel="00000000" w:rsidP="00000000" w:rsidRDefault="00000000" w:rsidRPr="00000000" w14:paraId="00000004">
      <w:pPr>
        <w:pStyle w:val="Heading2"/>
        <w:spacing w:line="276" w:lineRule="auto"/>
        <w:rPr>
          <w:b w:val="1"/>
        </w:rPr>
      </w:pPr>
      <w:bookmarkStart w:colFirst="0" w:colLast="0" w:name="_8cvglp8v9xri" w:id="0"/>
      <w:bookmarkEnd w:id="0"/>
      <w:r w:rsidDel="00000000" w:rsidR="00000000" w:rsidRPr="00000000">
        <w:rPr>
          <w:rtl w:val="0"/>
        </w:rPr>
        <w:t xml:space="preserve">S.S.Sokolov</w:t>
      </w:r>
      <w:r w:rsidDel="00000000" w:rsidR="00000000" w:rsidRPr="00000000">
        <w:rPr>
          <w:vertAlign w:val="superscript"/>
          <w:rtl w:val="0"/>
        </w:rPr>
        <w:t xml:space="preserve">1</w:t>
      </w:r>
      <w:r w:rsidDel="00000000" w:rsidR="00000000" w:rsidRPr="00000000">
        <w:rPr>
          <w:rtl w:val="0"/>
        </w:rPr>
        <w:t xml:space="preserve">, M.A.Vorobeva</w:t>
      </w:r>
      <w:r w:rsidDel="00000000" w:rsidR="00000000" w:rsidRPr="00000000">
        <w:rPr>
          <w:vertAlign w:val="superscript"/>
          <w:rtl w:val="0"/>
        </w:rPr>
        <w:t xml:space="preserve">2</w:t>
      </w:r>
      <w:r w:rsidDel="00000000" w:rsidR="00000000" w:rsidRPr="00000000">
        <w:rPr>
          <w:rtl w:val="0"/>
        </w:rPr>
        <w:t xml:space="preserve">, A.I.Smirnova</w:t>
      </w:r>
      <w:r w:rsidDel="00000000" w:rsidR="00000000" w:rsidRPr="00000000">
        <w:rPr>
          <w:vertAlign w:val="superscript"/>
          <w:rtl w:val="0"/>
        </w:rPr>
        <w:t xml:space="preserve">1</w:t>
      </w:r>
      <w:r w:rsidDel="00000000" w:rsidR="00000000" w:rsidRPr="00000000">
        <w:rPr>
          <w:rtl w:val="0"/>
        </w:rPr>
        <w:t xml:space="preserve">, E.A.Smirnova</w:t>
      </w:r>
      <w:r w:rsidDel="00000000" w:rsidR="00000000" w:rsidRPr="00000000">
        <w:rPr>
          <w:vertAlign w:val="superscript"/>
          <w:rtl w:val="0"/>
        </w:rPr>
        <w:t xml:space="preserve">1</w:t>
      </w:r>
      <w:r w:rsidDel="00000000" w:rsidR="00000000" w:rsidRPr="00000000">
        <w:rPr>
          <w:rtl w:val="0"/>
        </w:rPr>
        <w:t xml:space="preserve">, N.I.Trushina</w:t>
      </w:r>
      <w:r w:rsidDel="00000000" w:rsidR="00000000" w:rsidRPr="00000000">
        <w:rPr>
          <w:vertAlign w:val="superscript"/>
          <w:rtl w:val="0"/>
        </w:rPr>
        <w:t xml:space="preserve">1,3</w:t>
      </w:r>
      <w:r w:rsidDel="00000000" w:rsidR="00000000" w:rsidRPr="00000000">
        <w:rPr>
          <w:rtl w:val="0"/>
        </w:rPr>
        <w:t xml:space="preserve">, K.V.Galkina</w:t>
      </w:r>
      <w:r w:rsidDel="00000000" w:rsidR="00000000" w:rsidRPr="00000000">
        <w:rPr>
          <w:vertAlign w:val="superscript"/>
          <w:rtl w:val="0"/>
        </w:rPr>
        <w:t xml:space="preserve">1,2</w:t>
      </w:r>
      <w:r w:rsidDel="00000000" w:rsidR="00000000" w:rsidRPr="00000000">
        <w:rPr>
          <w:rtl w:val="0"/>
        </w:rPr>
        <w:t xml:space="preserve">, F.F.Severin</w:t>
      </w:r>
      <w:r w:rsidDel="00000000" w:rsidR="00000000" w:rsidRPr="00000000">
        <w:rPr>
          <w:vertAlign w:val="superscript"/>
          <w:rtl w:val="0"/>
        </w:rPr>
        <w:t xml:space="preserve">1</w:t>
      </w:r>
      <w:r w:rsidDel="00000000" w:rsidR="00000000" w:rsidRPr="00000000">
        <w:rPr>
          <w:rtl w:val="0"/>
        </w:rPr>
        <w:t xml:space="preserve">, D.A.Knorre</w:t>
      </w:r>
      <w:r w:rsidDel="00000000" w:rsidR="00000000" w:rsidRPr="00000000">
        <w:rPr>
          <w:vertAlign w:val="superscript"/>
          <w:rtl w:val="0"/>
        </w:rPr>
        <w:t xml:space="preserve">1,4</w:t>
      </w:r>
      <w:r w:rsidDel="00000000" w:rsidR="00000000" w:rsidRPr="00000000">
        <w:rPr>
          <w:rtl w:val="0"/>
        </w:rPr>
      </w:r>
    </w:p>
    <w:p w:rsidR="00000000" w:rsidDel="00000000" w:rsidP="00000000" w:rsidRDefault="00000000" w:rsidRPr="00000000" w14:paraId="00000005">
      <w:pPr>
        <w:spacing w:line="276" w:lineRule="auto"/>
        <w:rPr>
          <w:sz w:val="32"/>
          <w:szCs w:val="32"/>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Belozersky Institute of Physico-Chemical Biology, Moscow State University, Leninskiye Gory 1–40, Moscow, 119991, Russia.</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Faculty of Bioengineering and Bioinformatics, Lomonosov Moscow State University, Leninskiye Gory 1-73, Moscow 119991, Russia</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Department of Neurobiology, University of Osnabrück, Barbarastraße 11, D-49076 Osnabrück, Germany</w:t>
      </w:r>
    </w:p>
    <w:p w:rsidR="00000000" w:rsidDel="00000000" w:rsidP="00000000" w:rsidRDefault="00000000" w:rsidRPr="00000000" w14:paraId="00000009">
      <w:pPr>
        <w:spacing w:line="276" w:lineRule="auto"/>
        <w:jc w:val="both"/>
        <w:rPr>
          <w:b w:val="1"/>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Institute of Molecular Medicine, Sechenov First Moscow State Medical University, Moscow, 119991, Russia</w:t>
      </w:r>
      <w:r w:rsidDel="00000000" w:rsidR="00000000" w:rsidRPr="00000000">
        <w:rPr>
          <w:rtl w:val="0"/>
        </w:rPr>
      </w:r>
    </w:p>
    <w:p w:rsidR="00000000" w:rsidDel="00000000" w:rsidP="00000000" w:rsidRDefault="00000000" w:rsidRPr="00000000" w14:paraId="0000000A">
      <w:pPr>
        <w:spacing w:line="276" w:lineRule="auto"/>
        <w:rPr>
          <w:b w:val="1"/>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rtl w:val="0"/>
        </w:rPr>
      </w:r>
    </w:p>
    <w:p w:rsidR="00000000" w:rsidDel="00000000" w:rsidP="00000000" w:rsidRDefault="00000000" w:rsidRPr="00000000" w14:paraId="0000000C">
      <w:pPr>
        <w:spacing w:line="276" w:lineRule="auto"/>
        <w:jc w:val="center"/>
        <w:rPr>
          <w:b w:val="1"/>
        </w:rPr>
      </w:pPr>
      <w:r w:rsidDel="00000000" w:rsidR="00000000" w:rsidRPr="00000000">
        <w:rPr>
          <w:b w:val="1"/>
        </w:rPr>
        <w:drawing>
          <wp:inline distB="114300" distT="114300" distL="114300" distR="114300">
            <wp:extent cx="5734050" cy="5740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57404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b w:val="1"/>
          <w:rtl w:val="0"/>
        </w:rPr>
        <w:t xml:space="preserve">Figure S1. </w:t>
      </w:r>
      <w:r w:rsidDel="00000000" w:rsidR="00000000" w:rsidRPr="00000000">
        <w:rPr>
          <w:rtl w:val="0"/>
        </w:rPr>
        <w:t xml:space="preserve"> mRNA levels of </w:t>
      </w:r>
      <w:r w:rsidDel="00000000" w:rsidR="00000000" w:rsidRPr="00000000">
        <w:rPr>
          <w:i w:val="1"/>
          <w:rtl w:val="0"/>
        </w:rPr>
        <w:t xml:space="preserve">LAM1-LAM4</w:t>
      </w:r>
      <w:r w:rsidDel="00000000" w:rsidR="00000000" w:rsidRPr="00000000">
        <w:rPr>
          <w:rtl w:val="0"/>
        </w:rPr>
        <w:t xml:space="preserve"> genes in the double and quadruple deletion strains. All mRNA levels were normalized to </w:t>
      </w:r>
      <w:r w:rsidDel="00000000" w:rsidR="00000000" w:rsidRPr="00000000">
        <w:rPr>
          <w:i w:val="1"/>
          <w:rtl w:val="0"/>
        </w:rPr>
        <w:t xml:space="preserve">ACT1</w:t>
      </w:r>
      <w:r w:rsidDel="00000000" w:rsidR="00000000" w:rsidRPr="00000000">
        <w:rPr>
          <w:rtl w:val="0"/>
        </w:rPr>
        <w:t xml:space="preserve"> levels,  the value in the untreated wild-type cells (WT) was set to 100%. (n = 1)</w:t>
      </w:r>
    </w:p>
    <w:p w:rsidR="00000000" w:rsidDel="00000000" w:rsidP="00000000" w:rsidRDefault="00000000" w:rsidRPr="00000000" w14:paraId="0000000E">
      <w:pPr>
        <w:spacing w:line="276" w:lineRule="auto"/>
        <w:jc w:val="center"/>
        <w:rPr>
          <w:b w:val="1"/>
        </w:rPr>
      </w:pPr>
      <w:r w:rsidDel="00000000" w:rsidR="00000000" w:rsidRPr="00000000">
        <w:rPr>
          <w:rtl w:val="0"/>
        </w:rPr>
      </w:r>
    </w:p>
    <w:p w:rsidR="00000000" w:rsidDel="00000000" w:rsidP="00000000" w:rsidRDefault="00000000" w:rsidRPr="00000000" w14:paraId="0000000F">
      <w:pPr>
        <w:spacing w:line="276" w:lineRule="auto"/>
        <w:jc w:val="center"/>
        <w:rPr>
          <w:b w:val="1"/>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Supplementary text 1. Quantitative reverse transcription PCR (RT-qPCR) analysis.</w:t>
      </w: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RNA was isolated from yeast cells using the hot formamide extraction method described in (Shedlovskiy et al. 2017). RNA quality and quantity were assessed by spectrophotometry. cDNA was synthesized by annealing 2 μg of RNA with 0.1 μg of random hexamers and 0.1 μg of Oligo-dT using Superscript III reverse-transcriptase (Thermo Fisher Scientific) for 1 hour at 42 °C. RT-qPCR was carried out using the CFX96 Touch™ Real-Time PCR Detection System (Bio-Rad, Hercules, CA, USA). </w:t>
      </w:r>
      <w:r w:rsidDel="00000000" w:rsidR="00000000" w:rsidRPr="00000000">
        <w:rPr>
          <w:rtl w:val="0"/>
        </w:rPr>
        <w:t xml:space="preserve">We used designed primer sequences for LAM genes (Table S1).</w:t>
      </w:r>
      <w:r w:rsidDel="00000000" w:rsidR="00000000" w:rsidRPr="00000000">
        <w:rPr>
          <w:rFonts w:ascii="Arial Unicode MS" w:cs="Arial Unicode MS" w:eastAsia="Arial Unicode MS" w:hAnsi="Arial Unicode MS"/>
          <w:rtl w:val="0"/>
        </w:rPr>
        <w:t xml:space="preserve"> For the detection of the target genes, Eva Green master mix (Syntol, Russia) was used according to the manufacturer’s instructions. The thermal profile for EVA Green RT-qPCR included an initial heat-denaturing step at 95 °C for 3 minutes, 40 cycles at 95 °C for 15 seconds, an annealing step for 30 seconds and 72 °C for 30 seconds, coupled with fluorescence measurements. Following amplification, the melting curves of the PCR products were monitored to determine the specificity of the amplification. The PCR efficiency (E) was calculated according to the equation E = 10(−1/slope) </w:t>
      </w:r>
      <w:r w:rsidDel="00000000" w:rsidR="00000000" w:rsidRPr="00000000">
        <w:rPr>
          <w:rtl w:val="0"/>
        </w:rPr>
        <w:t xml:space="preserve">based on the standard curves</w:t>
      </w:r>
      <w:r w:rsidDel="00000000" w:rsidR="00000000" w:rsidRPr="00000000">
        <w:rPr>
          <w:rtl w:val="0"/>
        </w:rPr>
        <w:t xml:space="preserve">. Target mRNA levels were normalized to the reference gene ACT1.</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Shedlovskiy D, Shcherbik N, Pestov DG. One-step hot formamide extraction of RNA from Saccharomyces cerevisiae. RNA Biol. 2017;14: 1722–1726.</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drawing>
          <wp:inline distB="114300" distT="114300" distL="114300" distR="114300">
            <wp:extent cx="3389181" cy="333851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89181" cy="333851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Figure S2. Colocalization of FM4-64 (0.8 µM) with Pdr5-GFP in Δlam1Δlam2Δlam3Δlam4 cells preincubated for one hour with pentachlorophenol, 20 µM and deoxyglucose, 1%. Cells were analyzed instantly after the addition of FM4-64. Upper panel, a representative photograph. Lower panel, plot intensity profiles of FM4-64 and Pdr5-GFP signals across an individual yeast cell.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Table S1.</w:t>
      </w:r>
    </w:p>
    <w:p w:rsidR="00000000" w:rsidDel="00000000" w:rsidP="00000000" w:rsidRDefault="00000000" w:rsidRPr="00000000" w14:paraId="0000001B">
      <w:pPr>
        <w:spacing w:line="276" w:lineRule="auto"/>
        <w:rPr/>
      </w:pPr>
      <w:r w:rsidDel="00000000" w:rsidR="00000000" w:rsidRPr="00000000">
        <w:rPr>
          <w:shd w:fill="fcfcfc" w:val="clear"/>
          <w:rtl w:val="0"/>
        </w:rPr>
        <w:t xml:space="preserve">Oligonucleotide primers used in this study</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rPr>
                <w:b w:val="1"/>
              </w:rPr>
            </w:pPr>
            <w:r w:rsidDel="00000000" w:rsidR="00000000" w:rsidRPr="00000000">
              <w:rPr>
                <w:b w:val="1"/>
                <w:rtl w:val="0"/>
              </w:rPr>
              <w:t xml:space="preserve">Primer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rPr>
                <w:b w:val="1"/>
              </w:rPr>
            </w:pPr>
            <w:r w:rsidDel="00000000" w:rsidR="00000000" w:rsidRPr="00000000">
              <w:rPr>
                <w:b w:val="1"/>
                <w:rtl w:val="0"/>
              </w:rPr>
              <w:t xml:space="preserve">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ind w:left="-30" w:firstLine="0"/>
              <w:rPr>
                <w:sz w:val="20"/>
                <w:szCs w:val="20"/>
              </w:rPr>
            </w:pPr>
            <w:r w:rsidDel="00000000" w:rsidR="00000000" w:rsidRPr="00000000">
              <w:rPr>
                <w:sz w:val="20"/>
                <w:szCs w:val="20"/>
                <w:highlight w:val="white"/>
                <w:rtl w:val="0"/>
              </w:rPr>
              <w:t xml:space="preserve">LAM1 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ind w:left="-30" w:firstLine="0"/>
              <w:rPr>
                <w:sz w:val="20"/>
                <w:szCs w:val="20"/>
              </w:rPr>
            </w:pPr>
            <w:r w:rsidDel="00000000" w:rsidR="00000000" w:rsidRPr="00000000">
              <w:rPr>
                <w:sz w:val="20"/>
                <w:szCs w:val="20"/>
                <w:highlight w:val="white"/>
                <w:rtl w:val="0"/>
              </w:rPr>
              <w:t xml:space="preserve">CACAAGCCAGCCACAGTATC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ind w:left="-30" w:firstLine="0"/>
              <w:rPr>
                <w:sz w:val="20"/>
                <w:szCs w:val="20"/>
              </w:rPr>
            </w:pPr>
            <w:r w:rsidDel="00000000" w:rsidR="00000000" w:rsidRPr="00000000">
              <w:rPr>
                <w:sz w:val="20"/>
                <w:szCs w:val="20"/>
                <w:highlight w:val="white"/>
                <w:rtl w:val="0"/>
              </w:rPr>
              <w:t xml:space="preserve">LAM1 AntiSense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76" w:lineRule="auto"/>
              <w:ind w:left="-30" w:firstLine="0"/>
              <w:rPr>
                <w:sz w:val="20"/>
                <w:szCs w:val="20"/>
              </w:rPr>
            </w:pPr>
            <w:r w:rsidDel="00000000" w:rsidR="00000000" w:rsidRPr="00000000">
              <w:rPr>
                <w:sz w:val="20"/>
                <w:szCs w:val="20"/>
                <w:highlight w:val="white"/>
                <w:rtl w:val="0"/>
              </w:rPr>
              <w:t xml:space="preserve">GCACCACACCGATGAATATCTT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ind w:left="-30" w:firstLine="0"/>
              <w:rPr>
                <w:sz w:val="20"/>
                <w:szCs w:val="20"/>
              </w:rPr>
            </w:pPr>
            <w:r w:rsidDel="00000000" w:rsidR="00000000" w:rsidRPr="00000000">
              <w:rPr>
                <w:sz w:val="20"/>
                <w:szCs w:val="20"/>
                <w:highlight w:val="white"/>
                <w:rtl w:val="0"/>
              </w:rPr>
              <w:t xml:space="preserve">LAM2 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30" w:firstLine="0"/>
              <w:rPr>
                <w:sz w:val="20"/>
                <w:szCs w:val="20"/>
              </w:rPr>
            </w:pPr>
            <w:r w:rsidDel="00000000" w:rsidR="00000000" w:rsidRPr="00000000">
              <w:rPr>
                <w:sz w:val="20"/>
                <w:szCs w:val="20"/>
                <w:highlight w:val="white"/>
                <w:rtl w:val="0"/>
              </w:rPr>
              <w:t xml:space="preserve">ACAATGACGACGATGGAGAC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ind w:left="-30" w:firstLine="0"/>
              <w:rPr>
                <w:sz w:val="20"/>
                <w:szCs w:val="20"/>
              </w:rPr>
            </w:pPr>
            <w:r w:rsidDel="00000000" w:rsidR="00000000" w:rsidRPr="00000000">
              <w:rPr>
                <w:sz w:val="20"/>
                <w:szCs w:val="20"/>
                <w:highlight w:val="white"/>
                <w:rtl w:val="0"/>
              </w:rPr>
              <w:t xml:space="preserve">LAM2 AntiSense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ind w:left="-30" w:firstLine="0"/>
              <w:rPr>
                <w:sz w:val="20"/>
                <w:szCs w:val="20"/>
              </w:rPr>
            </w:pPr>
            <w:r w:rsidDel="00000000" w:rsidR="00000000" w:rsidRPr="00000000">
              <w:rPr>
                <w:sz w:val="20"/>
                <w:szCs w:val="20"/>
                <w:highlight w:val="white"/>
                <w:rtl w:val="0"/>
              </w:rPr>
              <w:t xml:space="preserve">AATCAGCAGTGGTTGGAGAG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ind w:left="-30" w:firstLine="0"/>
              <w:rPr>
                <w:sz w:val="20"/>
                <w:szCs w:val="20"/>
              </w:rPr>
            </w:pPr>
            <w:r w:rsidDel="00000000" w:rsidR="00000000" w:rsidRPr="00000000">
              <w:rPr>
                <w:sz w:val="20"/>
                <w:szCs w:val="20"/>
                <w:highlight w:val="white"/>
                <w:rtl w:val="0"/>
              </w:rPr>
              <w:t xml:space="preserve">LAM3 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76" w:lineRule="auto"/>
              <w:ind w:left="-30" w:firstLine="0"/>
              <w:rPr>
                <w:sz w:val="20"/>
                <w:szCs w:val="20"/>
              </w:rPr>
            </w:pPr>
            <w:r w:rsidDel="00000000" w:rsidR="00000000" w:rsidRPr="00000000">
              <w:rPr>
                <w:sz w:val="20"/>
                <w:szCs w:val="20"/>
                <w:highlight w:val="white"/>
                <w:rtl w:val="0"/>
              </w:rPr>
              <w:t xml:space="preserve">ACCGATTGGAGTGAATATAC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ind w:left="-30" w:firstLine="0"/>
              <w:rPr>
                <w:sz w:val="20"/>
                <w:szCs w:val="20"/>
              </w:rPr>
            </w:pPr>
            <w:r w:rsidDel="00000000" w:rsidR="00000000" w:rsidRPr="00000000">
              <w:rPr>
                <w:sz w:val="20"/>
                <w:szCs w:val="20"/>
                <w:highlight w:val="white"/>
                <w:rtl w:val="0"/>
              </w:rPr>
              <w:t xml:space="preserve">LAM3 AntiSense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ind w:left="-30" w:firstLine="0"/>
              <w:rPr>
                <w:sz w:val="20"/>
                <w:szCs w:val="20"/>
              </w:rPr>
            </w:pPr>
            <w:r w:rsidDel="00000000" w:rsidR="00000000" w:rsidRPr="00000000">
              <w:rPr>
                <w:sz w:val="20"/>
                <w:szCs w:val="20"/>
                <w:highlight w:val="white"/>
                <w:rtl w:val="0"/>
              </w:rPr>
              <w:t xml:space="preserve">ACTAATGACTTGAACTGTAGAT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ind w:left="-30" w:firstLine="0"/>
              <w:rPr>
                <w:sz w:val="20"/>
                <w:szCs w:val="20"/>
              </w:rPr>
            </w:pPr>
            <w:r w:rsidDel="00000000" w:rsidR="00000000" w:rsidRPr="00000000">
              <w:rPr>
                <w:sz w:val="20"/>
                <w:szCs w:val="20"/>
                <w:highlight w:val="white"/>
                <w:rtl w:val="0"/>
              </w:rPr>
              <w:t xml:space="preserve">LAM4 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30" w:firstLine="0"/>
              <w:rPr>
                <w:sz w:val="20"/>
                <w:szCs w:val="20"/>
              </w:rPr>
            </w:pPr>
            <w:r w:rsidDel="00000000" w:rsidR="00000000" w:rsidRPr="00000000">
              <w:rPr>
                <w:sz w:val="20"/>
                <w:szCs w:val="20"/>
                <w:highlight w:val="white"/>
                <w:rtl w:val="0"/>
              </w:rPr>
              <w:t xml:space="preserve">ATGACGATTACGATGATGATTACG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ind w:left="-30" w:firstLine="0"/>
              <w:rPr>
                <w:sz w:val="20"/>
                <w:szCs w:val="20"/>
              </w:rPr>
            </w:pPr>
            <w:r w:rsidDel="00000000" w:rsidR="00000000" w:rsidRPr="00000000">
              <w:rPr>
                <w:sz w:val="20"/>
                <w:szCs w:val="20"/>
                <w:highlight w:val="white"/>
                <w:rtl w:val="0"/>
              </w:rPr>
              <w:t xml:space="preserve">LAM4 AntiSense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76" w:lineRule="auto"/>
              <w:ind w:left="-30" w:firstLine="0"/>
              <w:rPr>
                <w:sz w:val="20"/>
                <w:szCs w:val="20"/>
              </w:rPr>
            </w:pPr>
            <w:r w:rsidDel="00000000" w:rsidR="00000000" w:rsidRPr="00000000">
              <w:rPr>
                <w:sz w:val="20"/>
                <w:szCs w:val="20"/>
                <w:highlight w:val="white"/>
                <w:rtl w:val="0"/>
              </w:rPr>
              <w:t xml:space="preserve">TTCCTATGCTGACGCTTGA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ACT1 Sense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76" w:lineRule="auto"/>
              <w:rPr>
                <w:sz w:val="20"/>
                <w:szCs w:val="20"/>
              </w:rPr>
            </w:pPr>
            <w:r w:rsidDel="00000000" w:rsidR="00000000" w:rsidRPr="00000000">
              <w:rPr>
                <w:color w:val="222222"/>
                <w:sz w:val="20"/>
                <w:szCs w:val="20"/>
                <w:highlight w:val="white"/>
                <w:rtl w:val="0"/>
              </w:rPr>
              <w:t xml:space="preserve">GAATTGAGAGTTGCCCCAGA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ACT1 AntiSense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rPr>
                <w:sz w:val="20"/>
                <w:szCs w:val="20"/>
              </w:rPr>
            </w:pPr>
            <w:r w:rsidDel="00000000" w:rsidR="00000000" w:rsidRPr="00000000">
              <w:rPr>
                <w:color w:val="222222"/>
                <w:sz w:val="20"/>
                <w:szCs w:val="20"/>
                <w:highlight w:val="white"/>
                <w:rtl w:val="0"/>
              </w:rPr>
              <w:t xml:space="preserve">GGCTTGGATGGAAACGTAGA</w:t>
            </w:r>
            <w:r w:rsidDel="00000000" w:rsidR="00000000" w:rsidRPr="00000000">
              <w:rPr>
                <w:rtl w:val="0"/>
              </w:rPr>
            </w:r>
          </w:p>
        </w:tc>
      </w:tr>
    </w:tbl>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40" w:before="240" w:line="276" w:lineRule="auto"/>
        <w:ind w:left="480" w:right="0" w:hanging="48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