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C2C" w:rsidRPr="00C6303D" w:rsidRDefault="002C3C2C" w:rsidP="002C3C2C">
      <w:pPr>
        <w:rPr>
          <w:rFonts w:cs="Times New Roman"/>
          <w:szCs w:val="24"/>
          <w:u w:val="single"/>
        </w:rPr>
      </w:pPr>
    </w:p>
    <w:p w:rsidR="002C3C2C" w:rsidRPr="00C6303D" w:rsidRDefault="002C3C2C" w:rsidP="002C3C2C">
      <w:pPr>
        <w:pStyle w:val="berschrift2"/>
        <w:tabs>
          <w:tab w:val="clear" w:pos="567"/>
        </w:tabs>
        <w:ind w:left="0" w:firstLine="0"/>
      </w:pPr>
      <w:r>
        <w:t xml:space="preserve">Supplementary </w:t>
      </w:r>
      <w:r w:rsidRPr="00C6303D">
        <w:t>Mat</w:t>
      </w:r>
      <w:bookmarkStart w:id="0" w:name="_GoBack"/>
      <w:bookmarkEnd w:id="0"/>
      <w:r w:rsidRPr="00C6303D">
        <w:t>erials and Methods</w:t>
      </w:r>
    </w:p>
    <w:p w:rsidR="002C3C2C" w:rsidRPr="00C6303D" w:rsidRDefault="002C3C2C" w:rsidP="002C3C2C">
      <w:pPr>
        <w:spacing w:line="480" w:lineRule="auto"/>
        <w:rPr>
          <w:rFonts w:eastAsia="Times New Roman" w:cs="Times New Roman"/>
          <w:sz w:val="20"/>
          <w:szCs w:val="20"/>
          <w:lang w:eastAsia="de-DE"/>
        </w:rPr>
      </w:pPr>
      <w:r w:rsidRPr="00C6303D">
        <w:rPr>
          <w:rFonts w:ascii="Arial" w:hAnsi="Arial" w:cs="Arial"/>
          <w:i/>
          <w:sz w:val="20"/>
          <w:szCs w:val="20"/>
        </w:rPr>
        <w:t xml:space="preserve">Cell lines. </w:t>
      </w:r>
      <w:r w:rsidRPr="00C6303D">
        <w:rPr>
          <w:rFonts w:ascii="Arial" w:hAnsi="Arial" w:cs="Arial"/>
          <w:sz w:val="20"/>
          <w:szCs w:val="20"/>
        </w:rPr>
        <w:t>Human colorectal cancer cell lines SW48 (ATCC CCL-231), SW480 (ATCC CCL-228) and SW620 (ATCC CCL-227) or DLD-1 (ATCC CCL-221) were cultivated in DMEM or RPMI respectively (both Life Technologies, Carlsbad, USA), supplemented with 10% (v/v) FBS (Merck Millipore, Billerica, USA) and 1% (v/v) penicillin/streptomycin (Gibco/Life Technologies) at 37°C in a humidified atmosphere including 5% CO</w:t>
      </w:r>
      <w:r w:rsidRPr="00C6303D">
        <w:rPr>
          <w:rFonts w:ascii="Arial" w:hAnsi="Arial" w:cs="Arial"/>
          <w:sz w:val="20"/>
          <w:szCs w:val="20"/>
          <w:vertAlign w:val="subscript"/>
        </w:rPr>
        <w:t>2</w:t>
      </w:r>
      <w:r w:rsidRPr="00C6303D">
        <w:rPr>
          <w:rFonts w:ascii="Arial" w:hAnsi="Arial" w:cs="Arial"/>
          <w:sz w:val="20"/>
          <w:szCs w:val="20"/>
        </w:rPr>
        <w:t xml:space="preserve">. Ba/F3 cells (CSC-C2045, Creative Bioarray, New York, USA) were kindly provided by Stefan Horn (UKE, Hamburg, Germany) and maintained in RPMI medium containing 10% (v/v) FBS, 1% (v/v) penicillin/streptomycin and 10 ng/ml recombinant murine interleukin-3 (IL-3) purchased from Peprotech (Rocky Hill, USA). </w:t>
      </w:r>
      <w:r w:rsidRPr="00C6303D">
        <w:rPr>
          <w:rFonts w:ascii="Arial" w:eastAsia="Times New Roman" w:hAnsi="Arial" w:cs="Arial"/>
          <w:i/>
          <w:iCs/>
          <w:color w:val="000000"/>
          <w:sz w:val="20"/>
          <w:szCs w:val="20"/>
          <w:bdr w:val="none" w:sz="0" w:space="0" w:color="auto" w:frame="1"/>
          <w:lang w:eastAsia="de-DE"/>
        </w:rPr>
        <w:t>Mycoplasma</w:t>
      </w:r>
      <w:r w:rsidRPr="00C6303D">
        <w:rPr>
          <w:rFonts w:ascii="Arial" w:eastAsia="Times New Roman" w:hAnsi="Arial" w:cs="Arial"/>
          <w:color w:val="000000"/>
          <w:sz w:val="20"/>
          <w:szCs w:val="20"/>
          <w:shd w:val="clear" w:color="auto" w:fill="FFFFFF"/>
          <w:lang w:eastAsia="de-DE"/>
        </w:rPr>
        <w:t> testing was done in June 2016 (Venor- GeM kit, Merck Millipore). For experiments, cells were used at passage 3 - 15 after thawing.</w:t>
      </w:r>
    </w:p>
    <w:p w:rsidR="002C3C2C" w:rsidRPr="00C6303D" w:rsidRDefault="002C3C2C" w:rsidP="002C3C2C">
      <w:pPr>
        <w:spacing w:line="480" w:lineRule="auto"/>
        <w:jc w:val="both"/>
        <w:rPr>
          <w:rFonts w:ascii="Arial" w:hAnsi="Arial" w:cs="Arial"/>
          <w:sz w:val="20"/>
          <w:szCs w:val="20"/>
        </w:rPr>
      </w:pPr>
    </w:p>
    <w:p w:rsidR="002C3C2C" w:rsidRPr="00C6303D" w:rsidRDefault="002C3C2C" w:rsidP="002C3C2C">
      <w:pPr>
        <w:spacing w:line="480" w:lineRule="auto"/>
        <w:jc w:val="both"/>
        <w:rPr>
          <w:rFonts w:ascii="Arial" w:hAnsi="Arial" w:cs="Arial"/>
          <w:sz w:val="20"/>
          <w:szCs w:val="20"/>
        </w:rPr>
      </w:pPr>
    </w:p>
    <w:p w:rsidR="002C3C2C" w:rsidRPr="00C6303D" w:rsidRDefault="002C3C2C" w:rsidP="002C3C2C">
      <w:pPr>
        <w:spacing w:line="480" w:lineRule="auto"/>
        <w:jc w:val="both"/>
        <w:rPr>
          <w:rFonts w:ascii="Arial" w:hAnsi="Arial" w:cs="Arial"/>
          <w:i/>
          <w:sz w:val="20"/>
          <w:szCs w:val="20"/>
        </w:rPr>
      </w:pPr>
      <w:r w:rsidRPr="00C6303D">
        <w:rPr>
          <w:rFonts w:ascii="Arial" w:hAnsi="Arial" w:cs="Arial"/>
          <w:i/>
          <w:sz w:val="20"/>
          <w:szCs w:val="20"/>
        </w:rPr>
        <w:t xml:space="preserve">Cloning of EGFR- and RAS expression constructs. </w:t>
      </w:r>
      <w:r w:rsidRPr="00C6303D">
        <w:rPr>
          <w:rFonts w:ascii="Arial" w:hAnsi="Arial" w:cs="Arial"/>
          <w:sz w:val="20"/>
          <w:szCs w:val="20"/>
        </w:rPr>
        <w:t xml:space="preserve">For ectopic expression of the complete human wild-type EGFR (hEGFR), the respective full-length cDNA was inserted into a third-generation, self-inactivating (SIN) lentiviral gene ontology vectors LeGO-iG3-Puro+/eGFP as well as LeGO-iG3-Puro+/mCherry as described previously </w:t>
      </w:r>
      <w:r w:rsidRPr="00C6303D">
        <w:rPr>
          <w:rFonts w:ascii="Arial" w:hAnsi="Arial" w:cs="Arial"/>
          <w:sz w:val="20"/>
          <w:szCs w:val="20"/>
        </w:rPr>
        <w:fldChar w:fldCharType="begin" w:fldLock="1"/>
      </w:r>
      <w:r w:rsidRPr="00C6303D">
        <w:rPr>
          <w:rFonts w:ascii="Arial" w:hAnsi="Arial" w:cs="Arial"/>
          <w:sz w:val="20"/>
          <w:szCs w:val="20"/>
        </w:rPr>
        <w:instrText>ADDIN CSL_CITATION {"citationItems":[{"id":"ITEM-1","itemData":{"DOI":"10.18632/oncotarget.3574","ISSN":"1949-2553","PMID":"26059438","abstract":"Acquired resistance to epidermal growth factor receptor (EGFR) targeted antibodies represents a clinical challenge in the treatment of gastrointestinal tumors such as metastatic colorectal cancer, but its molecular mechanisms are incompletely understood. We scanned KRAS exon 2/3/4, NRAS exon 2/3/4 and the overlapping epitopes of the EGFR antibodies cetuximab and panitumumab for mutations in pre- and post-treatment tumor tissue of 21 patients with gastrointestinal cancer treated with chemotherapy +/- EGFR antibodies by next-generation sequencing (\"tumor tissue\" cohort). We describe a novel EGFR exon 12 mutation acquired in tumors of 1 out of 3 patients treated with panitumumab. The EGFR G465R mutation introduces a positive charge within the overlap of the panitumumab and cetuximab epitopes. It abrogates antibody binding and mediates cross-resistance to both antibodies in EGFR G465R-transfected Ba/F3 cells. In circulating tumor DNA from an independent \"liquid biopsy\" cohort of 27 patients, we found this novel mutation in 1 out of 6 panitumumab-treated cases while about one third of patients show acquired RAS mutations. We show that acquired resistance by epitope-changing mutations also emerges during panitumumab treatment, which can be easily detected by a liquid biopsy approach even before clinical resistance occurs and this may help in tailoring EGFR-targeted therapies.","author":[{"dropping-particle":"","family":"Braig","given":"Friederike","non-dropping-particle":"","parse-names":false,"suffix":""},{"dropping-particle":"","family":"März","given":"Manuela","non-dropping-particle":"","parse-names":false,"suffix":""},{"dropping-particle":"","family":"Schieferdecker","given":"Aneta","non-dropping-particle":"","parse-names":false,"suffix":""},{"dropping-particle":"","family":"Schulte","given":"Alexander","non-dropping-particle":"","parse-names":false,"suffix":""},{"dropping-particle":"","family":"Voigt","given":"Mareike","non-dropping-particle":"","parse-names":false,"suffix":""},{"dropping-particle":"","family":"Stein","given":"Alexander","non-dropping-particle":"","parse-names":false,"suffix":""},{"dropping-particle":"","family":"Grob","given":"Tobias","non-dropping-particle":"","parse-names":false,"suffix":""},{"dropping-particle":"","family":"Alawi","given":"Malik","non-dropping-particle":"","parse-names":false,"suffix":""},{"dropping-particle":"","family":"Indenbirken","given":"Daniela","non-dropping-particle":"","parse-names":false,"suffix":""},{"dropping-particle":"","family":"Kriegs","given":"Malte","non-dropping-particle":"","parse-names":false,"suffix":""},{"dropping-particle":"","family":"Engel","given":"Erik","non-dropping-particle":"","parse-names":false,"suffix":""},{"dropping-particle":"","family":"Vanhoefer","given":"Udo","non-dropping-particle":"","parse-names":false,"suffix":""},{"dropping-particle":"","family":"Grundhoff","given":"Adam","non-dropping-particle":"","parse-names":false,"suffix":""},{"dropping-particle":"","family":"Loges","given":"Sonja","non-dropping-particle":"","parse-names":false,"suffix":""},{"dropping-particle":"","family":"Riecken","given":"Kristoffer","non-dropping-particle":"","parse-names":false,"suffix":""},{"dropping-particle":"","family":"Fehse","given":"Boris","non-dropping-particle":"","parse-names":false,"suffix":""},{"dropping-particle":"","family":"Bokemeyer","given":"Carsten","non-dropping-particle":"","parse-names":false,"suffix":""},{"dropping-particle":"","family":"Binder","given":"Mascha","non-dropping-particle":"","parse-names":false,"suffix":""}],"container-title":"Oncotarget","id":"ITEM-1","issue":"14","issued":{"date-parts":[["2015"]]},"page":"12035-12047","title":"Epidermal growth factor receptor mutation mediates cross-resistance to panitumumab and cetuximab in gastrointestinal cancer","type":"article-journal","volume":"6"},"uris":["http://www.mendeley.com/documents/?uuid=158eaa28-7045-4259-b1e3-2b470be198cb"]},{"id":"ITEM-2","itemData":{"DOI":"10.1038/mt.2008.6","ISBN":"1525-0024 (Electronic)\\r1525-0016 (Linking)","ISSN":"15250016","PMID":"18362927","abstract":"Functional gene analysis requires the possibility of overexpression, as well as downregulation of one, or ideally several, potentially interacting genes. Lentiviral vectors are well suited for this purpose as they ensure stable expression of complementary DNAs (cDNAs), as well as short-hairpin RNAs (shRNAs), and can efficiently transduce a wide spectrum of cell targets when packaged within the coat proteins of other viruses. Here we introduce a multicolor panel of novel lentiviral \"gene ontology\" (LeGO) vectors designed according to the \"building blocks\" principle. Using a wide spectrum of different fluorescent markers, including drug-selectable enhanced green fluorescent protein (eGFP)- and dTomato-blasticidin-S resistance fusion proteins, LeGO vectors allow simultaneous analysis of multiple genes and shRNAs of interest within single, easily identifiable cells. Furthermore, each functional module is flanked by unique cloning sites, ensuring flexibility and individual optimization. The efficacy of these vectors for analyzing multiple genes in a single cell was demonstrated in several different cell types, including hematopoietic, endothelial, and neural stem and progenitor cells, as well as hepatocytes. LeGO vectors thus represent a valuable tool for investigating gene networks using conditional ectopic expression and knock-down approaches simultaneously.","author":[{"dropping-particle":"","family":"Weber","given":"Kristoffer","non-dropping-particle":"","parse-names":false,"suffix":""},{"dropping-particle":"","family":"Bartsch","given":"Udo","non-dropping-particle":"","parse-names":false,"suffix":""},{"dropping-particle":"","family":"Stocking","given":"Carol","non-dropping-particle":"","parse-names":false,"suffix":""},{"dropping-particle":"","family":"Fehse","given":"Boris","non-dropping-particle":"","parse-names":false,"suffix":""}],"container-title":"Molecular Therapy","id":"ITEM-2","issue":"4","issued":{"date-parts":[["2008"]]},"page":"698-706","publisher":"The American Society of Gene Therapy","title":"A multicolor panel of novel lentiviral \"gene ontology\" (LeGO) vectors for functional gene analysis","type":"article-journal","volume":"16"},"uris":["http://www.mendeley.com/documents/?uuid=951ae9c2-0037-414b-ad63-c4db110c4bed"]}],"mendeley":{"formattedCitation":"(1,2)","plainTextFormattedCitation":"(1,2)","previouslyFormattedCitation":"&lt;sup&gt;1,2&lt;/sup&gt;"},"properties":{"noteIndex":0},"schema":"https://github.com/citation-style-language/schema/raw/master/csl-citation.json"}</w:instrText>
      </w:r>
      <w:r w:rsidRPr="00C6303D">
        <w:rPr>
          <w:rFonts w:ascii="Arial" w:hAnsi="Arial" w:cs="Arial"/>
          <w:sz w:val="20"/>
          <w:szCs w:val="20"/>
        </w:rPr>
        <w:fldChar w:fldCharType="separate"/>
      </w:r>
      <w:r w:rsidRPr="00C6303D">
        <w:rPr>
          <w:rFonts w:ascii="Arial" w:hAnsi="Arial" w:cs="Arial"/>
          <w:noProof/>
          <w:sz w:val="20"/>
          <w:szCs w:val="20"/>
        </w:rPr>
        <w:t>(1,2)</w:t>
      </w:r>
      <w:r w:rsidRPr="00C6303D">
        <w:rPr>
          <w:rFonts w:ascii="Arial" w:hAnsi="Arial" w:cs="Arial"/>
          <w:sz w:val="20"/>
          <w:szCs w:val="20"/>
        </w:rPr>
        <w:fldChar w:fldCharType="end"/>
      </w:r>
      <w:r w:rsidRPr="00C6303D">
        <w:rPr>
          <w:rFonts w:ascii="Arial" w:hAnsi="Arial" w:cs="Arial"/>
          <w:sz w:val="20"/>
          <w:szCs w:val="20"/>
        </w:rPr>
        <w:t xml:space="preserve">. The hEGFR mutant G465R was generated from the wild-type construct in the pcDNA3.1(+) vector with the QuikChange XL Site-Directed Mutagenesis Kit (Agilent Technologies, Santa Clara, USA) as described </w:t>
      </w:r>
      <w:r w:rsidRPr="00C6303D">
        <w:rPr>
          <w:rFonts w:ascii="Arial" w:hAnsi="Arial" w:cs="Arial"/>
          <w:sz w:val="20"/>
          <w:szCs w:val="20"/>
        </w:rPr>
        <w:fldChar w:fldCharType="begin" w:fldLock="1"/>
      </w:r>
      <w:r w:rsidRPr="00C6303D">
        <w:rPr>
          <w:rFonts w:ascii="Arial" w:hAnsi="Arial" w:cs="Arial"/>
          <w:sz w:val="20"/>
          <w:szCs w:val="20"/>
        </w:rPr>
        <w:instrText>ADDIN CSL_CITATION {"citationItems":[{"id":"ITEM-1","itemData":{"DOI":"10.18632/oncotarget.3574","ISSN":"1949-2553","PMID":"26059438","abstract":"Acquired resistance to epidermal growth factor receptor (EGFR) targeted antibodies represents a clinical challenge in the treatment of gastrointestinal tumors such as metastatic colorectal cancer, but its molecular mechanisms are incompletely understood. We scanned KRAS exon 2/3/4, NRAS exon 2/3/4 and the overlapping epitopes of the EGFR antibodies cetuximab and panitumumab for mutations in pre- and post-treatment tumor tissue of 21 patients with gastrointestinal cancer treated with chemotherapy +/- EGFR antibodies by next-generation sequencing (\"tumor tissue\" cohort). We describe a novel EGFR exon 12 mutation acquired in tumors of 1 out of 3 patients treated with panitumumab. The EGFR G465R mutation introduces a positive charge within the overlap of the panitumumab and cetuximab epitopes. It abrogates antibody binding and mediates cross-resistance to both antibodies in EGFR G465R-transfected Ba/F3 cells. In circulating tumor DNA from an independent \"liquid biopsy\" cohort of 27 patients, we found this novel mutation in 1 out of 6 panitumumab-treated cases while about one third of patients show acquired RAS mutations. We show that acquired resistance by epitope-changing mutations also emerges during panitumumab treatment, which can be easily detected by a liquid biopsy approach even before clinical resistance occurs and this may help in tailoring EGFR-targeted therapies.","author":[{"dropping-particle":"","family":"Braig","given":"Friederike","non-dropping-particle":"","parse-names":false,"suffix":""},{"dropping-particle":"","family":"März","given":"Manuela","non-dropping-particle":"","parse-names":false,"suffix":""},{"dropping-particle":"","family":"Schieferdecker","given":"Aneta","non-dropping-particle":"","parse-names":false,"suffix":""},{"dropping-particle":"","family":"Schulte","given":"Alexander","non-dropping-particle":"","parse-names":false,"suffix":""},{"dropping-particle":"","family":"Voigt","given":"Mareike","non-dropping-particle":"","parse-names":false,"suffix":""},{"dropping-particle":"","family":"Stein","given":"Alexander","non-dropping-particle":"","parse-names":false,"suffix":""},{"dropping-particle":"","family":"Grob","given":"Tobias","non-dropping-particle":"","parse-names":false,"suffix":""},{"dropping-particle":"","family":"Alawi","given":"Malik","non-dropping-particle":"","parse-names":false,"suffix":""},{"dropping-particle":"","family":"Indenbirken","given":"Daniela","non-dropping-particle":"","parse-names":false,"suffix":""},{"dropping-particle":"","family":"Kriegs","given":"Malte","non-dropping-particle":"","parse-names":false,"suffix":""},{"dropping-particle":"","family":"Engel","given":"Erik","non-dropping-particle":"","parse-names":false,"suffix":""},{"dropping-particle":"","family":"Vanhoefer","given":"Udo","non-dropping-particle":"","parse-names":false,"suffix":""},{"dropping-particle":"","family":"Grundhoff","given":"Adam","non-dropping-particle":"","parse-names":false,"suffix":""},{"dropping-particle":"","family":"Loges","given":"Sonja","non-dropping-particle":"","parse-names":false,"suffix":""},{"dropping-particle":"","family":"Riecken","given":"Kristoffer","non-dropping-particle":"","parse-names":false,"suffix":""},{"dropping-particle":"","family":"Fehse","given":"Boris","non-dropping-particle":"","parse-names":false,"suffix":""},{"dropping-particle":"","family":"Bokemeyer","given":"Carsten","non-dropping-particle":"","parse-names":false,"suffix":""},{"dropping-particle":"","family":"Binder","given":"Mascha","non-dropping-particle":"","parse-names":false,"suffix":""}],"container-title":"Oncotarget","id":"ITEM-1","issue":"14","issued":{"date-parts":[["2015"]]},"page":"12035-12047","title":"Epidermal growth factor receptor mutation mediates cross-resistance to panitumumab and cetuximab in gastrointestinal cancer","type":"article-journal","volume":"6"},"uris":["http://www.mendeley.com/documents/?uuid=158eaa28-7045-4259-b1e3-2b470be198cb"]}],"mendeley":{"formattedCitation":"(2)","plainTextFormattedCitation":"(2)","previouslyFormattedCitation":"&lt;sup&gt;1&lt;/sup&gt;"},"properties":{"noteIndex":0},"schema":"https://github.com/citation-style-language/schema/raw/master/csl-citation.json"}</w:instrText>
      </w:r>
      <w:r w:rsidRPr="00C6303D">
        <w:rPr>
          <w:rFonts w:ascii="Arial" w:hAnsi="Arial" w:cs="Arial"/>
          <w:sz w:val="20"/>
          <w:szCs w:val="20"/>
        </w:rPr>
        <w:fldChar w:fldCharType="separate"/>
      </w:r>
      <w:r w:rsidRPr="00C6303D">
        <w:rPr>
          <w:rFonts w:ascii="Arial" w:hAnsi="Arial" w:cs="Arial"/>
          <w:noProof/>
          <w:sz w:val="20"/>
          <w:szCs w:val="20"/>
        </w:rPr>
        <w:t>(2)</w:t>
      </w:r>
      <w:r w:rsidRPr="00C6303D">
        <w:rPr>
          <w:rFonts w:ascii="Arial" w:hAnsi="Arial" w:cs="Arial"/>
          <w:sz w:val="20"/>
          <w:szCs w:val="20"/>
        </w:rPr>
        <w:fldChar w:fldCharType="end"/>
      </w:r>
      <w:r w:rsidRPr="00C6303D">
        <w:rPr>
          <w:rFonts w:ascii="Arial" w:hAnsi="Arial" w:cs="Arial"/>
          <w:sz w:val="20"/>
          <w:szCs w:val="20"/>
        </w:rPr>
        <w:t xml:space="preserve">, amplified using individually designed oligonucleotides (Supplementary Table 2) and cloned into the LeGO-iG3-Puro+/eGFP vector using the In-Fusion HD Cloning Plus (Takara Bio, Paris, France). The gene encoding wild-type human KRAS (hKRAS) was amplified from human colon Cancer cell line SW48 and hKRAS bearing an oncogenic mutation GGT&gt;GTT that leads to the amino acid substitution G12V was amplified from human SW480 colorectal cancer cells and cloned into LeGO-iC2-Zeo+/mCherry. Vector maps and sequence data for all parental vectors are available at http://www.LentiGO-Vectors.de. </w:t>
      </w:r>
    </w:p>
    <w:p w:rsidR="002C3C2C" w:rsidRPr="00C6303D" w:rsidRDefault="002C3C2C" w:rsidP="002C3C2C">
      <w:pPr>
        <w:spacing w:line="480" w:lineRule="auto"/>
        <w:jc w:val="both"/>
        <w:rPr>
          <w:rFonts w:ascii="Arial" w:hAnsi="Arial" w:cs="Arial"/>
          <w:i/>
          <w:sz w:val="20"/>
          <w:szCs w:val="20"/>
        </w:rPr>
      </w:pPr>
    </w:p>
    <w:p w:rsidR="002C3C2C" w:rsidRPr="00C6303D" w:rsidRDefault="002C3C2C" w:rsidP="002C3C2C">
      <w:pPr>
        <w:spacing w:line="480" w:lineRule="auto"/>
        <w:jc w:val="both"/>
        <w:rPr>
          <w:rFonts w:ascii="Arial" w:hAnsi="Arial" w:cs="Arial"/>
          <w:sz w:val="20"/>
          <w:szCs w:val="20"/>
        </w:rPr>
      </w:pPr>
      <w:r w:rsidRPr="00C6303D">
        <w:rPr>
          <w:rFonts w:ascii="Arial" w:hAnsi="Arial" w:cs="Arial"/>
          <w:i/>
          <w:sz w:val="20"/>
          <w:szCs w:val="20"/>
        </w:rPr>
        <w:lastRenderedPageBreak/>
        <w:t xml:space="preserve">Cell transduction with hEGFR and hKRAS expression constructs. </w:t>
      </w:r>
      <w:r w:rsidRPr="00C6303D">
        <w:rPr>
          <w:rFonts w:ascii="Arial" w:hAnsi="Arial" w:cs="Arial"/>
          <w:sz w:val="20"/>
          <w:szCs w:val="20"/>
        </w:rPr>
        <w:t xml:space="preserve">Ba/F3 cells were lentivirally transduced with wild-type or mutant hEGFR and/or wild-type hKRAS or hKRAS G12V encoding vector. Virus production was described earlier </w:t>
      </w:r>
      <w:r w:rsidRPr="00C6303D">
        <w:rPr>
          <w:rFonts w:ascii="Arial" w:hAnsi="Arial" w:cs="Arial"/>
          <w:sz w:val="20"/>
          <w:szCs w:val="20"/>
        </w:rPr>
        <w:fldChar w:fldCharType="begin" w:fldLock="1"/>
      </w:r>
      <w:r w:rsidRPr="00C6303D">
        <w:rPr>
          <w:rFonts w:ascii="Arial" w:hAnsi="Arial" w:cs="Arial"/>
          <w:sz w:val="20"/>
          <w:szCs w:val="20"/>
        </w:rPr>
        <w:instrText>ADDIN CSL_CITATION {"citationItems":[{"id":"ITEM-1","itemData":{"DOI":"10.1038/mt.2008.6","ISBN":"1525-0024 (Electronic)\\r1525-0016 (Linking)","ISSN":"15250016","PMID":"18362927","abstract":"Functional gene analysis requires the possibility of overexpression, as well as downregulation of one, or ideally several, potentially interacting genes. Lentiviral vectors are well suited for this purpose as they ensure stable expression of complementary DNAs (cDNAs), as well as short-hairpin RNAs (shRNAs), and can efficiently transduce a wide spectrum of cell targets when packaged within the coat proteins of other viruses. Here we introduce a multicolor panel of novel lentiviral \"gene ontology\" (LeGO) vectors designed according to the \"building blocks\" principle. Using a wide spectrum of different fluorescent markers, including drug-selectable enhanced green fluorescent protein (eGFP)- and dTomato-blasticidin-S resistance fusion proteins, LeGO vectors allow simultaneous analysis of multiple genes and shRNAs of interest within single, easily identifiable cells. Furthermore, each functional module is flanked by unique cloning sites, ensuring flexibility and individual optimization. The efficacy of these vectors for analyzing multiple genes in a single cell was demonstrated in several different cell types, including hematopoietic, endothelial, and neural stem and progenitor cells, as well as hepatocytes. LeGO vectors thus represent a valuable tool for investigating gene networks using conditional ectopic expression and knock-down approaches simultaneously.","author":[{"dropping-particle":"","family":"Weber","given":"Kristoffer","non-dropping-particle":"","parse-names":false,"suffix":""},{"dropping-particle":"","family":"Bartsch","given":"Udo","non-dropping-particle":"","parse-names":false,"suffix":""},{"dropping-particle":"","family":"Stocking","given":"Carol","non-dropping-particle":"","parse-names":false,"suffix":""},{"dropping-particle":"","family":"Fehse","given":"Boris","non-dropping-particle":"","parse-names":false,"suffix":""}],"container-title":"Molecular Therapy","id":"ITEM-1","issue":"4","issued":{"date-parts":[["2008"]]},"page":"698-706","publisher":"The American Society of Gene Therapy","title":"A multicolor panel of novel lentiviral \"gene ontology\" (LeGO) vectors for functional gene analysis","type":"article-journal","volume":"16"},"uris":["http://www.mendeley.com/documents/?uuid=951ae9c2-0037-414b-ad63-c4db110c4bed"]}],"mendeley":{"formattedCitation":"(1)","plainTextFormattedCitation":"(1)","previouslyFormattedCitation":"&lt;sup&gt;2&lt;/sup&gt;"},"properties":{"noteIndex":0},"schema":"https://github.com/citation-style-language/schema/raw/master/csl-citation.json"}</w:instrText>
      </w:r>
      <w:r w:rsidRPr="00C6303D">
        <w:rPr>
          <w:rFonts w:ascii="Arial" w:hAnsi="Arial" w:cs="Arial"/>
          <w:sz w:val="20"/>
          <w:szCs w:val="20"/>
        </w:rPr>
        <w:fldChar w:fldCharType="separate"/>
      </w:r>
      <w:r w:rsidRPr="00C6303D">
        <w:rPr>
          <w:rFonts w:ascii="Arial" w:hAnsi="Arial" w:cs="Arial"/>
          <w:noProof/>
          <w:sz w:val="20"/>
          <w:szCs w:val="20"/>
        </w:rPr>
        <w:t>(1)</w:t>
      </w:r>
      <w:r w:rsidRPr="00C6303D">
        <w:rPr>
          <w:rFonts w:ascii="Arial" w:hAnsi="Arial" w:cs="Arial"/>
          <w:sz w:val="20"/>
          <w:szCs w:val="20"/>
        </w:rPr>
        <w:fldChar w:fldCharType="end"/>
      </w:r>
      <w:r w:rsidRPr="00C6303D">
        <w:rPr>
          <w:rFonts w:ascii="Arial" w:hAnsi="Arial" w:cs="Arial"/>
          <w:noProof/>
          <w:sz w:val="20"/>
          <w:szCs w:val="20"/>
        </w:rPr>
        <w:t>.</w:t>
      </w:r>
      <w:r w:rsidRPr="00C6303D">
        <w:rPr>
          <w:rFonts w:ascii="Arial" w:hAnsi="Arial" w:cs="Arial"/>
          <w:sz w:val="20"/>
          <w:szCs w:val="20"/>
        </w:rPr>
        <w:t xml:space="preserve"> Transduction efficiency was </w:t>
      </w:r>
      <w:proofErr w:type="gramStart"/>
      <w:r w:rsidRPr="00C6303D">
        <w:rPr>
          <w:rFonts w:ascii="Arial" w:hAnsi="Arial" w:cs="Arial"/>
          <w:sz w:val="20"/>
          <w:szCs w:val="20"/>
        </w:rPr>
        <w:t>determined</w:t>
      </w:r>
      <w:proofErr w:type="gramEnd"/>
      <w:r w:rsidRPr="00C6303D" w:rsidDel="00C75B06">
        <w:rPr>
          <w:rFonts w:ascii="Arial" w:hAnsi="Arial" w:cs="Arial"/>
          <w:sz w:val="20"/>
          <w:szCs w:val="20"/>
        </w:rPr>
        <w:t xml:space="preserve"> </w:t>
      </w:r>
      <w:r w:rsidRPr="00C6303D">
        <w:rPr>
          <w:rFonts w:ascii="Arial" w:hAnsi="Arial" w:cs="Arial"/>
          <w:sz w:val="20"/>
          <w:szCs w:val="20"/>
        </w:rPr>
        <w:t>and transduced cells were sorted based on their selective fluorescent marker by fluorescence-activated cell sorting (FACS) on a FACS Aria Illu (Becton Dickinson, Heidelberg, Germany). Polyclonal cell lines stably expressing hEGFR wild-type, G465R mutant and/or hKRAS wild-type or G12V were established by puromycin (1 µg/ml; InvivoGen, San Diego, USA) and zeocin (100 µg/ml; InvivoGen, San Diego, USA) selection. Cells were transformed to IL-3 independence by subsequent culturing in the absence of IL-3 and in the presence of 5 ng/ml human EGF (hEGF) and were used for drug-sensitivity experiments.</w:t>
      </w:r>
    </w:p>
    <w:p w:rsidR="002C3C2C" w:rsidRPr="00C6303D" w:rsidRDefault="002C3C2C" w:rsidP="002C3C2C">
      <w:pPr>
        <w:spacing w:line="480" w:lineRule="auto"/>
        <w:jc w:val="both"/>
        <w:rPr>
          <w:rFonts w:ascii="Arial" w:hAnsi="Arial" w:cs="Arial"/>
          <w:sz w:val="20"/>
          <w:szCs w:val="20"/>
        </w:rPr>
      </w:pPr>
    </w:p>
    <w:p w:rsidR="002C3C2C" w:rsidRPr="00C6303D" w:rsidRDefault="002C3C2C" w:rsidP="002C3C2C">
      <w:pPr>
        <w:spacing w:line="480" w:lineRule="auto"/>
        <w:rPr>
          <w:rFonts w:ascii="Arial" w:hAnsi="Arial" w:cs="Arial"/>
          <w:sz w:val="20"/>
          <w:szCs w:val="20"/>
        </w:rPr>
      </w:pPr>
      <w:r w:rsidRPr="00C6303D">
        <w:rPr>
          <w:rFonts w:ascii="Arial" w:hAnsi="Arial" w:cs="Arial"/>
          <w:i/>
          <w:sz w:val="20"/>
          <w:szCs w:val="20"/>
        </w:rPr>
        <w:t xml:space="preserve">Cellular drug-sensitivity and proliferation assays. </w:t>
      </w:r>
      <w:r w:rsidRPr="00C6303D">
        <w:rPr>
          <w:rFonts w:ascii="Arial" w:hAnsi="Arial" w:cs="Arial"/>
          <w:sz w:val="20"/>
          <w:szCs w:val="20"/>
        </w:rPr>
        <w:t>Cetuximab (Merck, Darmstadt, Germany) and panitumumab (Amgen, Thousand Oaks, USA) were purchased from the Hospital Pharmacy. Ba/F3 cells transduced with hEGFR and/or hKRAS encoding vectors were seeded in triplicate at equal densities of 1.0 x 10</w:t>
      </w:r>
      <w:r w:rsidRPr="00C6303D">
        <w:rPr>
          <w:rFonts w:ascii="Arial" w:hAnsi="Arial" w:cs="Arial"/>
          <w:sz w:val="20"/>
          <w:szCs w:val="20"/>
          <w:vertAlign w:val="superscript"/>
        </w:rPr>
        <w:t>5</w:t>
      </w:r>
      <w:r w:rsidRPr="00C6303D">
        <w:rPr>
          <w:rFonts w:ascii="Arial" w:hAnsi="Arial" w:cs="Arial"/>
          <w:sz w:val="20"/>
          <w:szCs w:val="20"/>
        </w:rPr>
        <w:t> cells/ml and cultured in the absence or presence of hEGF in combination with 5 µg/ml cetuximab or 2.5 µg/ml panitumumab. The average number of viable cells was measured by trypan blue staining every 24 hours for seven days using Vi-CELL Cell Viability Analyzer (Beckman Coulter, Brea, USA). Ligand and therapeutics were added freshly every 24 hours. EGFR expression of Ba/F3 cells was assessed by flow cytometry using EGFR antibody (R&amp;D Systems, Minneapolis, USA), and specific secondary antibody (R&amp;D Systems, Minneapolis, USA). Mean fluorescent intensity was measured by FACS on a FACSCanto (Becton Dickinson, Franklin Lakes, USA). Cell viability was assessed by WST-8 assay (cell counting kit-8, Sigma-Aldrich, St. Louis, USA). For this assay, 20000 cells were seeded in 100 µl hEGF-containing culture medium with the respective growth factor and/or inhibitor in 96-well culture plates and incubated for 72 hours. Viable cell numbers were determined by adding 10 µl of WST-8 reagent and absorbance was measured after two to three hours at a wavelength of 450 nm with a reference wavelength of 650 nm using a microplate reader. For combination treatment of Ba/F3 hEGFR wt / hKRAS G12V with cytostatics, the median inhibitory concentration (IC50 value) of oxaliplatinum and irinotecan was also determined by WST-8 assay. To do so, 5000 cells were seeded in hEGF-containing culture medium with serially diluted cytostatics in 96-well culture plates. Medium-</w:t>
      </w:r>
      <w:r w:rsidRPr="00C6303D">
        <w:rPr>
          <w:rFonts w:ascii="Arial" w:hAnsi="Arial" w:cs="Arial"/>
          <w:sz w:val="20"/>
          <w:szCs w:val="20"/>
        </w:rPr>
        <w:lastRenderedPageBreak/>
        <w:t>only and 100 µM cisplatinum containing wells were added as controls. Cytotoxicity was assessed after 72 hours by using WST-8 reagents.</w:t>
      </w:r>
    </w:p>
    <w:p w:rsidR="002C3C2C" w:rsidRPr="00C6303D" w:rsidRDefault="002C3C2C" w:rsidP="002C3C2C">
      <w:pPr>
        <w:spacing w:line="480" w:lineRule="auto"/>
        <w:jc w:val="both"/>
        <w:rPr>
          <w:rFonts w:ascii="Arial" w:hAnsi="Arial" w:cs="Arial"/>
          <w:sz w:val="20"/>
          <w:szCs w:val="20"/>
        </w:rPr>
      </w:pPr>
      <w:r w:rsidRPr="00C6303D">
        <w:rPr>
          <w:rFonts w:ascii="Arial" w:hAnsi="Arial" w:cs="Arial"/>
          <w:sz w:val="20"/>
          <w:szCs w:val="20"/>
        </w:rPr>
        <w:t>For cell proliferation assay of adherent colorectal cancer cell lines, SW48, SW480 SW620 or DLD-1 cells were seeded in triplicate at equal densities of 5 x 10</w:t>
      </w:r>
      <w:r w:rsidRPr="00C6303D">
        <w:rPr>
          <w:rFonts w:ascii="Arial" w:hAnsi="Arial" w:cs="Arial"/>
          <w:sz w:val="20"/>
          <w:szCs w:val="20"/>
          <w:vertAlign w:val="superscript"/>
        </w:rPr>
        <w:t>4</w:t>
      </w:r>
      <w:r w:rsidRPr="00C6303D">
        <w:rPr>
          <w:rFonts w:ascii="Arial" w:hAnsi="Arial" w:cs="Arial"/>
          <w:sz w:val="20"/>
          <w:szCs w:val="20"/>
        </w:rPr>
        <w:t> cell/well in 12-well format. Cells were stimulated with 5 ng/ml hEGF 24 hours post-seeding. Proliferation was assessed after washing cells with phosphate buffered saline (PBS) following trypsinization (0.25% trypsin, 0.02% EDTA). Proliferation of cells was assayed as described above by acquiring data at 1, 2, 4, 5 and 7 days after initiation of treatment.</w:t>
      </w:r>
    </w:p>
    <w:p w:rsidR="002C3C2C" w:rsidRPr="00C6303D" w:rsidRDefault="002C3C2C" w:rsidP="002C3C2C">
      <w:pPr>
        <w:spacing w:line="480" w:lineRule="auto"/>
        <w:jc w:val="both"/>
        <w:rPr>
          <w:rFonts w:ascii="Arial" w:hAnsi="Arial" w:cs="Arial"/>
          <w:sz w:val="20"/>
          <w:szCs w:val="20"/>
        </w:rPr>
      </w:pPr>
    </w:p>
    <w:p w:rsidR="002C3C2C" w:rsidRPr="00C6303D" w:rsidRDefault="002C3C2C" w:rsidP="002C3C2C">
      <w:pPr>
        <w:spacing w:line="480" w:lineRule="auto"/>
        <w:jc w:val="both"/>
        <w:rPr>
          <w:rFonts w:ascii="Arial" w:hAnsi="Arial" w:cs="Arial"/>
          <w:sz w:val="20"/>
          <w:szCs w:val="20"/>
        </w:rPr>
      </w:pPr>
      <w:r w:rsidRPr="00C6303D">
        <w:rPr>
          <w:rFonts w:ascii="Arial" w:hAnsi="Arial" w:cs="Arial"/>
          <w:i/>
          <w:sz w:val="20"/>
          <w:szCs w:val="20"/>
        </w:rPr>
        <w:t>PamGene serine/threonine kinase array analyses</w:t>
      </w:r>
      <w:r w:rsidRPr="00C6303D">
        <w:rPr>
          <w:rFonts w:ascii="Arial" w:hAnsi="Arial" w:cs="Arial"/>
          <w:sz w:val="20"/>
          <w:szCs w:val="20"/>
        </w:rPr>
        <w:t>. The differential kinase activity between Ba/F3 hEGFR wt / hKRAS G12V cells treated with hEGF versus hEGF + cetuximab was estimated using a PamGene serine/threonine Chip according to the manufacturer's instructions. Briefly, 1 x 10</w:t>
      </w:r>
      <w:r w:rsidRPr="00C6303D">
        <w:rPr>
          <w:rFonts w:ascii="Arial" w:hAnsi="Arial" w:cs="Arial"/>
          <w:sz w:val="20"/>
          <w:szCs w:val="20"/>
          <w:vertAlign w:val="superscript"/>
        </w:rPr>
        <w:t>6</w:t>
      </w:r>
      <w:r w:rsidRPr="00C6303D">
        <w:rPr>
          <w:rFonts w:ascii="Arial" w:hAnsi="Arial" w:cs="Arial"/>
          <w:sz w:val="20"/>
          <w:szCs w:val="20"/>
        </w:rPr>
        <w:t xml:space="preserve"> cells were lysed in M-PER Mammalian Extraction Buffer (Pierce) and subsequently treated as described previously </w:t>
      </w:r>
      <w:r w:rsidRPr="00C6303D">
        <w:rPr>
          <w:rFonts w:ascii="Arial" w:hAnsi="Arial" w:cs="Arial"/>
          <w:sz w:val="20"/>
          <w:szCs w:val="20"/>
        </w:rPr>
        <w:fldChar w:fldCharType="begin" w:fldLock="1"/>
      </w:r>
      <w:r w:rsidRPr="00C6303D">
        <w:rPr>
          <w:rFonts w:ascii="Arial" w:hAnsi="Arial" w:cs="Arial"/>
          <w:sz w:val="20"/>
          <w:szCs w:val="20"/>
        </w:rPr>
        <w:instrText>ADDIN CSL_CITATION {"citationItems":[{"id":"ITEM-1","itemData":{"author":[{"dropping-particle":"","family":"Haetscher","given":"Nadine","non-dropping-particle":"","parse-names":false,"suffix":""},{"dropping-particle":"","family":"Feuermann","given":"Yonatan","non-dropping-particle":"","parse-names":false,"suffix":""},{"dropping-particle":"","family":"Wingert","given":"Susanne","non-dropping-particle":"","parse-names":false,"suffix":""},{"dropping-particle":"","family":"Rehage","given":"Maike","non-dropping-particle":"","parse-names":false,"suffix":""},{"dropping-particle":"","family":"Thalheimer","given":"Frederic B","non-dropping-particle":"","parse-names":false,"suffix":""},{"dropping-particle":"","family":"Weiser","given":"Christian","non-dropping-particle":"","parse-names":false,"suffix":""},{"dropping-particle":"","family":"Bohnenberger","given":"Hanibal","non-dropping-particle":"","parse-names":false,"suffix":""},{"dropping-particle":"","family":"Jung","given":"Klaus","non-dropping-particle":"","parse-names":false,"suffix":""},{"dropping-particle":"","family":"Schroeder","given":"Timm","non-dropping-particle":"","parse-names":false,"suffix":""},{"dropping-particle":"","family":"Serve","given":"Hubert","non-dropping-particle":"","parse-names":false,"suffix":""},{"dropping-particle":"","family":"Oellerich","given":"Thomas","non-dropping-particle":"","parse-names":false,"suffix":""},{"dropping-particle":"","family":"Hennighausen","given":"Lothar","non-dropping-particle":"","parse-names":false,"suffix":""},{"dropping-particle":"","family":"Rieger","given":"Michael A","non-dropping-particle":"","parse-names":false,"suffix":""}],"container-title":"Nature Communications","id":"ITEM-1","issued":{"date-parts":[["2015","11"]]},"page":"8928","publisher":"The Author(s)","title":"STAT5-regulated microRNA-193b controls haematopoietic stem and progenitor cell expansion by modulating cytokine receptor signalling","type":"article-journal","volume":"6"},"uris":["http://www.mendeley.com/documents/?uuid=2d3ccbfc-7439-4935-81c0-03fc9636310c","http://www.mendeley.com/documents/?uuid=3994f186-e81a-47ea-9447-3445f524fea3"]}],"mendeley":{"formattedCitation":"(3)","plainTextFormattedCitation":"(3)","previouslyFormattedCitation":"&lt;sup&gt;3&lt;/sup&gt;"},"properties":{"noteIndex":0},"schema":"https://github.com/citation-style-language/schema/raw/master/csl-citation.json"}</w:instrText>
      </w:r>
      <w:r w:rsidRPr="00C6303D">
        <w:rPr>
          <w:rFonts w:ascii="Arial" w:hAnsi="Arial" w:cs="Arial"/>
          <w:sz w:val="20"/>
          <w:szCs w:val="20"/>
        </w:rPr>
        <w:fldChar w:fldCharType="separate"/>
      </w:r>
      <w:r w:rsidRPr="00C6303D">
        <w:rPr>
          <w:rFonts w:ascii="Arial" w:hAnsi="Arial" w:cs="Arial"/>
          <w:noProof/>
          <w:sz w:val="20"/>
          <w:szCs w:val="20"/>
        </w:rPr>
        <w:t>(3)</w:t>
      </w:r>
      <w:r w:rsidRPr="00C6303D">
        <w:rPr>
          <w:rFonts w:ascii="Arial" w:hAnsi="Arial" w:cs="Arial"/>
          <w:sz w:val="20"/>
          <w:szCs w:val="20"/>
        </w:rPr>
        <w:fldChar w:fldCharType="end"/>
      </w:r>
      <w:r w:rsidRPr="00C6303D">
        <w:rPr>
          <w:rFonts w:ascii="Arial" w:hAnsi="Arial" w:cs="Arial"/>
          <w:sz w:val="20"/>
          <w:szCs w:val="20"/>
        </w:rPr>
        <w:t xml:space="preserve">. Image analysis, signal quantification for kinomic analysis and data analysis was performed using the BioNavigator software v. 6.2 (PamGene). </w:t>
      </w:r>
    </w:p>
    <w:p w:rsidR="002C3C2C" w:rsidRPr="00C6303D" w:rsidRDefault="002C3C2C" w:rsidP="002C3C2C">
      <w:pPr>
        <w:spacing w:line="480" w:lineRule="auto"/>
        <w:jc w:val="both"/>
        <w:rPr>
          <w:rFonts w:ascii="Arial" w:hAnsi="Arial" w:cs="Arial"/>
          <w:sz w:val="20"/>
          <w:szCs w:val="20"/>
        </w:rPr>
      </w:pPr>
    </w:p>
    <w:p w:rsidR="002C3C2C" w:rsidRPr="00C6303D" w:rsidRDefault="002C3C2C" w:rsidP="002C3C2C">
      <w:pPr>
        <w:spacing w:line="480" w:lineRule="auto"/>
        <w:jc w:val="both"/>
        <w:rPr>
          <w:rFonts w:ascii="Arial" w:hAnsi="Arial" w:cs="Arial"/>
          <w:sz w:val="20"/>
          <w:szCs w:val="20"/>
          <w:vertAlign w:val="superscript"/>
        </w:rPr>
      </w:pPr>
      <w:r w:rsidRPr="00C6303D">
        <w:rPr>
          <w:rFonts w:ascii="Arial" w:hAnsi="Arial" w:cs="Arial"/>
          <w:i/>
          <w:sz w:val="20"/>
          <w:szCs w:val="20"/>
        </w:rPr>
        <w:t xml:space="preserve">Targeted next-generation sequencing (NGS) of RAS exons. </w:t>
      </w:r>
      <w:r w:rsidRPr="00C6303D">
        <w:rPr>
          <w:rFonts w:ascii="Arial" w:hAnsi="Arial" w:cs="Arial"/>
          <w:sz w:val="20"/>
          <w:szCs w:val="20"/>
        </w:rPr>
        <w:t xml:space="preserve">To assess expression of murine RAS isoforms in Ba/F3 cell lines, murine KRAS, NRAS and HRAS exon 2 sequences were amplified from genomic DNA and cDNA in two consecutive PCR reactions using the proof-reading polymerase Phusion HS II (Thermo Fisher Scientific Inc., Wilmington, USA) including overhangs for hybridization of amplicons to the Illumina flow cell for sequencing-primer annealing essentially as previously described </w:t>
      </w:r>
      <w:r w:rsidRPr="00C6303D">
        <w:rPr>
          <w:rFonts w:ascii="Arial" w:hAnsi="Arial" w:cs="Arial"/>
          <w:sz w:val="20"/>
          <w:szCs w:val="20"/>
        </w:rPr>
        <w:fldChar w:fldCharType="begin" w:fldLock="1"/>
      </w:r>
      <w:r w:rsidRPr="00C6303D">
        <w:rPr>
          <w:rFonts w:ascii="Arial" w:hAnsi="Arial" w:cs="Arial"/>
          <w:sz w:val="20"/>
          <w:szCs w:val="20"/>
        </w:rPr>
        <w:instrText>ADDIN CSL_CITATION {"citationItems":[{"id":"ITEM-1","itemData":{"DOI":"10.3892/mmr.2015.3245","ISSN":"17913004","PMID":"25625229","abstract":"Epidermal growth factor receptor (EGFR) and insulinlike growth factor receptorI (IGFIR) are frequently overexpressed in gastric cancer cells. However, these cells are resistant to the antiEGFR monoclonal antibody cetuximab. The aim of the present study was to determine whether cetuximab resistance in gastric cancer cells resulted from activation of the IGFIR signaling pathway by cetuximab. The results demonstrated that EGFR phosphorylation was markedly inhibited in gastric cancer cell lines (SGC7901 and MGC803) which possessed functional Kras and BRAF following treatment with cetuximab. However, cetuximab treatment did not diminish cell viability; by contrast, IGFIR activation was observed. Knockdown of IGFIR or the use of an IGFIR inhibitor were found to increase the sensitivity of gastric cancer cells to cetuximab. Furthermore, cetuximab induced phosphorylation of the nonreceptor tyrosine kinase csteroid receptor coactivator (Src). Treatment of gastric cancer cells with a Src inhibitor was shown to significantly reduce cetuximabinduced phosphorylation of IGFIR as well as Src, which resulted in enhanced sensitivity to cetuximab treatment. In conclusion, the results of the present study demonstrated that cetuximabinduced IGFIR activation was involved in cetuximab resistance in gastric cancer cells and that Src was an important mediator for IGFIR activation.","author":[{"dropping-particle":"","family":"Li","given":"Xin","non-dropping-particle":"","parse-names":false,"suffix":""},{"dropping-particle":"","family":"Xu","given":"Ling","non-dropping-particle":"","parse-names":false,"suffix":""},{"dropping-particle":"","family":"Li","given":"Heming","non-dropping-particle":"","parse-names":false,"suffix":""},{"dropping-particle":"","family":"Zhao","given":"Lei","non-dropping-particle":"","parse-names":false,"suffix":""},{"dropping-particle":"","family":"Luo","given":"Ying","non-dropping-particle":"","parse-names":false,"suffix":""},{"dropping-particle":"","family":"Zhu","given":"Zhitu","non-dropping-particle":"","parse-names":false,"suffix":""},{"dropping-particle":"","family":"Liu","given":"Yunpeng","non-dropping-particle":"","parse-names":false,"suffix":""},{"dropping-particle":"","family":"Qu","given":"Xiujuan","non-dropping-particle":"","parse-names":false,"suffix":""}],"container-title":"Molecular Medicine Reports","id":"ITEM-1","issue":"6","issued":{"date-parts":[["2015"]]},"page":"4547-4554","title":"Cetuximab-induced insulin-like growth factor receptor i activation mediates cetuximab resistance in gastric cancer cells","type":"article-journal","volume":"11"},"uris":["http://www.mendeley.com/documents/?uuid=c17b443d-2ffb-4170-851c-7aeda348a50e"]},{"id":"ITEM-2","itemData":{"DOI":"10.18632/oncotarget.3574","ISSN":"1949-2553","PMID":"26059438","abstract":"Acquired resistance to epidermal growth factor receptor (EGFR) targeted antibodies represents a clinical challenge in the treatment of gastrointestinal tumors such as metastatic colorectal cancer, but its molecular mechanisms are incompletely understood. We scanned KRAS exon 2/3/4, NRAS exon 2/3/4 and the overlapping epitopes of the EGFR antibodies cetuximab and panitumumab for mutations in pre- and post-treatment tumor tissue of 21 patients with gastrointestinal cancer treated with chemotherapy +/- EGFR antibodies by next-generation sequencing (\"tumor tissue\" cohort). We describe a novel EGFR exon 12 mutation acquired in tumors of 1 out of 3 patients treated with panitumumab. The EGFR G465R mutation introduces a positive charge within the overlap of the panitumumab and cetuximab epitopes. It abrogates antibody binding and mediates cross-resistance to both antibodies in EGFR G465R-transfected Ba/F3 cells. In circulating tumor DNA from an independent \"liquid biopsy\" cohort of 27 patients, we found this novel mutation in 1 out of 6 panitumumab-treated cases while about one third of patients show acquired RAS mutations. We show that acquired resistance by epitope-changing mutations also emerges during panitumumab treatment, which can be easily detected by a liquid biopsy approach even before clinical resistance occurs and this may help in tailoring EGFR-targeted therapies.","author":[{"dropping-particle":"","family":"Braig","given":"Friederike","non-dropping-particle":"","parse-names":false,"suffix":""},{"dropping-particle":"","family":"März","given":"Manuela","non-dropping-particle":"","parse-names":false,"suffix":""},{"dropping-particle":"","family":"Schieferdecker","given":"Aneta","non-dropping-particle":"","parse-names":false,"suffix":""},{"dropping-particle":"","family":"Schulte","given":"Alexander","non-dropping-particle":"","parse-names":false,"suffix":""},{"dropping-particle":"","family":"Voigt","given":"Mareike","non-dropping-particle":"","parse-names":false,"suffix":""},{"dropping-particle":"","family":"Stein","given":"Alexander","non-dropping-particle":"","parse-names":false,"suffix":""},{"dropping-particle":"","family":"Grob","given":"Tobias","non-dropping-particle":"","parse-names":false,"suffix":""},{"dropping-particle":"","family":"Alawi","given":"Malik","non-dropping-particle":"","parse-names":false,"suffix":""},{"dropping-particle":"","family":"Indenbirken","given":"Daniela","non-dropping-particle":"","parse-names":false,"suffix":""},{"dropping-particle":"","family":"Kriegs","given":"Malte","non-dropping-particle":"","parse-names":false,"suffix":""},{"dropping-particle":"","family":"Engel","given":"Erik","non-dropping-particle":"","parse-names":false,"suffix":""},{"dropping-particle":"","family":"Vanhoefer","given":"Udo","non-dropping-particle":"","parse-names":false,"suffix":""},{"dropping-particle":"","family":"Grundhoff","given":"Adam","non-dropping-particle":"","parse-names":false,"suffix":""},{"dropping-particle":"","family":"Loges","given":"Sonja","non-dropping-particle":"","parse-names":false,"suffix":""},{"dropping-particle":"","family":"Riecken","given":"Kristoffer","non-dropping-particle":"","parse-names":false,"suffix":""},{"dropping-particle":"","family":"Fehse","given":"Boris","non-dropping-particle":"","parse-names":false,"suffix":""},{"dropping-particle":"","family":"Bokemeyer","given":"Carsten","non-dropping-particle":"","parse-names":false,"suffix":""},{"dropping-particle":"","family":"Binder","given":"Mascha","non-dropping-particle":"","parse-names":false,"suffix":""}],"container-title":"Oncotarget","id":"ITEM-2","issue":"14","issued":{"date-parts":[["2015"]]},"page":"12035-12047","title":"Epidermal growth factor receptor mutation mediates cross-resistance to panitumumab and cetuximab in gastrointestinal cancer","type":"article-journal","volume":"6"},"uris":["http://www.mendeley.com/documents/?uuid=158eaa28-7045-4259-b1e3-2b470be198cb"]}],"mendeley":{"formattedCitation":"(2,4)","plainTextFormattedCitation":"(2,4)","previouslyFormattedCitation":"&lt;sup&gt;1,4&lt;/sup&gt;"},"properties":{"noteIndex":0},"schema":"https://github.com/citation-style-language/schema/raw/master/csl-citation.json"}</w:instrText>
      </w:r>
      <w:r w:rsidRPr="00C6303D">
        <w:rPr>
          <w:rFonts w:ascii="Arial" w:hAnsi="Arial" w:cs="Arial"/>
          <w:sz w:val="20"/>
          <w:szCs w:val="20"/>
        </w:rPr>
        <w:fldChar w:fldCharType="separate"/>
      </w:r>
      <w:r w:rsidRPr="00C6303D">
        <w:rPr>
          <w:rFonts w:ascii="Arial" w:hAnsi="Arial" w:cs="Arial"/>
          <w:noProof/>
          <w:sz w:val="20"/>
          <w:szCs w:val="20"/>
        </w:rPr>
        <w:t>(2,4)</w:t>
      </w:r>
      <w:r w:rsidRPr="00C6303D">
        <w:rPr>
          <w:rFonts w:ascii="Arial" w:hAnsi="Arial" w:cs="Arial"/>
          <w:sz w:val="20"/>
          <w:szCs w:val="20"/>
        </w:rPr>
        <w:fldChar w:fldCharType="end"/>
      </w:r>
      <w:r w:rsidRPr="00C6303D">
        <w:rPr>
          <w:rFonts w:ascii="Arial" w:hAnsi="Arial" w:cs="Arial"/>
          <w:sz w:val="20"/>
          <w:szCs w:val="20"/>
        </w:rPr>
        <w:t xml:space="preserve">. All primers are shown in </w:t>
      </w:r>
      <w:r w:rsidRPr="00C6303D">
        <w:rPr>
          <w:rFonts w:ascii="Arial" w:hAnsi="Arial" w:cs="Arial"/>
          <w:color w:val="000000" w:themeColor="text1"/>
          <w:sz w:val="20"/>
          <w:szCs w:val="20"/>
        </w:rPr>
        <w:t>Supplementary Table 3</w:t>
      </w:r>
      <w:r w:rsidRPr="00C6303D">
        <w:rPr>
          <w:rFonts w:ascii="Arial" w:hAnsi="Arial" w:cs="Arial"/>
          <w:sz w:val="20"/>
          <w:szCs w:val="20"/>
        </w:rPr>
        <w:t xml:space="preserve">. Amplicons were purified after agarose gel electrophoresis using the NucleoSpin Gel and PCR Clean-up kit (Macherey-Nagel, Düren, Germany). All amplicons were multiplex-sequenced with a 500-cycle single indexed (8 nucleotides) paired-end run on a MiSeq (Illumina, San Diego, USA) machine. Overlapping paired reads were merged using the software FLASH (v1.2.6) </w:t>
      </w:r>
      <w:r w:rsidRPr="00C6303D">
        <w:rPr>
          <w:rFonts w:ascii="Arial" w:hAnsi="Arial" w:cs="Arial"/>
          <w:sz w:val="20"/>
          <w:szCs w:val="20"/>
        </w:rPr>
        <w:fldChar w:fldCharType="begin" w:fldLock="1"/>
      </w:r>
      <w:r w:rsidRPr="00C6303D">
        <w:rPr>
          <w:rFonts w:ascii="Arial" w:hAnsi="Arial" w:cs="Arial"/>
          <w:sz w:val="20"/>
          <w:szCs w:val="20"/>
        </w:rPr>
        <w:instrText>ADDIN CSL_CITATION {"citationItems":[{"id":"ITEM-1","itemData":{"DOI":"10.1093/bioinformatics/btr507","ISBN":"1367-4811 (Electronic) 1367-4803 (Linking)","ISSN":"13674803","PMID":"21903629","abstract":"MOTIVATION: Next-generation sequencing technologies generate very large numbers of short reads. Even with very deep genome coverage, short read lengths cause problems in de novo assemblies. The use of paired-end libraries with a fragment size shorter than twice the read length provides an opportunity to generate much longer reads by overlapping and merging read pairs before assembling a genome.\\n\\nRESULTS: We present FLASH, a fast computational tool to extend the length of short reads by overlapping paired-end reads from fragment libraries that are sufficiently short. We tested the correctness of the tool on one million simulated read pairs, and we then applied it as a pre-processor for genome assemblies of Illumina reads from the bacterium Staphylococcus aureus and human chromosome 14. FLASH correctly extended and merged reads &gt;99% of the time on simulated reads with an error rate of &lt;1%. With adequately set parameters, FLASH correctly merged reads over 90% of the time even when the reads contained up to 5% errors. When FLASH was used to extend reads prior to assembly, the resulting assemblies had substantially greater N50 lengths for both contigs and scaffolds.\\n\\nAVAILABILITY AND IMPLEMENTATION: The FLASH system is implemented in C and is freely available as open-source code at http://www.cbcb.umd.edu/software/flash.\\n\\nCONTACT: t.magoc@gmail.com.","author":[{"dropping-particle":"","family":"Magoč","given":"Tanja","non-dropping-particle":"","parse-names":false,"suffix":""},{"dropping-particle":"","family":"Salzberg","given":"Steven L.","non-dropping-particle":"","parse-names":false,"suffix":""}],"container-title":"Bioinformatics","id":"ITEM-1","issue":"21","issued":{"date-parts":[["2011"]]},"page":"2957-2963","title":"FLASH: Fast length adjustment of short reads to improve genome assemblies","type":"article-journal","volume":"27"},"uris":["http://www.mendeley.com/documents/?uuid=2849b072-ed27-401f-864f-ecf283c1ae3d"]}],"mendeley":{"formattedCitation":"(5)","plainTextFormattedCitation":"(5)","previouslyFormattedCitation":"&lt;sup&gt;5&lt;/sup&gt;"},"properties":{"noteIndex":0},"schema":"https://github.com/citation-style-language/schema/raw/master/csl-citation.json"}</w:instrText>
      </w:r>
      <w:r w:rsidRPr="00C6303D">
        <w:rPr>
          <w:rFonts w:ascii="Arial" w:hAnsi="Arial" w:cs="Arial"/>
          <w:sz w:val="20"/>
          <w:szCs w:val="20"/>
        </w:rPr>
        <w:fldChar w:fldCharType="separate"/>
      </w:r>
      <w:r w:rsidRPr="00C6303D">
        <w:rPr>
          <w:rFonts w:ascii="Arial" w:hAnsi="Arial" w:cs="Arial"/>
          <w:noProof/>
          <w:sz w:val="20"/>
          <w:szCs w:val="20"/>
        </w:rPr>
        <w:t>(5)</w:t>
      </w:r>
      <w:r w:rsidRPr="00C6303D">
        <w:rPr>
          <w:rFonts w:ascii="Arial" w:hAnsi="Arial" w:cs="Arial"/>
          <w:sz w:val="20"/>
          <w:szCs w:val="20"/>
        </w:rPr>
        <w:fldChar w:fldCharType="end"/>
      </w:r>
      <w:r w:rsidRPr="00C6303D">
        <w:rPr>
          <w:rFonts w:ascii="Arial" w:hAnsi="Arial" w:cs="Arial"/>
          <w:sz w:val="20"/>
          <w:szCs w:val="20"/>
        </w:rPr>
        <w:t xml:space="preserve">. Non-overlapping reads were excluded from further analysis. Usearch (v6.0.307) </w:t>
      </w:r>
      <w:r w:rsidRPr="00C6303D">
        <w:rPr>
          <w:rFonts w:ascii="Arial" w:hAnsi="Arial" w:cs="Arial"/>
          <w:sz w:val="20"/>
          <w:szCs w:val="20"/>
        </w:rPr>
        <w:fldChar w:fldCharType="begin" w:fldLock="1"/>
      </w:r>
      <w:r w:rsidRPr="00C6303D">
        <w:rPr>
          <w:rFonts w:ascii="Arial" w:hAnsi="Arial" w:cs="Arial"/>
          <w:sz w:val="20"/>
          <w:szCs w:val="20"/>
        </w:rPr>
        <w:instrText>ADDIN CSL_CITATION {"citationItems":[{"id":"ITEM-1","itemData":{"DOI":"10.1093/bioinformatics/btq461","ISBN":"1367-4811 (Electronic)\\r1367-4803 (Linking)","ISSN":"13674803","PMID":"20709691","abstract":"Biological sequence data is accumulating rapidly, motivating the development of improved high-throughput methods for sequence classification.","author":[{"dropping-particle":"","family":"Edgar","given":"Robert C.","non-dropping-particle":"","parse-names":false,"suffix":""}],"container-title":"Bioinformatics","id":"ITEM-1","issue":"19","issued":{"date-parts":[["2010"]]},"page":"2460-2461","title":"Search and clustering orders of magnitude faster than BLAST","type":"article-journal","volume":"26"},"uris":["http://www.mendeley.com/documents/?uuid=65520377-1286-4173-8867-8b7bd93f08b8"]}],"mendeley":{"formattedCitation":"(6)","plainTextFormattedCitation":"(6)","previouslyFormattedCitation":"&lt;sup&gt;6&lt;/sup&gt;"},"properties":{"noteIndex":0},"schema":"https://github.com/citation-style-language/schema/raw/master/csl-citation.json"}</w:instrText>
      </w:r>
      <w:r w:rsidRPr="00C6303D">
        <w:rPr>
          <w:rFonts w:ascii="Arial" w:hAnsi="Arial" w:cs="Arial"/>
          <w:sz w:val="20"/>
          <w:szCs w:val="20"/>
        </w:rPr>
        <w:fldChar w:fldCharType="separate"/>
      </w:r>
      <w:r w:rsidRPr="00C6303D">
        <w:rPr>
          <w:rFonts w:ascii="Arial" w:hAnsi="Arial" w:cs="Arial"/>
          <w:noProof/>
          <w:sz w:val="20"/>
          <w:szCs w:val="20"/>
        </w:rPr>
        <w:t>(6)</w:t>
      </w:r>
      <w:r w:rsidRPr="00C6303D">
        <w:rPr>
          <w:rFonts w:ascii="Arial" w:hAnsi="Arial" w:cs="Arial"/>
          <w:sz w:val="20"/>
          <w:szCs w:val="20"/>
        </w:rPr>
        <w:fldChar w:fldCharType="end"/>
      </w:r>
      <w:r w:rsidRPr="00C6303D">
        <w:rPr>
          <w:rFonts w:ascii="Arial" w:hAnsi="Arial" w:cs="Arial"/>
          <w:sz w:val="20"/>
          <w:szCs w:val="20"/>
        </w:rPr>
        <w:t xml:space="preserve"> was employed to dereplicate and cluster the merged reads. Sequences observed less than 30 times were discarded and the remaining sequences were clustered according to their similarity with reference RAS sequences.</w:t>
      </w:r>
    </w:p>
    <w:p w:rsidR="002C3C2C" w:rsidRPr="00C6303D" w:rsidRDefault="002C3C2C" w:rsidP="002C3C2C">
      <w:pPr>
        <w:autoSpaceDE w:val="0"/>
        <w:autoSpaceDN w:val="0"/>
        <w:adjustRightInd w:val="0"/>
        <w:spacing w:line="480" w:lineRule="auto"/>
        <w:jc w:val="both"/>
        <w:rPr>
          <w:rFonts w:ascii="Arial" w:hAnsi="Arial" w:cs="Arial"/>
          <w:sz w:val="20"/>
          <w:szCs w:val="20"/>
        </w:rPr>
      </w:pPr>
    </w:p>
    <w:p w:rsidR="002C3C2C" w:rsidRPr="00C6303D" w:rsidRDefault="002C3C2C" w:rsidP="002C3C2C">
      <w:pPr>
        <w:spacing w:line="480" w:lineRule="auto"/>
        <w:jc w:val="both"/>
        <w:rPr>
          <w:rFonts w:ascii="Arial" w:hAnsi="Arial" w:cs="Arial"/>
          <w:color w:val="000000" w:themeColor="text1"/>
          <w:sz w:val="20"/>
          <w:szCs w:val="20"/>
        </w:rPr>
      </w:pPr>
      <w:r w:rsidRPr="00C6303D">
        <w:rPr>
          <w:rFonts w:ascii="Arial" w:hAnsi="Arial" w:cs="Arial"/>
          <w:i/>
          <w:sz w:val="20"/>
          <w:szCs w:val="20"/>
        </w:rPr>
        <w:t xml:space="preserve">MAPK signaling. </w:t>
      </w:r>
      <w:r w:rsidRPr="00C6303D">
        <w:rPr>
          <w:rFonts w:ascii="Arial" w:hAnsi="Arial" w:cs="Arial"/>
          <w:sz w:val="20"/>
          <w:szCs w:val="20"/>
        </w:rPr>
        <w:t>hEGFR wt or hEGFR wt / hKRAS G12V transduced Ba/F3 cells were cultured with or without hEGF (5 ng/</w:t>
      </w:r>
      <w:r w:rsidRPr="00C6303D">
        <w:rPr>
          <w:rFonts w:ascii="Arial" w:hAnsi="Arial" w:cs="Arial"/>
          <w:color w:val="000000" w:themeColor="text1"/>
          <w:sz w:val="20"/>
          <w:szCs w:val="20"/>
        </w:rPr>
        <w:t xml:space="preserve">ml) in combination with cetuximab (5 µg/ml) for 2, 6, 24 or 96 hours. Protein from whole cell lysates was subjected to Western blot analysis using primary antibodies recognizing ERK1/2 </w:t>
      </w:r>
      <w:r w:rsidRPr="00C6303D">
        <w:rPr>
          <w:rFonts w:ascii="Arial" w:hAnsi="Arial" w:cs="Arial"/>
          <w:sz w:val="20"/>
          <w:szCs w:val="20"/>
        </w:rPr>
        <w:t>(#9107) and pERK1/2 (Thr202/Tyr204) (#9101, Cell Signaling Technology, Danvers, USA)</w:t>
      </w:r>
      <w:r w:rsidRPr="00C6303D">
        <w:rPr>
          <w:rFonts w:ascii="Arial" w:hAnsi="Arial" w:cs="Arial"/>
          <w:i/>
          <w:sz w:val="20"/>
          <w:szCs w:val="20"/>
        </w:rPr>
        <w:t xml:space="preserve">, </w:t>
      </w:r>
      <w:r w:rsidRPr="00C6303D">
        <w:rPr>
          <w:rFonts w:ascii="Arial" w:hAnsi="Arial" w:cs="Arial"/>
          <w:iCs/>
          <w:sz w:val="20"/>
          <w:szCs w:val="20"/>
        </w:rPr>
        <w:t>and</w:t>
      </w:r>
      <w:r w:rsidRPr="00C6303D">
        <w:rPr>
          <w:rFonts w:ascii="Arial" w:hAnsi="Arial" w:cs="Arial"/>
          <w:i/>
          <w:sz w:val="20"/>
          <w:szCs w:val="20"/>
        </w:rPr>
        <w:t xml:space="preserve"> </w:t>
      </w:r>
      <w:r w:rsidRPr="00C6303D">
        <w:rPr>
          <w:rFonts w:ascii="Arial" w:hAnsi="Arial" w:cs="Arial"/>
          <w:sz w:val="20"/>
          <w:szCs w:val="20"/>
        </w:rPr>
        <w:t xml:space="preserve">GAPDH (#32233) or </w:t>
      </w:r>
      <w:r w:rsidRPr="00C6303D">
        <w:rPr>
          <w:rFonts w:ascii="Arial" w:hAnsi="Arial" w:cs="Arial"/>
          <w:color w:val="000000" w:themeColor="text1"/>
          <w:sz w:val="20"/>
          <w:szCs w:val="20"/>
        </w:rPr>
        <w:t xml:space="preserve">β-Actin (#47778, Santa Cruz </w:t>
      </w:r>
      <w:r w:rsidRPr="00C6303D">
        <w:rPr>
          <w:rFonts w:ascii="Arial" w:hAnsi="Arial" w:cs="Arial"/>
          <w:sz w:val="20"/>
          <w:szCs w:val="20"/>
        </w:rPr>
        <w:t xml:space="preserve">Biotechnology, Inc. Texas, USA) as a loading control. IRDye 680RD and IRDye 800CW conjugated secondary antibodies were obtained from LI-COR Biosciences (Lincoln, USA). The Odyssey CLx Infrared Imaging System (LI-COR Biosciences) was used for signal detection and quantification. </w:t>
      </w:r>
    </w:p>
    <w:p w:rsidR="002C3C2C" w:rsidRPr="00C6303D" w:rsidRDefault="002C3C2C" w:rsidP="002C3C2C">
      <w:pPr>
        <w:pStyle w:val="p"/>
        <w:spacing w:before="0" w:beforeAutospacing="0" w:after="0" w:afterAutospacing="0" w:line="480" w:lineRule="auto"/>
        <w:jc w:val="both"/>
        <w:rPr>
          <w:rFonts w:ascii="Arial" w:hAnsi="Arial" w:cs="Arial"/>
          <w:sz w:val="20"/>
          <w:szCs w:val="20"/>
          <w:lang w:val="en-US"/>
        </w:rPr>
      </w:pPr>
    </w:p>
    <w:p w:rsidR="002C3C2C" w:rsidRPr="00C6303D" w:rsidRDefault="002C3C2C" w:rsidP="002C3C2C">
      <w:pPr>
        <w:spacing w:line="480" w:lineRule="auto"/>
        <w:jc w:val="both"/>
        <w:rPr>
          <w:rFonts w:ascii="Arial" w:hAnsi="Arial" w:cs="Arial"/>
          <w:b/>
          <w:bCs/>
          <w:color w:val="000000" w:themeColor="text1"/>
          <w:sz w:val="20"/>
          <w:szCs w:val="20"/>
        </w:rPr>
      </w:pPr>
      <w:r w:rsidRPr="00C6303D">
        <w:rPr>
          <w:rFonts w:ascii="Arial" w:hAnsi="Arial" w:cs="Arial"/>
          <w:i/>
          <w:color w:val="000000" w:themeColor="text1"/>
          <w:sz w:val="20"/>
          <w:szCs w:val="20"/>
        </w:rPr>
        <w:t xml:space="preserve">GTP-RAS pulldown. </w:t>
      </w:r>
      <w:r w:rsidRPr="00C6303D">
        <w:rPr>
          <w:rFonts w:ascii="Arial" w:hAnsi="Arial" w:cs="Arial"/>
          <w:color w:val="000000" w:themeColor="text1"/>
          <w:sz w:val="20"/>
          <w:szCs w:val="20"/>
        </w:rPr>
        <w:t>hEGFR wt or h</w:t>
      </w:r>
      <w:r w:rsidRPr="00C6303D">
        <w:rPr>
          <w:rFonts w:ascii="Arial" w:hAnsi="Arial" w:cs="Arial"/>
          <w:sz w:val="20"/>
          <w:szCs w:val="20"/>
        </w:rPr>
        <w:t xml:space="preserve">EGFR wt / hKRAS G12V </w:t>
      </w:r>
      <w:r w:rsidRPr="00C6303D">
        <w:rPr>
          <w:rFonts w:ascii="Arial" w:hAnsi="Arial" w:cs="Arial"/>
          <w:color w:val="000000" w:themeColor="text1"/>
          <w:sz w:val="20"/>
          <w:szCs w:val="20"/>
        </w:rPr>
        <w:t>transduced Ba/F3 cells were cultured with or without hEGF (5 ng/ml), in combination with cetuximab (5 µg/ml) for 2 hours. Active, RAS</w:t>
      </w:r>
      <w:r w:rsidRPr="00C6303D">
        <w:rPr>
          <w:rFonts w:ascii="Arial" w:hAnsi="Arial" w:cs="Arial"/>
          <w:color w:val="000000" w:themeColor="text1"/>
          <w:sz w:val="20"/>
          <w:szCs w:val="20"/>
          <w:vertAlign w:val="subscript"/>
        </w:rPr>
        <w:t>GTP</w:t>
      </w:r>
      <w:r w:rsidRPr="00C6303D">
        <w:rPr>
          <w:rFonts w:ascii="Arial" w:hAnsi="Arial" w:cs="Arial"/>
          <w:color w:val="000000" w:themeColor="text1"/>
          <w:sz w:val="20"/>
          <w:szCs w:val="20"/>
        </w:rPr>
        <w:t xml:space="preserve"> was precipitated using </w:t>
      </w:r>
      <w:r w:rsidRPr="00C6303D">
        <w:rPr>
          <w:rFonts w:ascii="Arial" w:hAnsi="Arial" w:cs="Arial"/>
          <w:sz w:val="20"/>
          <w:szCs w:val="20"/>
        </w:rPr>
        <w:t>GST-Raf-1-RAS binding domain fusion proteins according to the manufacturer’s protocol (PR-950, JenaBioscience, Jena, Germany). Total protein and pulldown samples were separated by SDS-PAGE, followed by Western Blot. Ectopic human KRAS as well as murine RAS isoforms (KRAS, NRAS, HRAS) were detected with a pan-RAS mouse monoclonal antibody. Total lysates were immunoblotted with anti-GAPDH (#32233, Santa Cruz Biotechnology, Inc. Texas, USA) as a loading control. Signal was detected as described above.</w:t>
      </w:r>
    </w:p>
    <w:p w:rsidR="002C3C2C" w:rsidRPr="00C6303D" w:rsidRDefault="002C3C2C" w:rsidP="002C3C2C">
      <w:pPr>
        <w:spacing w:line="480" w:lineRule="auto"/>
        <w:jc w:val="both"/>
        <w:rPr>
          <w:rFonts w:ascii="Arial" w:hAnsi="Arial" w:cs="Arial"/>
          <w:b/>
          <w:bCs/>
          <w:color w:val="000000" w:themeColor="text1"/>
          <w:sz w:val="20"/>
          <w:szCs w:val="20"/>
        </w:rPr>
      </w:pPr>
    </w:p>
    <w:p w:rsidR="002C3C2C" w:rsidRPr="00C6303D" w:rsidRDefault="002C3C2C" w:rsidP="002C3C2C">
      <w:pPr>
        <w:spacing w:line="480" w:lineRule="auto"/>
        <w:jc w:val="both"/>
        <w:rPr>
          <w:rFonts w:ascii="Arial" w:hAnsi="Arial" w:cs="Arial"/>
          <w:sz w:val="20"/>
          <w:szCs w:val="20"/>
        </w:rPr>
      </w:pPr>
      <w:r w:rsidRPr="00C6303D">
        <w:rPr>
          <w:rFonts w:ascii="Arial" w:hAnsi="Arial" w:cs="Arial"/>
          <w:i/>
          <w:sz w:val="20"/>
          <w:szCs w:val="20"/>
        </w:rPr>
        <w:t xml:space="preserve">Data evaluation and statistical analysis. </w:t>
      </w:r>
      <w:r w:rsidRPr="00C6303D">
        <w:rPr>
          <w:rFonts w:ascii="Arial" w:hAnsi="Arial" w:cs="Arial"/>
          <w:sz w:val="20"/>
          <w:szCs w:val="20"/>
        </w:rPr>
        <w:t xml:space="preserve">Data was plotted using GraphPad Prism version 7.00 (GraphPad Software, La Jolla California USA). Unpaired student’s t-test or two-way ANOVA followed by appropriate test for multiple comparison were applied for statistical evaluation with p-values being calculated using two-sided tests. Findings were considered significant for p&lt;0.05 (*), very significant for p&lt;0.01 (**) and highly significant for p&lt;0.001 (***). In all experiments, data shows mean ± SD or SEM of representative or combined experiments performed in triplicates as indicated. </w:t>
      </w:r>
    </w:p>
    <w:p w:rsidR="002C3C2C" w:rsidRPr="00C6303D" w:rsidRDefault="002C3C2C" w:rsidP="002C3C2C">
      <w:pPr>
        <w:spacing w:line="480" w:lineRule="auto"/>
        <w:jc w:val="both"/>
        <w:rPr>
          <w:rFonts w:ascii="Arial" w:hAnsi="Arial" w:cs="Arial"/>
          <w:sz w:val="20"/>
          <w:szCs w:val="20"/>
        </w:rPr>
      </w:pPr>
    </w:p>
    <w:p w:rsidR="002C3C2C" w:rsidRPr="00C6303D" w:rsidRDefault="002C3C2C" w:rsidP="002C3C2C">
      <w:pPr>
        <w:widowControl w:val="0"/>
        <w:autoSpaceDE w:val="0"/>
        <w:autoSpaceDN w:val="0"/>
        <w:adjustRightInd w:val="0"/>
        <w:spacing w:line="480" w:lineRule="auto"/>
        <w:ind w:left="640" w:hanging="640"/>
        <w:rPr>
          <w:rFonts w:ascii="Arial" w:eastAsia="Times New Roman" w:hAnsi="Arial" w:cs="Arial"/>
          <w:noProof/>
          <w:sz w:val="20"/>
        </w:rPr>
      </w:pPr>
      <w:r w:rsidRPr="00C6303D">
        <w:rPr>
          <w:rFonts w:ascii="Arial" w:hAnsi="Arial" w:cs="Arial"/>
          <w:sz w:val="20"/>
          <w:szCs w:val="20"/>
        </w:rPr>
        <w:fldChar w:fldCharType="begin" w:fldLock="1"/>
      </w:r>
      <w:r w:rsidRPr="00C6303D">
        <w:rPr>
          <w:rFonts w:ascii="Arial" w:hAnsi="Arial" w:cs="Arial"/>
          <w:sz w:val="20"/>
          <w:szCs w:val="20"/>
        </w:rPr>
        <w:instrText xml:space="preserve">ADDIN Mendeley Bibliography CSL_BIBLIOGRAPHY </w:instrText>
      </w:r>
      <w:r w:rsidRPr="00C6303D">
        <w:rPr>
          <w:rFonts w:ascii="Arial" w:hAnsi="Arial" w:cs="Arial"/>
          <w:sz w:val="20"/>
          <w:szCs w:val="20"/>
        </w:rPr>
        <w:fldChar w:fldCharType="separate"/>
      </w:r>
      <w:r w:rsidRPr="00C6303D">
        <w:rPr>
          <w:rFonts w:ascii="Arial" w:eastAsia="Times New Roman" w:hAnsi="Arial" w:cs="Arial"/>
          <w:noProof/>
          <w:sz w:val="20"/>
        </w:rPr>
        <w:t xml:space="preserve">1. </w:t>
      </w:r>
      <w:r w:rsidRPr="00C6303D">
        <w:rPr>
          <w:rFonts w:ascii="Arial" w:eastAsia="Times New Roman" w:hAnsi="Arial" w:cs="Arial"/>
          <w:noProof/>
          <w:sz w:val="20"/>
        </w:rPr>
        <w:tab/>
        <w:t xml:space="preserve">Weber K, Bartsch U, Stocking C, Fehse B. A multicolor panel of novel lentiviral ‘gene ontology’ (LeGO) vectors for functional gene analysis. Mol Ther [Internet]. The American Society of Gene Therapy; </w:t>
      </w:r>
      <w:r w:rsidRPr="00C6303D">
        <w:rPr>
          <w:rFonts w:ascii="Arial" w:eastAsia="Times New Roman" w:hAnsi="Arial" w:cs="Arial"/>
          <w:noProof/>
          <w:sz w:val="20"/>
        </w:rPr>
        <w:lastRenderedPageBreak/>
        <w:t>2008;16:698–706. Available from: http://linkinghub.elsevier.com/retrieve/pii/S1525001616314514</w:t>
      </w:r>
    </w:p>
    <w:p w:rsidR="002C3C2C" w:rsidRPr="00C6303D" w:rsidRDefault="002C3C2C" w:rsidP="002C3C2C">
      <w:pPr>
        <w:widowControl w:val="0"/>
        <w:autoSpaceDE w:val="0"/>
        <w:autoSpaceDN w:val="0"/>
        <w:adjustRightInd w:val="0"/>
        <w:spacing w:line="480" w:lineRule="auto"/>
        <w:ind w:left="640" w:hanging="640"/>
        <w:rPr>
          <w:rFonts w:ascii="Arial" w:eastAsia="Times New Roman" w:hAnsi="Arial" w:cs="Arial"/>
          <w:noProof/>
          <w:sz w:val="20"/>
        </w:rPr>
      </w:pPr>
      <w:r w:rsidRPr="00C6303D">
        <w:rPr>
          <w:rFonts w:ascii="Arial" w:eastAsia="Times New Roman" w:hAnsi="Arial" w:cs="Arial"/>
          <w:noProof/>
          <w:sz w:val="20"/>
          <w:lang w:val="de-DE"/>
        </w:rPr>
        <w:t xml:space="preserve">2. </w:t>
      </w:r>
      <w:r w:rsidRPr="00C6303D">
        <w:rPr>
          <w:rFonts w:ascii="Arial" w:eastAsia="Times New Roman" w:hAnsi="Arial" w:cs="Arial"/>
          <w:noProof/>
          <w:sz w:val="20"/>
          <w:lang w:val="de-DE"/>
        </w:rPr>
        <w:tab/>
        <w:t xml:space="preserve">Braig F, März M, Schieferdecker A, Schulte A, Voigt M, Stein A, et al. </w:t>
      </w:r>
      <w:r w:rsidRPr="00C6303D">
        <w:rPr>
          <w:rFonts w:ascii="Arial" w:eastAsia="Times New Roman" w:hAnsi="Arial" w:cs="Arial"/>
          <w:noProof/>
          <w:sz w:val="20"/>
        </w:rPr>
        <w:t>Epidermal growth factor receptor mutation mediates cross-resistance to panitumumab and cetuximab in gastrointestinal cancer. Oncotarget [Internet]. 2015;6:12035–47. Available from: http://www.oncotarget.com/fulltext/3574</w:t>
      </w:r>
    </w:p>
    <w:p w:rsidR="002C3C2C" w:rsidRPr="00C6303D" w:rsidRDefault="002C3C2C" w:rsidP="002C3C2C">
      <w:pPr>
        <w:widowControl w:val="0"/>
        <w:autoSpaceDE w:val="0"/>
        <w:autoSpaceDN w:val="0"/>
        <w:adjustRightInd w:val="0"/>
        <w:spacing w:line="480" w:lineRule="auto"/>
        <w:ind w:left="640" w:hanging="640"/>
        <w:rPr>
          <w:rFonts w:ascii="Arial" w:eastAsia="Times New Roman" w:hAnsi="Arial" w:cs="Arial"/>
          <w:noProof/>
          <w:sz w:val="20"/>
        </w:rPr>
      </w:pPr>
      <w:r w:rsidRPr="00C6303D">
        <w:rPr>
          <w:rFonts w:ascii="Arial" w:eastAsia="Times New Roman" w:hAnsi="Arial" w:cs="Arial"/>
          <w:noProof/>
          <w:sz w:val="20"/>
        </w:rPr>
        <w:t xml:space="preserve">3. </w:t>
      </w:r>
      <w:r w:rsidRPr="00C6303D">
        <w:rPr>
          <w:rFonts w:ascii="Arial" w:eastAsia="Times New Roman" w:hAnsi="Arial" w:cs="Arial"/>
          <w:noProof/>
          <w:sz w:val="20"/>
        </w:rPr>
        <w:tab/>
        <w:t xml:space="preserve">Haetscher N, Feuermann Y, Wingert S, Rehage M, Thalheimer FB, Weiser C, et al. STAT5-regulated microRNA-193b controls haematopoietic stem and progenitor cell expansion by modulating cytokine receptor signalling. Nat Commun. The Author(s); 2015;6:8928. </w:t>
      </w:r>
    </w:p>
    <w:p w:rsidR="002C3C2C" w:rsidRPr="00C6303D" w:rsidRDefault="002C3C2C" w:rsidP="002C3C2C">
      <w:pPr>
        <w:widowControl w:val="0"/>
        <w:autoSpaceDE w:val="0"/>
        <w:autoSpaceDN w:val="0"/>
        <w:adjustRightInd w:val="0"/>
        <w:spacing w:line="480" w:lineRule="auto"/>
        <w:ind w:left="640" w:hanging="640"/>
        <w:rPr>
          <w:rFonts w:ascii="Arial" w:eastAsia="Times New Roman" w:hAnsi="Arial" w:cs="Arial"/>
          <w:noProof/>
          <w:sz w:val="20"/>
        </w:rPr>
      </w:pPr>
      <w:r w:rsidRPr="00C6303D">
        <w:rPr>
          <w:rFonts w:ascii="Arial" w:eastAsia="Times New Roman" w:hAnsi="Arial" w:cs="Arial"/>
          <w:noProof/>
          <w:sz w:val="20"/>
        </w:rPr>
        <w:t xml:space="preserve">4. </w:t>
      </w:r>
      <w:r w:rsidRPr="00C6303D">
        <w:rPr>
          <w:rFonts w:ascii="Arial" w:eastAsia="Times New Roman" w:hAnsi="Arial" w:cs="Arial"/>
          <w:noProof/>
          <w:sz w:val="20"/>
        </w:rPr>
        <w:tab/>
        <w:t xml:space="preserve">Li X, Xu L, Li H, Zhao L, Luo Y, Zhu Z, et al. Cetuximab-induced insulin-like growth factor receptor i activation mediates cetuximab resistance in gastric cancer cells. Mol Med Rep. 2015;11:4547–54. </w:t>
      </w:r>
    </w:p>
    <w:p w:rsidR="002C3C2C" w:rsidRPr="00C6303D" w:rsidRDefault="002C3C2C" w:rsidP="002C3C2C">
      <w:pPr>
        <w:widowControl w:val="0"/>
        <w:autoSpaceDE w:val="0"/>
        <w:autoSpaceDN w:val="0"/>
        <w:adjustRightInd w:val="0"/>
        <w:spacing w:line="480" w:lineRule="auto"/>
        <w:ind w:left="640" w:hanging="640"/>
        <w:rPr>
          <w:rFonts w:ascii="Arial" w:eastAsia="Times New Roman" w:hAnsi="Arial" w:cs="Arial"/>
          <w:noProof/>
          <w:sz w:val="20"/>
        </w:rPr>
      </w:pPr>
      <w:r w:rsidRPr="00C6303D">
        <w:rPr>
          <w:rFonts w:ascii="Arial" w:eastAsia="Times New Roman" w:hAnsi="Arial" w:cs="Arial"/>
          <w:noProof/>
          <w:sz w:val="20"/>
        </w:rPr>
        <w:t xml:space="preserve">5. </w:t>
      </w:r>
      <w:r w:rsidRPr="00C6303D">
        <w:rPr>
          <w:rFonts w:ascii="Arial" w:eastAsia="Times New Roman" w:hAnsi="Arial" w:cs="Arial"/>
          <w:noProof/>
          <w:sz w:val="20"/>
        </w:rPr>
        <w:tab/>
        <w:t xml:space="preserve">Magoč T, Salzberg SL. FLASH: Fast length adjustment of short reads to improve genome assemblies. Bioinformatics. 2011;27:2957–63. </w:t>
      </w:r>
    </w:p>
    <w:p w:rsidR="002C3C2C" w:rsidRPr="00C6303D" w:rsidRDefault="002C3C2C" w:rsidP="002C3C2C">
      <w:pPr>
        <w:widowControl w:val="0"/>
        <w:autoSpaceDE w:val="0"/>
        <w:autoSpaceDN w:val="0"/>
        <w:adjustRightInd w:val="0"/>
        <w:spacing w:line="480" w:lineRule="auto"/>
        <w:ind w:left="640" w:hanging="640"/>
        <w:rPr>
          <w:rFonts w:ascii="Arial" w:hAnsi="Arial" w:cs="Arial"/>
          <w:noProof/>
          <w:sz w:val="20"/>
        </w:rPr>
      </w:pPr>
      <w:r w:rsidRPr="00C6303D">
        <w:rPr>
          <w:rFonts w:ascii="Arial" w:eastAsia="Times New Roman" w:hAnsi="Arial" w:cs="Arial"/>
          <w:noProof/>
          <w:sz w:val="20"/>
        </w:rPr>
        <w:t xml:space="preserve">6. </w:t>
      </w:r>
      <w:r w:rsidRPr="00C6303D">
        <w:rPr>
          <w:rFonts w:ascii="Arial" w:eastAsia="Times New Roman" w:hAnsi="Arial" w:cs="Arial"/>
          <w:noProof/>
          <w:sz w:val="20"/>
        </w:rPr>
        <w:tab/>
        <w:t xml:space="preserve">Edgar RC. Search and clustering orders of magnitude faster than BLAST. Bioinformatics. 2010;26:2460–1. </w:t>
      </w:r>
    </w:p>
    <w:p w:rsidR="002C3C2C" w:rsidRPr="00A75A46" w:rsidRDefault="002C3C2C" w:rsidP="002C3C2C">
      <w:pPr>
        <w:widowControl w:val="0"/>
        <w:autoSpaceDE w:val="0"/>
        <w:autoSpaceDN w:val="0"/>
        <w:adjustRightInd w:val="0"/>
        <w:spacing w:line="480" w:lineRule="auto"/>
        <w:ind w:left="640" w:hanging="640"/>
        <w:rPr>
          <w:rFonts w:ascii="Arial" w:hAnsi="Arial" w:cs="Arial"/>
          <w:sz w:val="20"/>
          <w:szCs w:val="20"/>
        </w:rPr>
      </w:pPr>
      <w:r w:rsidRPr="00C6303D">
        <w:rPr>
          <w:rFonts w:ascii="Arial" w:hAnsi="Arial" w:cs="Arial"/>
          <w:sz w:val="20"/>
          <w:szCs w:val="20"/>
        </w:rPr>
        <w:fldChar w:fldCharType="end"/>
      </w:r>
    </w:p>
    <w:p w:rsidR="002C3C2C" w:rsidRPr="00A75A46" w:rsidRDefault="002C3C2C" w:rsidP="002C3C2C">
      <w:pPr>
        <w:rPr>
          <w:sz w:val="20"/>
          <w:szCs w:val="20"/>
        </w:rPr>
      </w:pPr>
    </w:p>
    <w:p w:rsidR="002C3C2C" w:rsidRPr="001C21A3" w:rsidRDefault="002C3C2C" w:rsidP="002C3C2C"/>
    <w:p w:rsidR="002C3C2C" w:rsidRPr="001C21A3" w:rsidRDefault="002C3C2C" w:rsidP="002C3C2C">
      <w:pPr>
        <w:keepNext/>
        <w:rPr>
          <w:rFonts w:cs="Times New Roman"/>
          <w:szCs w:val="24"/>
        </w:rPr>
      </w:pPr>
    </w:p>
    <w:p w:rsidR="002C3C2C" w:rsidRPr="001C21A3" w:rsidRDefault="002C3C2C" w:rsidP="002C3C2C">
      <w:pPr>
        <w:spacing w:before="240"/>
        <w:rPr>
          <w:rFonts w:cs="Times New Roman"/>
        </w:rPr>
      </w:pPr>
    </w:p>
    <w:p w:rsidR="00DD5344" w:rsidRDefault="002C3C2C"/>
    <w:sectPr w:rsidR="00DD5344" w:rsidSect="0093429D">
      <w:headerReference w:type="even" r:id="rId5"/>
      <w:footerReference w:type="even" r:id="rId6"/>
      <w:footerReference w:type="default" r:id="rId7"/>
      <w:headerReference w:type="first" r:id="rId8"/>
      <w:pgSz w:w="12240" w:h="15840"/>
      <w:pgMar w:top="1138" w:right="1181" w:bottom="1138" w:left="128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6A" w:rsidRPr="00577C4C" w:rsidRDefault="002C3C2C">
    <w:pPr>
      <w:rPr>
        <w:color w:val="C00000"/>
        <w:szCs w:val="24"/>
      </w:rPr>
    </w:pPr>
    <w:r>
      <w:rPr>
        <w:noProof/>
        <w:lang w:val="de-DE" w:eastAsia="de-DE"/>
      </w:rPr>
      <mc:AlternateContent>
        <mc:Choice Requires="wps">
          <w:drawing>
            <wp:anchor distT="0" distB="0" distL="114300" distR="114300" simplePos="0" relativeHeight="251660288" behindDoc="0" locked="0" layoutInCell="1" allowOverlap="1" wp14:anchorId="12125303" wp14:editId="64075282">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95F6A" w:rsidRPr="00577C4C" w:rsidRDefault="002C3C2C">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12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2125303" id="_x0000_t202" coordsize="21600,21600" o:spt="202" path="m,l,21600r21600,l21600,xe">
              <v:stroke joinstyle="miter"/>
              <v:path gradientshapeok="t" o:connecttype="rect"/>
            </v:shapetype>
            <v:shape id="Text Box 1" o:spid="_x0000_s1026" type="#_x0000_t202" style="position:absolute;margin-left:67.6pt;margin-top:0;width:118.8pt;height:31.1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ZicMwIAAF8EAAAOAAAAZHJzL2Uyb0RvYy54bWysVFFv2jAQfp+0/2D5fSRQoG1EqFgrpkmo&#13;&#10;rQRTn43jQKTY59mGhP363TmBom5P016c89358919nzN7aHXNjsr5CkzOh4OUM2UkFJXZ5fzHZvnl&#13;&#10;jjMfhClEDUbl/KQ8f5h//jRrbKZGsIe6UI4hiPFZY3O+D8FmSeLlXmnhB2CVwWAJTouAW7dLCica&#13;&#10;RNd1MkrTadKAK6wDqbxH71MX5POIX5ZKhpey9CqwOudYW4iri+uW1mQ+E9nOCbuvZF+G+IcqtKgM&#13;&#10;XnqBehJBsIOr/oDSlXTgoQwDCTqBsqykij1gN8P0QzfrvbAq9oLD8fYyJv//YOXz8dWxqkDuODNC&#13;&#10;I0Ub1Qb2FVo2pOk01meYtLaYFlp0U2bv9+ikptvSafpiOwzjOOfTZbYEJunQJL27nWJIYuzmfjJN&#13;&#10;JwSTvJ+2zodvCjQjI+cOuYsjFceVD13qOYUuM7Cs6hr9IqsNa3I+vZmk8cAlguC1oQQVldDDUEdd&#13;&#10;5WSFdtv27WyhOGGXDjqVeCuXFZayEj68CoeywOpR6uEFl7IGvBJ6i7M9uF9/81M+soVRzhqUWc79&#13;&#10;z4NwirP6u0Ee74fjMekybsaT2xFu3HVkex0xB/0IqGTkCquLJuWH+myWDvQbvogF3YohYSTenfNw&#13;&#10;Nh9DJ358UVItFjEJlWhFWJm1lQRNA6NBb9o34WzPRkAen+EsSJF9IKXLpZPeLg4BqYmM0YC7qSLT&#13;&#10;tEEVR877F0fP5Hofs97/C/PfAAAA//8DAFBLAwQUAAYACAAAACEAWHOkItwAAAAJAQAADwAAAGRy&#13;&#10;cy9kb3ducmV2LnhtbEyPwU7DMBBE70j8g7VIXBB1mkoBpXEqVJRz1ZQPcONtkmKvo9hpwt+zcIHL&#13;&#10;SKvRzM4rdouz4oZj6D0pWK8SEEiNNz21Cj5O1fMriBA1GW09oYIvDLAr7+8KnRs/0xFvdWwFl1DI&#13;&#10;tYIuxiGXMjQdOh1WfkBi7+JHpyOfYyvNqGcud1amSZJJp3viD50ecN9h81lPToFP5yd7rNfV/jBf&#13;&#10;q+Qw4akOqNTjw/K+ZXnbgoi4xL8E/DDwfih52NlPZIKwCpgm/ip76eYlA3FWkKUbkGUh/xOU3wAA&#13;&#10;AP//AwBQSwECLQAUAAYACAAAACEAtoM4kv4AAADhAQAAEwAAAAAAAAAAAAAAAAAAAAAAW0NvbnRl&#13;&#10;bnRfVHlwZXNdLnhtbFBLAQItABQABgAIAAAAIQA4/SH/1gAAAJQBAAALAAAAAAAAAAAAAAAAAC8B&#13;&#10;AABfcmVscy8ucmVsc1BLAQItABQABgAIAAAAIQAWiZicMwIAAF8EAAAOAAAAAAAAAAAAAAAAAC4C&#13;&#10;AABkcnMvZTJvRG9jLnhtbFBLAQItABQABgAIAAAAIQBYc6Qi3AAAAAkBAAAPAAAAAAAAAAAAAAAA&#13;&#10;AI0EAABkcnMvZG93bnJldi54bWxQSwUGAAAAAAQABADzAAAAlgUAAAAA&#13;&#10;" filled="f" stroked="f" strokeweight=".5pt">
              <v:textbox style="mso-fit-shape-to-text:t">
                <w:txbxContent>
                  <w:p w:rsidR="00995F6A" w:rsidRPr="00577C4C" w:rsidRDefault="002C3C2C">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12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6A" w:rsidRPr="00577C4C" w:rsidRDefault="002C3C2C">
    <w:pPr>
      <w:rPr>
        <w:b/>
        <w:sz w:val="20"/>
        <w:szCs w:val="24"/>
      </w:rPr>
    </w:pPr>
    <w:r>
      <w:rPr>
        <w:noProof/>
        <w:lang w:val="de-DE" w:eastAsia="de-DE"/>
      </w:rPr>
      <mc:AlternateContent>
        <mc:Choice Requires="wps">
          <w:drawing>
            <wp:anchor distT="0" distB="0" distL="114300" distR="114300" simplePos="0" relativeHeight="251659264" behindDoc="0" locked="0" layoutInCell="1" allowOverlap="1" wp14:anchorId="07F53CD1" wp14:editId="662ACD81">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95F6A" w:rsidRPr="00577C4C" w:rsidRDefault="002C3C2C">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13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7F53CD1" id="_x0000_t202" coordsize="21600,21600" o:spt="202" path="m,l,21600r21600,l21600,xe">
              <v:stroke joinstyle="miter"/>
              <v:path gradientshapeok="t" o:connecttype="rect"/>
            </v:shapetype>
            <v:shape id="Text Box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HOnNwIAAGgEAAAOAAAAZHJzL2Uyb0RvYy54bWysVFFv2jAQfp+0/2D5fSRQQtuIULFWTJNQ&#13;&#10;WwmmPhvHIZFsn2cbEvbrd3YCRd2epr0457vzZ9/33WX+0ClJjsK6BnRBx6OUEqE5lI3eF/THdvXl&#13;&#10;jhLnmS6ZBC0KehKOPiw+f5q3JhcTqEGWwhIE0S5vTUFr702eJI7XQjE3AiM0Biuwinnc2n1SWtYi&#13;&#10;upLJJE1nSQu2NBa4cA69T32QLiJ+VQnuX6rKCU9kQfFtPq42rruwJos5y/eWmbrhwzPYP7xCsUbj&#13;&#10;pReoJ+YZOdjmDyjVcAsOKj/ioBKoqoaLWANWM04/VLOpmRGxFiTHmQtN7v/B8ufjqyVNWdBsRolm&#13;&#10;CjXais6Tr9ARdCE/rXE5pm0MJvoO/ajz2e/QGcruKqvCFwsiGEemTxd2AxoPh7L07naGIY6xm/ts&#13;&#10;lmYBJnk/bazz3wQoEoyCWlQvksqOa+f71HNKuEzDqpEyKig1aQs6u8nSeOASQXCpQ66IvTDAhIr6&#13;&#10;lwfLd7suMnCpagflCYu10LeLM3zV4IvWzPlXZrE/sAjsef+CSyUBb4bBoqQG++tv/pCPsmGUkhb7&#13;&#10;raDu54FZQYn8rlHQ+/F0Gho0bqbZ7QQ39jqyu47og3oEbOkxTpfh0Qz5Xp7NyoJ6w9FYhlsxxDTH&#13;&#10;uwvqz+aj76cAR4uL5TImYUsa5td6Y3iADrwFvrfdG7NmEMWjnM9w7kyWf9Cmzw0nnVkePCoUhQs8&#13;&#10;96yi4GGD7RylH0YvzMv1Pma9/yAWvwEAAP//AwBQSwMEFAAGAAgAAAAhAFhzpCLcAAAACQEAAA8A&#13;&#10;AABkcnMvZG93bnJldi54bWxMj8FOwzAQRO9I/IO1SFwQdZpKAaVxKlSUc9WUD3DjbZJir6PYacLf&#13;&#10;s3CBy0ir0czOK3aLs+KGY+g9KVivEhBIjTc9tQo+TtXzK4gQNRltPaGCLwywK+/vCp0bP9MRb3Vs&#13;&#10;BZdQyLWCLsYhlzI0HTodVn5AYu/iR6cjn2MrzahnLndWpkmSSad74g+dHnDfYfNZT06BT+cne6zX&#13;&#10;1f4wX6vkMOGpDqjU48PyvmV524KIuMS/BPww8H4oedjZT2SCsAqYJv4qe+nmJQNxVpClG5BlIf8T&#13;&#10;lN8AAAD//wMAUEsBAi0AFAAGAAgAAAAhALaDOJL+AAAA4QEAABMAAAAAAAAAAAAAAAAAAAAAAFtD&#13;&#10;b250ZW50X1R5cGVzXS54bWxQSwECLQAUAAYACAAAACEAOP0h/9YAAACUAQAACwAAAAAAAAAAAAAA&#13;&#10;AAAvAQAAX3JlbHMvLnJlbHNQSwECLQAUAAYACAAAACEAWqhzpzcCAABoBAAADgAAAAAAAAAAAAAA&#13;&#10;AAAuAgAAZHJzL2Uyb0RvYy54bWxQSwECLQAUAAYACAAAACEAWHOkItwAAAAJAQAADwAAAAAAAAAA&#13;&#10;AAAAAACRBAAAZHJzL2Rvd25yZXYueG1sUEsFBgAAAAAEAAQA8wAAAJoFAAAAAA==&#13;&#10;" filled="f" stroked="f" strokeweight=".5pt">
              <v:textbox style="mso-fit-shape-to-text:t">
                <w:txbxContent>
                  <w:p w:rsidR="00995F6A" w:rsidRPr="00577C4C" w:rsidRDefault="002C3C2C">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13</w:t>
                    </w:r>
                    <w:r w:rsidRPr="00577C4C">
                      <w:rPr>
                        <w:color w:val="000000" w:themeColor="text1"/>
                        <w:szCs w:val="40"/>
                      </w:rPr>
                      <w:fldChar w:fldCharType="end"/>
                    </w:r>
                  </w:p>
                </w:txbxContent>
              </v:textbox>
              <w10:wrap anchorx="margin" anchory="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6A" w:rsidRPr="009151AA" w:rsidRDefault="002C3C2C">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6A" w:rsidRDefault="002C3C2C" w:rsidP="0093429D">
    <w:r w:rsidRPr="005A1D84">
      <w:rPr>
        <w:b/>
        <w:noProof/>
        <w:color w:val="A6A6A6" w:themeColor="background1" w:themeShade="A6"/>
        <w:lang w:val="de-DE" w:eastAsia="de-DE"/>
      </w:rPr>
      <w:drawing>
        <wp:inline distT="0" distB="0" distL="0" distR="0" wp14:anchorId="131AB4D1" wp14:editId="02977F6F">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601A"/>
    <w:multiLevelType w:val="multilevel"/>
    <w:tmpl w:val="2D740DBE"/>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 w15:restartNumberingAfterBreak="0">
    <w:nsid w:val="5243290B"/>
    <w:multiLevelType w:val="multilevel"/>
    <w:tmpl w:val="F6BAE43C"/>
    <w:lvl w:ilvl="0">
      <w:start w:val="1"/>
      <w:numFmt w:val="decimal"/>
      <w:pStyle w:val="Verzeichnis1"/>
      <w:isLgl/>
      <w:lvlText w:val="%1."/>
      <w:lvlJc w:val="left"/>
      <w:pPr>
        <w:ind w:left="720" w:hanging="360"/>
      </w:pPr>
      <w:rPr>
        <w:rFonts w:hint="default"/>
      </w:rPr>
    </w:lvl>
    <w:lvl w:ilvl="1">
      <w:start w:val="1"/>
      <w:numFmt w:val="decimal"/>
      <w:pStyle w:val="Verzeichni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5AC5CE0"/>
    <w:multiLevelType w:val="multilevel"/>
    <w:tmpl w:val="0407001F"/>
    <w:styleLink w:val="FacharbeitRonja"/>
    <w:lvl w:ilvl="0">
      <w:start w:val="1"/>
      <w:numFmt w:val="decimal"/>
      <w:lvlText w:val="%1."/>
      <w:lvlJc w:val="left"/>
      <w:pPr>
        <w:ind w:left="360" w:hanging="360"/>
      </w:pPr>
      <w:rPr>
        <w:rFonts w:ascii="Arial" w:hAnsi="Arial"/>
        <w:b/>
        <w:sz w:val="28"/>
        <w:u w:val="single"/>
      </w:rPr>
    </w:lvl>
    <w:lvl w:ilvl="1">
      <w:start w:val="1"/>
      <w:numFmt w:val="decimal"/>
      <w:lvlText w:val="%1.%2."/>
      <w:lvlJc w:val="left"/>
      <w:pPr>
        <w:ind w:left="792" w:hanging="432"/>
      </w:pPr>
      <w:rPr>
        <w:rFonts w:ascii="Arial" w:hAnsi="Arial"/>
        <w:b/>
        <w:sz w:val="24"/>
      </w:rPr>
    </w:lvl>
    <w:lvl w:ilvl="2">
      <w:start w:val="1"/>
      <w:numFmt w:val="decimal"/>
      <w:lvlText w:val="%1.%2.%3."/>
      <w:lvlJc w:val="left"/>
      <w:pPr>
        <w:ind w:left="1224" w:hanging="504"/>
      </w:pPr>
      <w:rPr>
        <w:rFonts w:ascii="Arial" w:hAnsi="Arial"/>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2C"/>
    <w:rsid w:val="00015434"/>
    <w:rsid w:val="0006792B"/>
    <w:rsid w:val="00071152"/>
    <w:rsid w:val="00073330"/>
    <w:rsid w:val="00095934"/>
    <w:rsid w:val="000C4366"/>
    <w:rsid w:val="000E4D62"/>
    <w:rsid w:val="00181902"/>
    <w:rsid w:val="00184F5E"/>
    <w:rsid w:val="001B2820"/>
    <w:rsid w:val="001D0666"/>
    <w:rsid w:val="00205F0F"/>
    <w:rsid w:val="00293716"/>
    <w:rsid w:val="00297878"/>
    <w:rsid w:val="002C263B"/>
    <w:rsid w:val="002C3C2C"/>
    <w:rsid w:val="002F0616"/>
    <w:rsid w:val="003256F5"/>
    <w:rsid w:val="003407A2"/>
    <w:rsid w:val="00355AA1"/>
    <w:rsid w:val="0036086A"/>
    <w:rsid w:val="003C453F"/>
    <w:rsid w:val="004716F9"/>
    <w:rsid w:val="004A4816"/>
    <w:rsid w:val="004E4D7A"/>
    <w:rsid w:val="00521100"/>
    <w:rsid w:val="00524AB6"/>
    <w:rsid w:val="005368CD"/>
    <w:rsid w:val="00553ACA"/>
    <w:rsid w:val="00585683"/>
    <w:rsid w:val="005B16B0"/>
    <w:rsid w:val="005B2B7B"/>
    <w:rsid w:val="005C6E88"/>
    <w:rsid w:val="00602828"/>
    <w:rsid w:val="006121DD"/>
    <w:rsid w:val="0061476D"/>
    <w:rsid w:val="00733E72"/>
    <w:rsid w:val="00750B03"/>
    <w:rsid w:val="007B1FBD"/>
    <w:rsid w:val="0083476C"/>
    <w:rsid w:val="008633AF"/>
    <w:rsid w:val="008D7144"/>
    <w:rsid w:val="00943430"/>
    <w:rsid w:val="009703B4"/>
    <w:rsid w:val="009B3D3D"/>
    <w:rsid w:val="009C0E7A"/>
    <w:rsid w:val="00A46EAC"/>
    <w:rsid w:val="00A67DDA"/>
    <w:rsid w:val="00A87AA1"/>
    <w:rsid w:val="00AF4155"/>
    <w:rsid w:val="00B00912"/>
    <w:rsid w:val="00B22C26"/>
    <w:rsid w:val="00B42A4F"/>
    <w:rsid w:val="00B47BD6"/>
    <w:rsid w:val="00B67FE4"/>
    <w:rsid w:val="00B751AB"/>
    <w:rsid w:val="00BF0EF7"/>
    <w:rsid w:val="00CF1DB8"/>
    <w:rsid w:val="00D16D74"/>
    <w:rsid w:val="00D67F1A"/>
    <w:rsid w:val="00D73702"/>
    <w:rsid w:val="00E3476A"/>
    <w:rsid w:val="00E7180C"/>
    <w:rsid w:val="00E72B06"/>
    <w:rsid w:val="00ED1823"/>
    <w:rsid w:val="00ED79F6"/>
    <w:rsid w:val="00F2591A"/>
    <w:rsid w:val="00F4619F"/>
    <w:rsid w:val="00F465C9"/>
    <w:rsid w:val="00F605BE"/>
    <w:rsid w:val="00FC299B"/>
    <w:rsid w:val="00FF29B3"/>
    <w:rsid w:val="00FF3C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EE612CB"/>
  <w15:chartTrackingRefBased/>
  <w15:docId w15:val="{C34BAE04-FEEB-2041-A39B-6F290609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C3C2C"/>
    <w:pPr>
      <w:spacing w:before="120" w:after="240"/>
    </w:pPr>
    <w:rPr>
      <w:rFonts w:ascii="Times New Roman" w:hAnsi="Times New Roman"/>
      <w:szCs w:val="22"/>
      <w:lang w:val="en-US"/>
    </w:rPr>
  </w:style>
  <w:style w:type="paragraph" w:styleId="berschrift1">
    <w:name w:val="heading 1"/>
    <w:basedOn w:val="Standard"/>
    <w:next w:val="Standard"/>
    <w:link w:val="berschrift1Zchn"/>
    <w:autoRedefine/>
    <w:uiPriority w:val="2"/>
    <w:qFormat/>
    <w:rsid w:val="00CF1DB8"/>
    <w:pPr>
      <w:keepNext/>
      <w:keepLines/>
      <w:spacing w:before="240" w:line="480" w:lineRule="auto"/>
      <w:outlineLvl w:val="0"/>
    </w:pPr>
    <w:rPr>
      <w:rFonts w:ascii="Arial" w:eastAsiaTheme="majorEastAsia" w:hAnsi="Arial" w:cstheme="majorBidi"/>
      <w:b/>
      <w:color w:val="2F5496" w:themeColor="accent1" w:themeShade="BF"/>
      <w:sz w:val="28"/>
      <w:szCs w:val="32"/>
    </w:rPr>
  </w:style>
  <w:style w:type="paragraph" w:styleId="berschrift2">
    <w:name w:val="heading 2"/>
    <w:basedOn w:val="berschrift1"/>
    <w:next w:val="Standard"/>
    <w:link w:val="berschrift2Zchn"/>
    <w:uiPriority w:val="2"/>
    <w:qFormat/>
    <w:rsid w:val="002C3C2C"/>
    <w:pPr>
      <w:keepNext w:val="0"/>
      <w:keepLines w:val="0"/>
      <w:tabs>
        <w:tab w:val="num" w:pos="567"/>
      </w:tabs>
      <w:spacing w:after="200" w:line="240" w:lineRule="auto"/>
      <w:ind w:left="567" w:hanging="567"/>
      <w:outlineLvl w:val="1"/>
    </w:pPr>
    <w:rPr>
      <w:rFonts w:ascii="Times New Roman" w:eastAsia="Cambria" w:hAnsi="Times New Roman" w:cs="Times New Roman"/>
      <w:color w:val="auto"/>
      <w:sz w:val="24"/>
      <w:szCs w:val="24"/>
    </w:rPr>
  </w:style>
  <w:style w:type="paragraph" w:styleId="berschrift3">
    <w:name w:val="heading 3"/>
    <w:basedOn w:val="Standard"/>
    <w:next w:val="Standard"/>
    <w:link w:val="berschrift3Zchn"/>
    <w:uiPriority w:val="2"/>
    <w:qFormat/>
    <w:rsid w:val="002C3C2C"/>
    <w:pPr>
      <w:keepNext/>
      <w:keepLines/>
      <w:tabs>
        <w:tab w:val="num" w:pos="567"/>
      </w:tabs>
      <w:spacing w:before="40" w:after="120"/>
      <w:ind w:left="567" w:hanging="567"/>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2C3C2C"/>
    <w:pPr>
      <w:outlineLvl w:val="3"/>
    </w:pPr>
    <w:rPr>
      <w:iCs/>
    </w:rPr>
  </w:style>
  <w:style w:type="paragraph" w:styleId="berschrift5">
    <w:name w:val="heading 5"/>
    <w:basedOn w:val="berschrift4"/>
    <w:next w:val="Standard"/>
    <w:link w:val="berschrift5Zchn"/>
    <w:uiPriority w:val="2"/>
    <w:qFormat/>
    <w:rsid w:val="002C3C2C"/>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acharbeitRonja">
    <w:name w:val="Facharbeit Ronja"/>
    <w:uiPriority w:val="99"/>
    <w:rsid w:val="00B42A4F"/>
    <w:pPr>
      <w:numPr>
        <w:numId w:val="1"/>
      </w:numPr>
    </w:pPr>
  </w:style>
  <w:style w:type="paragraph" w:styleId="Verzeichnis1">
    <w:name w:val="toc 1"/>
    <w:aliases w:val="Diss 1"/>
    <w:basedOn w:val="Standard"/>
    <w:next w:val="Standard"/>
    <w:autoRedefine/>
    <w:qFormat/>
    <w:rsid w:val="00A46EAC"/>
    <w:pPr>
      <w:numPr>
        <w:numId w:val="3"/>
      </w:numPr>
      <w:spacing w:line="480" w:lineRule="auto"/>
    </w:pPr>
    <w:rPr>
      <w:rFonts w:ascii="Arial" w:eastAsia="Times New Roman" w:hAnsi="Arial" w:cs="Times New Roman"/>
      <w:b/>
      <w:sz w:val="28"/>
      <w:lang w:eastAsia="de-DE"/>
    </w:rPr>
  </w:style>
  <w:style w:type="paragraph" w:styleId="Verzeichnis2">
    <w:name w:val="toc 2"/>
    <w:basedOn w:val="Standard"/>
    <w:next w:val="Standard"/>
    <w:autoRedefine/>
    <w:qFormat/>
    <w:rsid w:val="00A46EAC"/>
    <w:pPr>
      <w:numPr>
        <w:ilvl w:val="1"/>
        <w:numId w:val="3"/>
      </w:numPr>
      <w:spacing w:line="480" w:lineRule="auto"/>
    </w:pPr>
    <w:rPr>
      <w:rFonts w:ascii="Arial" w:eastAsia="Times New Roman" w:hAnsi="Arial" w:cs="Times New Roman"/>
      <w:b/>
      <w:lang w:eastAsia="de-DE"/>
    </w:rPr>
  </w:style>
  <w:style w:type="character" w:customStyle="1" w:styleId="berschrift1Zchn">
    <w:name w:val="Überschrift 1 Zchn"/>
    <w:basedOn w:val="Absatz-Standardschriftart"/>
    <w:link w:val="berschrift1"/>
    <w:rsid w:val="00CF1DB8"/>
    <w:rPr>
      <w:rFonts w:ascii="Arial" w:eastAsiaTheme="majorEastAsia" w:hAnsi="Arial" w:cstheme="majorBidi"/>
      <w:b/>
      <w:color w:val="2F5496" w:themeColor="accent1" w:themeShade="BF"/>
      <w:sz w:val="28"/>
      <w:szCs w:val="32"/>
    </w:rPr>
  </w:style>
  <w:style w:type="character" w:customStyle="1" w:styleId="berschrift2Zchn">
    <w:name w:val="Überschrift 2 Zchn"/>
    <w:basedOn w:val="Absatz-Standardschriftart"/>
    <w:link w:val="berschrift2"/>
    <w:uiPriority w:val="2"/>
    <w:rsid w:val="002C3C2C"/>
    <w:rPr>
      <w:rFonts w:ascii="Times New Roman" w:eastAsia="Cambria" w:hAnsi="Times New Roman" w:cs="Times New Roman"/>
      <w:b/>
      <w:lang w:val="en-US"/>
    </w:rPr>
  </w:style>
  <w:style w:type="character" w:customStyle="1" w:styleId="berschrift3Zchn">
    <w:name w:val="Überschrift 3 Zchn"/>
    <w:basedOn w:val="Absatz-Standardschriftart"/>
    <w:link w:val="berschrift3"/>
    <w:uiPriority w:val="2"/>
    <w:rsid w:val="002C3C2C"/>
    <w:rPr>
      <w:rFonts w:ascii="Times New Roman" w:eastAsiaTheme="majorEastAsia" w:hAnsi="Times New Roman" w:cstheme="majorBidi"/>
      <w:b/>
      <w:lang w:val="en-US"/>
    </w:rPr>
  </w:style>
  <w:style w:type="character" w:customStyle="1" w:styleId="berschrift4Zchn">
    <w:name w:val="Überschrift 4 Zchn"/>
    <w:basedOn w:val="Absatz-Standardschriftart"/>
    <w:link w:val="berschrift4"/>
    <w:uiPriority w:val="2"/>
    <w:rsid w:val="002C3C2C"/>
    <w:rPr>
      <w:rFonts w:ascii="Times New Roman" w:eastAsiaTheme="majorEastAsia" w:hAnsi="Times New Roman" w:cstheme="majorBidi"/>
      <w:b/>
      <w:iCs/>
      <w:lang w:val="en-US"/>
    </w:rPr>
  </w:style>
  <w:style w:type="character" w:customStyle="1" w:styleId="berschrift5Zchn">
    <w:name w:val="Überschrift 5 Zchn"/>
    <w:basedOn w:val="Absatz-Standardschriftart"/>
    <w:link w:val="berschrift5"/>
    <w:uiPriority w:val="2"/>
    <w:rsid w:val="002C3C2C"/>
    <w:rPr>
      <w:rFonts w:ascii="Times New Roman" w:eastAsiaTheme="majorEastAsia" w:hAnsi="Times New Roman" w:cstheme="majorBidi"/>
      <w:b/>
      <w:iCs/>
      <w:lang w:val="en-US"/>
    </w:rPr>
  </w:style>
  <w:style w:type="numbering" w:customStyle="1" w:styleId="Headings">
    <w:name w:val="Headings"/>
    <w:uiPriority w:val="99"/>
    <w:rsid w:val="002C3C2C"/>
    <w:pPr>
      <w:numPr>
        <w:numId w:val="4"/>
      </w:numPr>
    </w:pPr>
  </w:style>
  <w:style w:type="paragraph" w:customStyle="1" w:styleId="p">
    <w:name w:val="p"/>
    <w:basedOn w:val="Standard"/>
    <w:rsid w:val="002C3C2C"/>
    <w:pPr>
      <w:spacing w:before="100" w:beforeAutospacing="1" w:after="100" w:afterAutospacing="1"/>
    </w:pPr>
    <w:rPr>
      <w:rFonts w:eastAsia="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5093</Words>
  <Characters>32093</Characters>
  <Application>Microsoft Office Word</Application>
  <DocSecurity>0</DocSecurity>
  <Lines>267</Lines>
  <Paragraphs>74</Paragraphs>
  <ScaleCrop>false</ScaleCrop>
  <Company/>
  <LinksUpToDate>false</LinksUpToDate>
  <CharactersWithSpaces>37112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Tintelnot</dc:creator>
  <cp:keywords/>
  <dc:description/>
  <cp:lastModifiedBy>Joseph Tintelnot</cp:lastModifiedBy>
  <cp:revision>1</cp:revision>
  <dcterms:created xsi:type="dcterms:W3CDTF">2019-12-27T12:57:00Z</dcterms:created>
  <dcterms:modified xsi:type="dcterms:W3CDTF">2019-12-27T12:59:00Z</dcterms:modified>
</cp:coreProperties>
</file>