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584" w:rsidRPr="00DE3EA0" w:rsidRDefault="00C36584" w:rsidP="000B3C9F">
      <w:pPr>
        <w:rPr>
          <w:rFonts w:ascii="Palatino Linotype" w:hAnsi="Palatino Linotype"/>
          <w:b/>
          <w:sz w:val="20"/>
          <w:szCs w:val="20"/>
        </w:rPr>
      </w:pPr>
      <w:r w:rsidRPr="00DE3EA0">
        <w:rPr>
          <w:rFonts w:ascii="Palatino Linotype" w:hAnsi="Palatino Linotype"/>
          <w:b/>
          <w:sz w:val="20"/>
          <w:szCs w:val="20"/>
        </w:rPr>
        <w:t>Supplementary Materials</w:t>
      </w:r>
    </w:p>
    <w:p w:rsidR="00C36584" w:rsidRPr="00DE3EA0" w:rsidRDefault="00C36584" w:rsidP="000B3C9F">
      <w:pPr>
        <w:rPr>
          <w:rFonts w:ascii="Palatino Linotype" w:hAnsi="Palatino Linotype"/>
          <w:b/>
          <w:sz w:val="20"/>
          <w:szCs w:val="20"/>
        </w:rPr>
      </w:pPr>
    </w:p>
    <w:p w:rsidR="000B3C9F" w:rsidRPr="00DE3EA0" w:rsidRDefault="000B3C9F" w:rsidP="00C02A29">
      <w:pPr>
        <w:pStyle w:val="a8"/>
        <w:numPr>
          <w:ilvl w:val="0"/>
          <w:numId w:val="1"/>
        </w:numPr>
        <w:ind w:firstLineChars="0"/>
        <w:rPr>
          <w:rFonts w:ascii="Palatino Linotype" w:hAnsi="Palatino Linotype"/>
          <w:b/>
          <w:sz w:val="20"/>
          <w:szCs w:val="20"/>
        </w:rPr>
      </w:pPr>
      <w:r w:rsidRPr="00DE3EA0">
        <w:rPr>
          <w:rFonts w:ascii="Palatino Linotype" w:hAnsi="Palatino Linotype"/>
          <w:b/>
          <w:sz w:val="20"/>
          <w:szCs w:val="20"/>
        </w:rPr>
        <w:t xml:space="preserve">Supplementary Figures </w:t>
      </w:r>
    </w:p>
    <w:p w:rsidR="000B3C9F" w:rsidRPr="00DE3EA0" w:rsidRDefault="000B3C9F" w:rsidP="000B3C9F">
      <w:pPr>
        <w:spacing w:line="480" w:lineRule="auto"/>
        <w:rPr>
          <w:rFonts w:ascii="Palatino Linotype" w:hAnsi="Palatino Linotype"/>
          <w:sz w:val="20"/>
          <w:szCs w:val="20"/>
        </w:rPr>
      </w:pPr>
      <w:r w:rsidRPr="00DE3EA0">
        <w:rPr>
          <w:rFonts w:ascii="Palatino Linotype" w:hAnsi="Palatino Linotype"/>
          <w:b/>
          <w:sz w:val="20"/>
          <w:szCs w:val="20"/>
        </w:rPr>
        <w:t>Figure S1</w:t>
      </w:r>
      <w:r w:rsidRPr="00DE3EA0">
        <w:rPr>
          <w:rFonts w:ascii="Palatino Linotype" w:hAnsi="Palatino Linotype"/>
          <w:sz w:val="20"/>
          <w:szCs w:val="20"/>
        </w:rPr>
        <w:t>. Association of MRE11 expression with clinical outcome in CRC.</w:t>
      </w:r>
    </w:p>
    <w:p w:rsidR="000B3C9F" w:rsidRPr="00DE3EA0" w:rsidRDefault="000B3C9F" w:rsidP="000B3C9F">
      <w:pPr>
        <w:spacing w:line="360" w:lineRule="auto"/>
        <w:rPr>
          <w:rFonts w:ascii="Palatino Linotype" w:hAnsi="Palatino Linotype"/>
          <w:sz w:val="20"/>
          <w:szCs w:val="20"/>
        </w:rPr>
      </w:pPr>
      <w:r w:rsidRPr="00DE3EA0">
        <w:rPr>
          <w:rFonts w:ascii="Palatino Linotype" w:hAnsi="Palatino Linotype"/>
          <w:b/>
          <w:sz w:val="20"/>
          <w:szCs w:val="20"/>
        </w:rPr>
        <w:t>Figure S2</w:t>
      </w:r>
      <w:r w:rsidRPr="00DE3EA0">
        <w:rPr>
          <w:rFonts w:ascii="Palatino Linotype" w:hAnsi="Palatino Linotype"/>
          <w:sz w:val="20"/>
          <w:szCs w:val="20"/>
        </w:rPr>
        <w:t xml:space="preserve">. Association of MRE11 expression with clinical outcome in CRC with MSI. </w:t>
      </w:r>
    </w:p>
    <w:p w:rsidR="000B3C9F" w:rsidRPr="00DE3EA0" w:rsidRDefault="000B3C9F" w:rsidP="000B3C9F">
      <w:pPr>
        <w:spacing w:line="360" w:lineRule="auto"/>
        <w:rPr>
          <w:rFonts w:ascii="Palatino Linotype" w:hAnsi="Palatino Linotype"/>
          <w:b/>
          <w:sz w:val="20"/>
          <w:szCs w:val="20"/>
        </w:rPr>
      </w:pPr>
      <w:r w:rsidRPr="00DE3EA0">
        <w:rPr>
          <w:rFonts w:ascii="Palatino Linotype" w:hAnsi="Palatino Linotype"/>
          <w:b/>
          <w:sz w:val="20"/>
          <w:szCs w:val="20"/>
        </w:rPr>
        <w:t xml:space="preserve">Figure S3. </w:t>
      </w:r>
      <w:r w:rsidRPr="00DE3EA0">
        <w:rPr>
          <w:rFonts w:ascii="Palatino Linotype" w:hAnsi="Palatino Linotype"/>
          <w:sz w:val="20"/>
          <w:szCs w:val="20"/>
        </w:rPr>
        <w:t xml:space="preserve">Identification of modules associated with the MRE11 expression in </w:t>
      </w:r>
      <w:r w:rsidR="00CD10DE" w:rsidRPr="00DE3EA0">
        <w:rPr>
          <w:rFonts w:ascii="Palatino Linotype" w:hAnsi="Palatino Linotype"/>
          <w:sz w:val="20"/>
          <w:szCs w:val="20"/>
        </w:rPr>
        <w:t>RSC</w:t>
      </w:r>
      <w:r w:rsidRPr="00DE3EA0">
        <w:rPr>
          <w:rFonts w:ascii="Palatino Linotype" w:hAnsi="Palatino Linotype"/>
          <w:sz w:val="20"/>
          <w:szCs w:val="20"/>
        </w:rPr>
        <w:t xml:space="preserve">C and LSCRC. </w:t>
      </w:r>
      <w:r w:rsidRPr="00DE3EA0">
        <w:rPr>
          <w:rFonts w:ascii="Palatino Linotype" w:hAnsi="Palatino Linotype"/>
          <w:b/>
          <w:sz w:val="20"/>
          <w:szCs w:val="20"/>
        </w:rPr>
        <w:t xml:space="preserve"> </w:t>
      </w:r>
    </w:p>
    <w:p w:rsidR="000B3C9F" w:rsidRPr="00DE3EA0" w:rsidRDefault="000B3C9F" w:rsidP="000B3C9F">
      <w:pPr>
        <w:spacing w:line="360" w:lineRule="auto"/>
        <w:rPr>
          <w:rFonts w:ascii="Palatino Linotype" w:hAnsi="Palatino Linotype"/>
          <w:b/>
          <w:sz w:val="20"/>
          <w:szCs w:val="20"/>
        </w:rPr>
      </w:pPr>
    </w:p>
    <w:p w:rsidR="000B3C9F" w:rsidRPr="00DE3EA0" w:rsidRDefault="000B3C9F" w:rsidP="00C02A29">
      <w:pPr>
        <w:pStyle w:val="a8"/>
        <w:numPr>
          <w:ilvl w:val="0"/>
          <w:numId w:val="1"/>
        </w:numPr>
        <w:spacing w:line="360" w:lineRule="auto"/>
        <w:ind w:firstLineChars="0"/>
        <w:rPr>
          <w:rFonts w:ascii="Palatino Linotype" w:hAnsi="Palatino Linotype"/>
          <w:b/>
          <w:sz w:val="20"/>
          <w:szCs w:val="20"/>
        </w:rPr>
      </w:pPr>
      <w:r w:rsidRPr="00DE3EA0">
        <w:rPr>
          <w:rFonts w:ascii="Palatino Linotype" w:hAnsi="Palatino Linotype"/>
          <w:b/>
          <w:sz w:val="20"/>
          <w:szCs w:val="20"/>
        </w:rPr>
        <w:t>Supplementary Tables</w:t>
      </w:r>
    </w:p>
    <w:p w:rsidR="000B3C9F" w:rsidRPr="00DE3EA0" w:rsidRDefault="000B3C9F" w:rsidP="000B3C9F">
      <w:pPr>
        <w:spacing w:line="360" w:lineRule="auto"/>
        <w:rPr>
          <w:rFonts w:ascii="Palatino Linotype" w:hAnsi="Palatino Linotype"/>
          <w:sz w:val="20"/>
          <w:szCs w:val="20"/>
        </w:rPr>
      </w:pPr>
      <w:r w:rsidRPr="00DE3EA0">
        <w:rPr>
          <w:rFonts w:ascii="Palatino Linotype" w:hAnsi="Palatino Linotype"/>
          <w:b/>
          <w:sz w:val="20"/>
          <w:szCs w:val="20"/>
        </w:rPr>
        <w:t>Table S1.</w:t>
      </w:r>
      <w:r w:rsidRPr="00DE3EA0">
        <w:rPr>
          <w:rFonts w:ascii="Palatino Linotype" w:hAnsi="Palatino Linotype"/>
          <w:sz w:val="20"/>
          <w:szCs w:val="20"/>
        </w:rPr>
        <w:t xml:space="preserve"> MRE11 expression and clinicopathological parameters in CRC and its locations from cohort 1</w:t>
      </w:r>
    </w:p>
    <w:p w:rsidR="000B3C9F" w:rsidRPr="00DE3EA0" w:rsidRDefault="000B3C9F" w:rsidP="000B3C9F">
      <w:pPr>
        <w:spacing w:line="360" w:lineRule="auto"/>
        <w:rPr>
          <w:rFonts w:ascii="Palatino Linotype" w:hAnsi="Palatino Linotype"/>
          <w:sz w:val="20"/>
          <w:szCs w:val="20"/>
        </w:rPr>
      </w:pPr>
      <w:r w:rsidRPr="00DE3EA0">
        <w:rPr>
          <w:rFonts w:ascii="Palatino Linotype" w:hAnsi="Palatino Linotype"/>
          <w:b/>
          <w:sz w:val="20"/>
          <w:szCs w:val="20"/>
        </w:rPr>
        <w:t>Table S2</w:t>
      </w:r>
      <w:r w:rsidRPr="00DE3EA0">
        <w:rPr>
          <w:rFonts w:ascii="Palatino Linotype" w:hAnsi="Palatino Linotype"/>
          <w:sz w:val="20"/>
          <w:szCs w:val="20"/>
        </w:rPr>
        <w:t>. MRE11 expression and clinicopathological parameters in CRC and its locations from cohort 2</w:t>
      </w:r>
    </w:p>
    <w:p w:rsidR="000B3C9F" w:rsidRPr="00DE3EA0" w:rsidRDefault="000B3C9F" w:rsidP="000B3C9F">
      <w:pPr>
        <w:spacing w:line="360" w:lineRule="auto"/>
        <w:rPr>
          <w:rFonts w:ascii="Palatino Linotype" w:eastAsiaTheme="minorEastAsia" w:hAnsi="Palatino Linotype"/>
          <w:bCs/>
          <w:color w:val="000000"/>
          <w:kern w:val="0"/>
          <w:sz w:val="20"/>
          <w:szCs w:val="20"/>
        </w:rPr>
      </w:pPr>
      <w:r w:rsidRPr="00DE3EA0">
        <w:rPr>
          <w:rFonts w:ascii="Palatino Linotype" w:hAnsi="Palatino Linotype"/>
          <w:b/>
          <w:bCs/>
          <w:color w:val="000000"/>
          <w:kern w:val="0"/>
          <w:sz w:val="20"/>
          <w:szCs w:val="20"/>
        </w:rPr>
        <w:t>Table S3</w:t>
      </w:r>
      <w:r w:rsidRPr="00DE3EA0">
        <w:rPr>
          <w:rFonts w:ascii="Palatino Linotype" w:hAnsi="Palatino Linotype"/>
          <w:bCs/>
          <w:color w:val="000000"/>
          <w:kern w:val="0"/>
          <w:sz w:val="20"/>
          <w:szCs w:val="20"/>
        </w:rPr>
        <w:t>. M</w:t>
      </w:r>
      <w:r w:rsidRPr="00DE3EA0">
        <w:rPr>
          <w:rFonts w:ascii="Palatino Linotype" w:eastAsia="MingLiU" w:hAnsi="Palatino Linotype"/>
          <w:bCs/>
          <w:color w:val="000000"/>
          <w:kern w:val="0"/>
          <w:sz w:val="20"/>
          <w:szCs w:val="20"/>
        </w:rPr>
        <w:t>ultivariate analyses of MRE11 expression for overall survival in patients with primary LSCRC from cohort 2</w:t>
      </w:r>
    </w:p>
    <w:p w:rsidR="000B3C9F" w:rsidRPr="00DE3EA0" w:rsidRDefault="000B3C9F" w:rsidP="000B3C9F">
      <w:pPr>
        <w:spacing w:line="360" w:lineRule="auto"/>
        <w:rPr>
          <w:rFonts w:ascii="Palatino Linotype" w:hAnsi="Palatino Linotype"/>
          <w:sz w:val="20"/>
          <w:szCs w:val="20"/>
        </w:rPr>
      </w:pPr>
      <w:r w:rsidRPr="00DE3EA0">
        <w:rPr>
          <w:rFonts w:ascii="Palatino Linotype" w:hAnsi="Palatino Linotype"/>
          <w:b/>
          <w:bCs/>
          <w:color w:val="000000"/>
          <w:kern w:val="0"/>
          <w:sz w:val="20"/>
          <w:szCs w:val="20"/>
        </w:rPr>
        <w:t>Table S4.</w:t>
      </w:r>
      <w:r w:rsidRPr="00DE3EA0">
        <w:rPr>
          <w:rFonts w:ascii="Palatino Linotype" w:hAnsi="Palatino Linotype"/>
          <w:bCs/>
          <w:color w:val="000000"/>
          <w:kern w:val="0"/>
          <w:sz w:val="20"/>
          <w:szCs w:val="20"/>
        </w:rPr>
        <w:t xml:space="preserve"> </w:t>
      </w:r>
      <w:r w:rsidRPr="00DE3EA0">
        <w:rPr>
          <w:rFonts w:ascii="Palatino Linotype" w:eastAsia="MingLiU" w:hAnsi="Palatino Linotype"/>
          <w:bCs/>
          <w:color w:val="000000"/>
          <w:kern w:val="0"/>
          <w:sz w:val="20"/>
          <w:szCs w:val="20"/>
        </w:rPr>
        <w:t>Multivariate analyses of MRE11 expression for overall survival in LSCRC with MSS from cohort 2</w:t>
      </w:r>
    </w:p>
    <w:p w:rsidR="000B3C9F" w:rsidRPr="00DE3EA0" w:rsidRDefault="000B3C9F" w:rsidP="000B3C9F">
      <w:pPr>
        <w:spacing w:line="360" w:lineRule="auto"/>
        <w:rPr>
          <w:rFonts w:ascii="Palatino Linotype" w:hAnsi="Palatino Linotype"/>
          <w:sz w:val="20"/>
          <w:szCs w:val="20"/>
        </w:rPr>
      </w:pPr>
      <w:r w:rsidRPr="00DE3EA0">
        <w:rPr>
          <w:rFonts w:ascii="Palatino Linotype" w:hAnsi="Palatino Linotype"/>
          <w:b/>
          <w:sz w:val="20"/>
          <w:szCs w:val="20"/>
        </w:rPr>
        <w:t xml:space="preserve">Table S5. </w:t>
      </w:r>
      <w:r w:rsidRPr="00DE3EA0">
        <w:rPr>
          <w:rFonts w:ascii="Palatino Linotype" w:hAnsi="Palatino Linotype"/>
          <w:sz w:val="20"/>
          <w:szCs w:val="20"/>
        </w:rPr>
        <w:t>ClueGO-CluePedia functional analysis of red module from cohort 2.</w:t>
      </w:r>
    </w:p>
    <w:p w:rsidR="000B3C9F" w:rsidRPr="00DE3EA0" w:rsidRDefault="000B3C9F" w:rsidP="000B3C9F">
      <w:pPr>
        <w:spacing w:line="360" w:lineRule="auto"/>
        <w:rPr>
          <w:rFonts w:ascii="Palatino Linotype" w:hAnsi="Palatino Linotype"/>
          <w:sz w:val="20"/>
          <w:szCs w:val="20"/>
        </w:rPr>
      </w:pPr>
      <w:r w:rsidRPr="00DE3EA0">
        <w:rPr>
          <w:rFonts w:ascii="Palatino Linotype" w:hAnsi="Palatino Linotype"/>
          <w:b/>
          <w:sz w:val="20"/>
          <w:szCs w:val="20"/>
        </w:rPr>
        <w:t>Table S6.</w:t>
      </w:r>
      <w:r w:rsidRPr="00DE3EA0">
        <w:rPr>
          <w:rFonts w:ascii="Palatino Linotype" w:hAnsi="Palatino Linotype"/>
          <w:sz w:val="20"/>
          <w:szCs w:val="20"/>
        </w:rPr>
        <w:t xml:space="preserve"> ClueGO-CluePedia functional analysis of green module in LSCRC from cohort 2.</w:t>
      </w:r>
    </w:p>
    <w:p w:rsidR="000B3C9F" w:rsidRPr="00DE3EA0" w:rsidRDefault="000B3C9F" w:rsidP="000B3C9F">
      <w:pPr>
        <w:spacing w:line="360" w:lineRule="auto"/>
        <w:rPr>
          <w:rFonts w:ascii="Palatino Linotype" w:hAnsi="Palatino Linotype"/>
          <w:b/>
          <w:sz w:val="20"/>
          <w:szCs w:val="20"/>
        </w:rPr>
      </w:pPr>
    </w:p>
    <w:p w:rsidR="00C36584" w:rsidRPr="00DE3EA0" w:rsidRDefault="00C36584" w:rsidP="00C02A29">
      <w:pPr>
        <w:pStyle w:val="a8"/>
        <w:widowControl/>
        <w:numPr>
          <w:ilvl w:val="0"/>
          <w:numId w:val="1"/>
        </w:numPr>
        <w:ind w:firstLineChars="0"/>
        <w:jc w:val="left"/>
        <w:rPr>
          <w:rFonts w:ascii="Palatino Linotype" w:hAnsi="Palatino Linotype"/>
          <w:sz w:val="20"/>
          <w:szCs w:val="20"/>
        </w:rPr>
      </w:pPr>
      <w:r w:rsidRPr="00DE3EA0">
        <w:rPr>
          <w:rFonts w:ascii="Palatino Linotype" w:hAnsi="Palatino Linotype"/>
          <w:b/>
          <w:sz w:val="20"/>
          <w:szCs w:val="20"/>
        </w:rPr>
        <w:t>Supplementary Methods</w:t>
      </w:r>
      <w:r w:rsidRPr="00DE3EA0">
        <w:rPr>
          <w:rFonts w:ascii="Palatino Linotype" w:hAnsi="Palatino Linotype"/>
          <w:sz w:val="20"/>
          <w:szCs w:val="20"/>
        </w:rPr>
        <w:br w:type="page"/>
      </w:r>
    </w:p>
    <w:p w:rsidR="00C36584" w:rsidRPr="00DE3EA0" w:rsidRDefault="00C36584" w:rsidP="00C02A29">
      <w:pPr>
        <w:pStyle w:val="a8"/>
        <w:numPr>
          <w:ilvl w:val="0"/>
          <w:numId w:val="2"/>
        </w:numPr>
        <w:ind w:firstLineChars="0"/>
        <w:rPr>
          <w:rFonts w:ascii="Palatino Linotype" w:hAnsi="Palatino Linotype"/>
          <w:b/>
          <w:sz w:val="20"/>
          <w:szCs w:val="20"/>
        </w:rPr>
      </w:pPr>
      <w:r w:rsidRPr="00DE3EA0">
        <w:rPr>
          <w:rFonts w:ascii="Palatino Linotype" w:hAnsi="Palatino Linotype"/>
          <w:b/>
          <w:sz w:val="20"/>
          <w:szCs w:val="20"/>
        </w:rPr>
        <w:lastRenderedPageBreak/>
        <w:t xml:space="preserve">Supplementary Figures </w:t>
      </w:r>
    </w:p>
    <w:p w:rsidR="00C36584" w:rsidRPr="00DE3EA0" w:rsidRDefault="00C36584" w:rsidP="00C36584">
      <w:pPr>
        <w:rPr>
          <w:rFonts w:ascii="Palatino Linotype" w:hAnsi="Palatino Linotype"/>
          <w:b/>
          <w:sz w:val="20"/>
          <w:szCs w:val="20"/>
        </w:rPr>
      </w:pPr>
    </w:p>
    <w:p w:rsidR="00894F12" w:rsidRPr="00DE3EA0" w:rsidRDefault="000B3C9F" w:rsidP="00894F12">
      <w:pPr>
        <w:spacing w:line="480" w:lineRule="auto"/>
        <w:jc w:val="center"/>
        <w:rPr>
          <w:rFonts w:ascii="Palatino Linotype" w:hAnsi="Palatino Linotype"/>
          <w:b/>
          <w:sz w:val="20"/>
          <w:szCs w:val="20"/>
        </w:rPr>
      </w:pPr>
      <w:r w:rsidRPr="00DE3EA0">
        <w:rPr>
          <w:rFonts w:ascii="Palatino Linotype" w:hAnsi="Palatino Linotype"/>
          <w:b/>
          <w:noProof/>
          <w:sz w:val="20"/>
          <w:szCs w:val="20"/>
        </w:rPr>
        <w:drawing>
          <wp:inline distT="0" distB="0" distL="0" distR="0">
            <wp:extent cx="5274310" cy="20262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Figure 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026285"/>
                    </a:xfrm>
                    <a:prstGeom prst="rect">
                      <a:avLst/>
                    </a:prstGeom>
                  </pic:spPr>
                </pic:pic>
              </a:graphicData>
            </a:graphic>
          </wp:inline>
        </w:drawing>
      </w:r>
    </w:p>
    <w:p w:rsidR="00894F12" w:rsidRPr="00DE3EA0" w:rsidRDefault="00894F12" w:rsidP="00894F12">
      <w:pPr>
        <w:spacing w:line="360" w:lineRule="auto"/>
        <w:rPr>
          <w:rFonts w:ascii="Palatino Linotype" w:hAnsi="Palatino Linotype"/>
          <w:sz w:val="20"/>
          <w:szCs w:val="20"/>
        </w:rPr>
      </w:pPr>
      <w:r w:rsidRPr="00DE3EA0">
        <w:rPr>
          <w:rFonts w:ascii="Palatino Linotype" w:hAnsi="Palatino Linotype" w:cs="Arial"/>
          <w:b/>
          <w:sz w:val="20"/>
          <w:szCs w:val="20"/>
        </w:rPr>
        <w:t>Figure S1</w:t>
      </w:r>
      <w:r w:rsidRPr="00DE3EA0">
        <w:rPr>
          <w:rFonts w:ascii="Palatino Linotype" w:hAnsi="Palatino Linotype"/>
          <w:sz w:val="20"/>
          <w:szCs w:val="20"/>
        </w:rPr>
        <w:t xml:space="preserve">. </w:t>
      </w:r>
      <w:r w:rsidRPr="00DE3EA0">
        <w:rPr>
          <w:rFonts w:ascii="Palatino Linotype" w:hAnsi="Palatino Linotype"/>
          <w:b/>
          <w:sz w:val="20"/>
          <w:szCs w:val="20"/>
        </w:rPr>
        <w:t>Association of MRE11 expression with clinical outcome in CRC.</w:t>
      </w:r>
      <w:r w:rsidRPr="00DE3EA0">
        <w:rPr>
          <w:rFonts w:ascii="Palatino Linotype" w:hAnsi="Palatino Linotype"/>
          <w:sz w:val="20"/>
          <w:szCs w:val="20"/>
        </w:rPr>
        <w:t xml:space="preserve"> (A) Kaplan-Meier OS curves of 207 CRC patients from cohort 1. (B) Kaplan-Meier OS curves of 596 CRC patients from cohort 2.</w:t>
      </w:r>
    </w:p>
    <w:p w:rsidR="00894F12" w:rsidRPr="00DE3EA0" w:rsidRDefault="00894F12" w:rsidP="00894F12">
      <w:pPr>
        <w:spacing w:line="360" w:lineRule="auto"/>
        <w:rPr>
          <w:rFonts w:ascii="Palatino Linotype" w:hAnsi="Palatino Linotype"/>
          <w:sz w:val="20"/>
          <w:szCs w:val="20"/>
        </w:rPr>
      </w:pPr>
    </w:p>
    <w:p w:rsidR="00894F12" w:rsidRPr="00DE3EA0" w:rsidRDefault="000B3C9F" w:rsidP="00894F12">
      <w:pPr>
        <w:spacing w:line="360" w:lineRule="auto"/>
        <w:jc w:val="center"/>
        <w:rPr>
          <w:rFonts w:ascii="Palatino Linotype" w:hAnsi="Palatino Linotype"/>
          <w:sz w:val="20"/>
          <w:szCs w:val="20"/>
        </w:rPr>
      </w:pPr>
      <w:r w:rsidRPr="00DE3EA0">
        <w:rPr>
          <w:rFonts w:ascii="Palatino Linotype" w:hAnsi="Palatino Linotype"/>
          <w:noProof/>
          <w:sz w:val="20"/>
          <w:szCs w:val="20"/>
        </w:rPr>
        <w:drawing>
          <wp:inline distT="0" distB="0" distL="0" distR="0">
            <wp:extent cx="5274310" cy="199453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Figure 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994535"/>
                    </a:xfrm>
                    <a:prstGeom prst="rect">
                      <a:avLst/>
                    </a:prstGeom>
                  </pic:spPr>
                </pic:pic>
              </a:graphicData>
            </a:graphic>
          </wp:inline>
        </w:drawing>
      </w:r>
    </w:p>
    <w:p w:rsidR="00894F12" w:rsidRPr="00DE3EA0" w:rsidRDefault="00894F12" w:rsidP="00894F12">
      <w:pPr>
        <w:spacing w:line="360" w:lineRule="auto"/>
        <w:rPr>
          <w:rFonts w:ascii="Palatino Linotype" w:hAnsi="Palatino Linotype"/>
          <w:sz w:val="20"/>
          <w:szCs w:val="20"/>
        </w:rPr>
      </w:pPr>
      <w:r w:rsidRPr="00DE3EA0">
        <w:rPr>
          <w:rFonts w:ascii="Palatino Linotype" w:hAnsi="Palatino Linotype" w:cs="Arial"/>
          <w:b/>
          <w:sz w:val="20"/>
          <w:szCs w:val="20"/>
        </w:rPr>
        <w:t>Figure S2</w:t>
      </w:r>
      <w:r w:rsidRPr="00DE3EA0">
        <w:rPr>
          <w:rFonts w:ascii="Palatino Linotype" w:hAnsi="Palatino Linotype"/>
          <w:sz w:val="20"/>
          <w:szCs w:val="20"/>
        </w:rPr>
        <w:t xml:space="preserve">. </w:t>
      </w:r>
      <w:r w:rsidRPr="00DE3EA0">
        <w:rPr>
          <w:rFonts w:ascii="Palatino Linotype" w:hAnsi="Palatino Linotype"/>
          <w:b/>
          <w:sz w:val="20"/>
          <w:szCs w:val="20"/>
        </w:rPr>
        <w:t xml:space="preserve">Association of MRE11 expression with clinical outcome in CRC with MSI. </w:t>
      </w:r>
      <w:r w:rsidRPr="00DE3EA0">
        <w:rPr>
          <w:rFonts w:ascii="Palatino Linotype" w:hAnsi="Palatino Linotype"/>
          <w:sz w:val="20"/>
          <w:szCs w:val="20"/>
        </w:rPr>
        <w:t xml:space="preserve">(A) Kaplan-Meier overall survival curves of 22 RSCC patients with MSI from cohort 1. (B) Kaplan-Meier OS curves of 58 </w:t>
      </w:r>
      <w:r w:rsidR="00BA7A18" w:rsidRPr="00DE3EA0">
        <w:rPr>
          <w:rFonts w:ascii="Palatino Linotype" w:hAnsi="Palatino Linotype"/>
          <w:sz w:val="20"/>
          <w:szCs w:val="20"/>
        </w:rPr>
        <w:t>RSCC</w:t>
      </w:r>
      <w:r w:rsidRPr="00DE3EA0">
        <w:rPr>
          <w:rFonts w:ascii="Palatino Linotype" w:hAnsi="Palatino Linotype"/>
          <w:sz w:val="20"/>
          <w:szCs w:val="20"/>
        </w:rPr>
        <w:t xml:space="preserve"> patients with MSI from cohort 2.</w:t>
      </w:r>
    </w:p>
    <w:p w:rsidR="00894F12" w:rsidRPr="00DE3EA0" w:rsidRDefault="00894F12" w:rsidP="00894F12">
      <w:pPr>
        <w:spacing w:line="360" w:lineRule="auto"/>
        <w:rPr>
          <w:rFonts w:ascii="Palatino Linotype" w:hAnsi="Palatino Linotype"/>
          <w:sz w:val="20"/>
          <w:szCs w:val="20"/>
        </w:rPr>
      </w:pPr>
    </w:p>
    <w:p w:rsidR="00894F12" w:rsidRPr="00DE3EA0" w:rsidRDefault="00FF7D56" w:rsidP="00894F12">
      <w:pPr>
        <w:spacing w:line="360" w:lineRule="auto"/>
        <w:jc w:val="center"/>
        <w:rPr>
          <w:rFonts w:ascii="Palatino Linotype" w:hAnsi="Palatino Linotype"/>
          <w:sz w:val="20"/>
          <w:szCs w:val="20"/>
        </w:rPr>
      </w:pPr>
      <w:r>
        <w:rPr>
          <w:rFonts w:ascii="Palatino Linotype" w:hAnsi="Palatino Linotype"/>
          <w:noProof/>
          <w:sz w:val="20"/>
          <w:szCs w:val="20"/>
        </w:rPr>
        <w:lastRenderedPageBreak/>
        <w:drawing>
          <wp:inline distT="0" distB="0" distL="0" distR="0">
            <wp:extent cx="5274310" cy="6090920"/>
            <wp:effectExtent l="0" t="0" r="2540" b="5080"/>
            <wp:docPr id="1" name="图片 1"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Figure S3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6090920"/>
                    </a:xfrm>
                    <a:prstGeom prst="rect">
                      <a:avLst/>
                    </a:prstGeom>
                  </pic:spPr>
                </pic:pic>
              </a:graphicData>
            </a:graphic>
          </wp:inline>
        </w:drawing>
      </w:r>
    </w:p>
    <w:p w:rsidR="00894F12" w:rsidRPr="00800DD0" w:rsidRDefault="00894F12" w:rsidP="008173BA">
      <w:pPr>
        <w:spacing w:line="360" w:lineRule="auto"/>
        <w:rPr>
          <w:rFonts w:ascii="Palatino Linotype" w:hAnsi="Palatino Linotype"/>
          <w:sz w:val="20"/>
          <w:szCs w:val="20"/>
        </w:rPr>
      </w:pPr>
      <w:r w:rsidRPr="00DE3EA0">
        <w:rPr>
          <w:rFonts w:ascii="Palatino Linotype" w:hAnsi="Palatino Linotype" w:cs="Arial"/>
          <w:b/>
          <w:sz w:val="20"/>
          <w:szCs w:val="20"/>
        </w:rPr>
        <w:t>Figure S3</w:t>
      </w:r>
      <w:r w:rsidRPr="00DE3EA0">
        <w:rPr>
          <w:rFonts w:ascii="Palatino Linotype" w:hAnsi="Palatino Linotype"/>
          <w:b/>
          <w:sz w:val="20"/>
          <w:szCs w:val="20"/>
        </w:rPr>
        <w:t xml:space="preserve">. Identification of modules associated with the MRE11 expression in RSCC and LSCRC.  </w:t>
      </w:r>
      <w:r w:rsidRPr="00DE3EA0">
        <w:rPr>
          <w:rFonts w:ascii="Palatino Linotype" w:hAnsi="Palatino Linotype"/>
          <w:sz w:val="20"/>
          <w:szCs w:val="20"/>
        </w:rPr>
        <w:t>(</w:t>
      </w:r>
      <w:r w:rsidRPr="00800DD0">
        <w:rPr>
          <w:rFonts w:ascii="Palatino Linotype" w:hAnsi="Palatino Linotype"/>
          <w:sz w:val="20"/>
          <w:szCs w:val="20"/>
        </w:rPr>
        <w:t>A) Clustering dendrogram of 596 primary CRC samples from cohort 2. Red line indicated the cutoff point (165) to remove the outlier samples. (B) Scatter plot for correlation between gene module membership and gene significance</w:t>
      </w:r>
      <w:r w:rsidR="00800DD0" w:rsidRPr="00800DD0">
        <w:rPr>
          <w:rFonts w:ascii="Palatino Linotype" w:hAnsi="Palatino Linotype"/>
          <w:sz w:val="20"/>
          <w:szCs w:val="20"/>
        </w:rPr>
        <w:t xml:space="preserve"> of MRE11 expression </w:t>
      </w:r>
      <w:r w:rsidR="00800DD0" w:rsidRPr="00800DD0">
        <w:rPr>
          <w:rFonts w:ascii="Palatino Linotype" w:eastAsiaTheme="minorEastAsia" w:hAnsi="Palatino Linotype" w:cs="MinionPro-Regular"/>
          <w:kern w:val="0"/>
          <w:sz w:val="20"/>
          <w:szCs w:val="20"/>
        </w:rPr>
        <w:t>as a</w:t>
      </w:r>
      <w:r w:rsidR="00800DD0" w:rsidRPr="00800DD0">
        <w:rPr>
          <w:rFonts w:ascii="Palatino Linotype" w:eastAsiaTheme="minorEastAsia" w:hAnsi="Palatino Linotype" w:cs="MinionPro-Regular"/>
          <w:kern w:val="0"/>
          <w:sz w:val="20"/>
          <w:szCs w:val="20"/>
        </w:rPr>
        <w:t xml:space="preserve"> </w:t>
      </w:r>
      <w:r w:rsidR="00800DD0" w:rsidRPr="00800DD0">
        <w:rPr>
          <w:rFonts w:ascii="Palatino Linotype" w:hAnsi="Palatino Linotype"/>
          <w:sz w:val="20"/>
          <w:szCs w:val="20"/>
        </w:rPr>
        <w:t>continuous</w:t>
      </w:r>
      <w:r w:rsidR="00800DD0" w:rsidRPr="00800DD0">
        <w:rPr>
          <w:rFonts w:ascii="Palatino Linotype" w:hAnsi="Palatino Linotype"/>
          <w:sz w:val="20"/>
          <w:szCs w:val="20"/>
        </w:rPr>
        <w:t xml:space="preserve"> (cont.)</w:t>
      </w:r>
      <w:r w:rsidR="00800DD0" w:rsidRPr="00800DD0">
        <w:rPr>
          <w:rFonts w:ascii="Palatino Linotype" w:hAnsi="Palatino Linotype"/>
          <w:sz w:val="20"/>
          <w:szCs w:val="20"/>
        </w:rPr>
        <w:t xml:space="preserve"> </w:t>
      </w:r>
      <w:r w:rsidR="00800DD0" w:rsidRPr="00800DD0">
        <w:rPr>
          <w:rFonts w:ascii="Palatino Linotype" w:hAnsi="Palatino Linotype"/>
          <w:sz w:val="20"/>
          <w:szCs w:val="20"/>
        </w:rPr>
        <w:t xml:space="preserve">or </w:t>
      </w:r>
      <w:r w:rsidR="00800DD0" w:rsidRPr="00800DD0">
        <w:rPr>
          <w:rFonts w:ascii="Palatino Linotype" w:eastAsiaTheme="minorEastAsia" w:hAnsi="Palatino Linotype" w:cs="MinionPro-Regular"/>
          <w:kern w:val="0"/>
          <w:sz w:val="20"/>
          <w:szCs w:val="20"/>
        </w:rPr>
        <w:t>categorical</w:t>
      </w:r>
      <w:r w:rsidR="00800DD0" w:rsidRPr="00800DD0">
        <w:rPr>
          <w:rFonts w:ascii="Palatino Linotype" w:eastAsiaTheme="minorEastAsia" w:hAnsi="Palatino Linotype" w:cs="MinionPro-Regular"/>
          <w:kern w:val="0"/>
          <w:sz w:val="20"/>
          <w:szCs w:val="20"/>
        </w:rPr>
        <w:t xml:space="preserve"> (cat.)</w:t>
      </w:r>
      <w:r w:rsidR="00800DD0" w:rsidRPr="00800DD0">
        <w:rPr>
          <w:rFonts w:ascii="Palatino Linotype" w:eastAsiaTheme="minorEastAsia" w:hAnsi="Palatino Linotype" w:cs="MinionPro-Regular"/>
          <w:kern w:val="0"/>
          <w:sz w:val="20"/>
          <w:szCs w:val="20"/>
        </w:rPr>
        <w:t xml:space="preserve"> </w:t>
      </w:r>
      <w:r w:rsidR="008173BA" w:rsidRPr="00800DD0">
        <w:rPr>
          <w:rFonts w:ascii="Palatino Linotype" w:hAnsi="Palatino Linotype"/>
          <w:sz w:val="20"/>
          <w:szCs w:val="20"/>
        </w:rPr>
        <w:t>variable</w:t>
      </w:r>
      <w:r w:rsidR="008173BA" w:rsidRPr="00800DD0">
        <w:rPr>
          <w:rFonts w:ascii="Palatino Linotype" w:hAnsi="Palatino Linotype"/>
          <w:sz w:val="20"/>
          <w:szCs w:val="20"/>
        </w:rPr>
        <w:t xml:space="preserve"> </w:t>
      </w:r>
      <w:r w:rsidR="00800DD0" w:rsidRPr="00800DD0">
        <w:rPr>
          <w:rFonts w:ascii="Palatino Linotype" w:hAnsi="Palatino Linotype"/>
          <w:sz w:val="20"/>
          <w:szCs w:val="20"/>
        </w:rPr>
        <w:t xml:space="preserve">in the red module (MRE11-module) </w:t>
      </w:r>
      <w:r w:rsidRPr="00800DD0">
        <w:rPr>
          <w:rFonts w:ascii="Palatino Linotype" w:hAnsi="Palatino Linotype"/>
          <w:sz w:val="20"/>
          <w:szCs w:val="20"/>
        </w:rPr>
        <w:t xml:space="preserve">from RSCC. (C) </w:t>
      </w:r>
      <w:r w:rsidR="00800DD0" w:rsidRPr="00800DD0">
        <w:rPr>
          <w:rFonts w:ascii="Palatino Linotype" w:hAnsi="Palatino Linotype"/>
          <w:sz w:val="20"/>
          <w:szCs w:val="20"/>
        </w:rPr>
        <w:t>Scatter plot for correlation between gene module membership and gene significance of MRE11 expression</w:t>
      </w:r>
      <w:r w:rsidR="00800DD0" w:rsidRPr="00800DD0">
        <w:rPr>
          <w:rFonts w:ascii="Palatino Linotype" w:eastAsiaTheme="minorEastAsia" w:hAnsi="Palatino Linotype" w:cs="MinionPro-Regular"/>
          <w:kern w:val="0"/>
          <w:sz w:val="20"/>
          <w:szCs w:val="20"/>
        </w:rPr>
        <w:t xml:space="preserve"> </w:t>
      </w:r>
      <w:r w:rsidR="00800DD0" w:rsidRPr="00800DD0">
        <w:rPr>
          <w:rFonts w:ascii="Palatino Linotype" w:eastAsiaTheme="minorEastAsia" w:hAnsi="Palatino Linotype" w:cs="MinionPro-Regular"/>
          <w:kern w:val="0"/>
          <w:sz w:val="20"/>
          <w:szCs w:val="20"/>
        </w:rPr>
        <w:t xml:space="preserve">as a </w:t>
      </w:r>
      <w:r w:rsidR="00800DD0" w:rsidRPr="00800DD0">
        <w:rPr>
          <w:rFonts w:ascii="Palatino Linotype" w:hAnsi="Palatino Linotype"/>
          <w:sz w:val="20"/>
          <w:szCs w:val="20"/>
        </w:rPr>
        <w:t xml:space="preserve">continuous (cont.) or </w:t>
      </w:r>
      <w:r w:rsidR="00800DD0" w:rsidRPr="00800DD0">
        <w:rPr>
          <w:rFonts w:ascii="Palatino Linotype" w:eastAsiaTheme="minorEastAsia" w:hAnsi="Palatino Linotype" w:cs="MinionPro-Regular"/>
          <w:kern w:val="0"/>
          <w:sz w:val="20"/>
          <w:szCs w:val="20"/>
        </w:rPr>
        <w:t>categorical (cat.)</w:t>
      </w:r>
      <w:r w:rsidR="00800DD0" w:rsidRPr="00800DD0">
        <w:rPr>
          <w:rFonts w:ascii="Palatino Linotype" w:hAnsi="Palatino Linotype"/>
          <w:sz w:val="20"/>
          <w:szCs w:val="20"/>
        </w:rPr>
        <w:t xml:space="preserve"> </w:t>
      </w:r>
      <w:r w:rsidR="008173BA" w:rsidRPr="00800DD0">
        <w:rPr>
          <w:rFonts w:ascii="Palatino Linotype" w:hAnsi="Palatino Linotype"/>
          <w:sz w:val="20"/>
          <w:szCs w:val="20"/>
        </w:rPr>
        <w:t>variable</w:t>
      </w:r>
      <w:r w:rsidR="008173BA" w:rsidRPr="00800DD0">
        <w:rPr>
          <w:rFonts w:ascii="Palatino Linotype" w:hAnsi="Palatino Linotype"/>
          <w:sz w:val="20"/>
          <w:szCs w:val="20"/>
        </w:rPr>
        <w:t xml:space="preserve"> </w:t>
      </w:r>
      <w:r w:rsidR="00800DD0" w:rsidRPr="00800DD0">
        <w:rPr>
          <w:rFonts w:ascii="Palatino Linotype" w:hAnsi="Palatino Linotype"/>
          <w:sz w:val="20"/>
          <w:szCs w:val="20"/>
        </w:rPr>
        <w:t xml:space="preserve">in the </w:t>
      </w:r>
      <w:r w:rsidR="00800DD0" w:rsidRPr="00800DD0">
        <w:rPr>
          <w:rFonts w:ascii="Palatino Linotype" w:hAnsi="Palatino Linotype"/>
          <w:sz w:val="20"/>
          <w:szCs w:val="20"/>
        </w:rPr>
        <w:t>green</w:t>
      </w:r>
      <w:r w:rsidR="00800DD0" w:rsidRPr="00800DD0">
        <w:rPr>
          <w:rFonts w:ascii="Palatino Linotype" w:hAnsi="Palatino Linotype"/>
          <w:sz w:val="20"/>
          <w:szCs w:val="20"/>
        </w:rPr>
        <w:t xml:space="preserve"> module from </w:t>
      </w:r>
      <w:r w:rsidRPr="00800DD0">
        <w:rPr>
          <w:rFonts w:ascii="Palatino Linotype" w:hAnsi="Palatino Linotype"/>
          <w:sz w:val="20"/>
          <w:szCs w:val="20"/>
        </w:rPr>
        <w:t>LSCRC.</w:t>
      </w:r>
    </w:p>
    <w:p w:rsidR="00C02A29" w:rsidRPr="00DE3EA0" w:rsidRDefault="00C02A29">
      <w:pPr>
        <w:widowControl/>
        <w:jc w:val="left"/>
        <w:rPr>
          <w:rFonts w:ascii="Palatino Linotype" w:hAnsi="Palatino Linotype"/>
          <w:b/>
          <w:sz w:val="20"/>
          <w:szCs w:val="20"/>
        </w:rPr>
      </w:pPr>
      <w:r w:rsidRPr="00DE3EA0">
        <w:rPr>
          <w:rFonts w:ascii="Palatino Linotype" w:hAnsi="Palatino Linotype"/>
          <w:b/>
          <w:sz w:val="20"/>
          <w:szCs w:val="20"/>
        </w:rPr>
        <w:br w:type="page"/>
      </w:r>
    </w:p>
    <w:p w:rsidR="00C36584" w:rsidRPr="00DE3EA0" w:rsidRDefault="00C36584" w:rsidP="00C02A29">
      <w:pPr>
        <w:pStyle w:val="a8"/>
        <w:numPr>
          <w:ilvl w:val="0"/>
          <w:numId w:val="2"/>
        </w:numPr>
        <w:spacing w:line="360" w:lineRule="auto"/>
        <w:ind w:firstLineChars="0"/>
        <w:rPr>
          <w:rFonts w:ascii="Palatino Linotype" w:hAnsi="Palatino Linotype"/>
          <w:b/>
          <w:sz w:val="20"/>
          <w:szCs w:val="20"/>
        </w:rPr>
      </w:pPr>
      <w:r w:rsidRPr="00DE3EA0">
        <w:rPr>
          <w:rFonts w:ascii="Palatino Linotype" w:hAnsi="Palatino Linotype"/>
          <w:b/>
          <w:sz w:val="20"/>
          <w:szCs w:val="20"/>
        </w:rPr>
        <w:lastRenderedPageBreak/>
        <w:t>Supplementary Tables</w:t>
      </w:r>
    </w:p>
    <w:p w:rsidR="00C02A29" w:rsidRPr="00DE3EA0" w:rsidRDefault="00C02A29" w:rsidP="00620CD1">
      <w:pPr>
        <w:spacing w:line="360" w:lineRule="auto"/>
        <w:rPr>
          <w:rFonts w:ascii="Palatino Linotype" w:hAnsi="Palatino Linotype"/>
          <w:b/>
          <w:sz w:val="20"/>
          <w:szCs w:val="20"/>
        </w:rPr>
      </w:pPr>
    </w:p>
    <w:p w:rsidR="00620CD1" w:rsidRPr="00DE3EA0" w:rsidRDefault="00620CD1" w:rsidP="00620CD1">
      <w:pPr>
        <w:spacing w:line="360" w:lineRule="auto"/>
        <w:rPr>
          <w:rFonts w:ascii="Palatino Linotype" w:hAnsi="Palatino Linotype"/>
          <w:sz w:val="20"/>
          <w:szCs w:val="20"/>
        </w:rPr>
      </w:pPr>
      <w:r w:rsidRPr="00DE3EA0">
        <w:rPr>
          <w:rFonts w:ascii="Palatino Linotype" w:hAnsi="Palatino Linotype"/>
          <w:b/>
          <w:sz w:val="20"/>
          <w:szCs w:val="20"/>
        </w:rPr>
        <w:t xml:space="preserve">Table </w:t>
      </w:r>
      <w:r w:rsidR="00637BE4" w:rsidRPr="00DE3EA0">
        <w:rPr>
          <w:rFonts w:ascii="Palatino Linotype" w:hAnsi="Palatino Linotype"/>
          <w:b/>
          <w:sz w:val="20"/>
          <w:szCs w:val="20"/>
        </w:rPr>
        <w:t>S</w:t>
      </w:r>
      <w:r w:rsidRPr="00DE3EA0">
        <w:rPr>
          <w:rFonts w:ascii="Palatino Linotype" w:hAnsi="Palatino Linotype"/>
          <w:b/>
          <w:sz w:val="20"/>
          <w:szCs w:val="20"/>
        </w:rPr>
        <w:t>1.</w:t>
      </w:r>
      <w:r w:rsidRPr="00DE3EA0">
        <w:rPr>
          <w:rFonts w:ascii="Palatino Linotype" w:hAnsi="Palatino Linotype"/>
          <w:sz w:val="20"/>
          <w:szCs w:val="20"/>
        </w:rPr>
        <w:t xml:space="preserve"> MRE11 expression and clinicopathological parameters in CRC and its locations from cohort 1</w:t>
      </w:r>
    </w:p>
    <w:tbl>
      <w:tblPr>
        <w:tblStyle w:val="a7"/>
        <w:tblW w:w="83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2047"/>
        <w:gridCol w:w="825"/>
        <w:gridCol w:w="808"/>
        <w:gridCol w:w="789"/>
        <w:gridCol w:w="808"/>
        <w:gridCol w:w="789"/>
        <w:gridCol w:w="808"/>
      </w:tblGrid>
      <w:tr w:rsidR="00620CD1" w:rsidRPr="00DE3EA0" w:rsidTr="00894F12">
        <w:trPr>
          <w:trHeight w:val="311"/>
        </w:trPr>
        <w:tc>
          <w:tcPr>
            <w:tcW w:w="0" w:type="auto"/>
            <w:gridSpan w:val="2"/>
            <w:vMerge w:val="restart"/>
            <w:tcBorders>
              <w:top w:val="single" w:sz="4" w:space="0" w:color="auto"/>
              <w:bottom w:val="nil"/>
            </w:tcBorders>
          </w:tcPr>
          <w:p w:rsidR="00620CD1" w:rsidRPr="00DE3EA0" w:rsidRDefault="00620CD1" w:rsidP="00894F12">
            <w:pPr>
              <w:spacing w:line="720" w:lineRule="auto"/>
              <w:jc w:val="center"/>
              <w:rPr>
                <w:rFonts w:ascii="Palatino Linotype" w:hAnsi="Palatino Linotype"/>
                <w:sz w:val="20"/>
                <w:szCs w:val="20"/>
              </w:rPr>
            </w:pPr>
            <w:r w:rsidRPr="00DE3EA0">
              <w:rPr>
                <w:rFonts w:ascii="Palatino Linotype" w:hAnsi="Palatino Linotype"/>
                <w:sz w:val="20"/>
                <w:szCs w:val="20"/>
              </w:rPr>
              <w:t>Parameters</w:t>
            </w:r>
          </w:p>
        </w:tc>
        <w:tc>
          <w:tcPr>
            <w:tcW w:w="0" w:type="auto"/>
            <w:gridSpan w:val="6"/>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MRE11 expression</w:t>
            </w:r>
          </w:p>
        </w:tc>
      </w:tr>
      <w:tr w:rsidR="00620CD1" w:rsidRPr="00DE3EA0" w:rsidTr="00894F12">
        <w:trPr>
          <w:trHeight w:val="311"/>
        </w:trPr>
        <w:tc>
          <w:tcPr>
            <w:tcW w:w="0" w:type="auto"/>
            <w:gridSpan w:val="2"/>
            <w:vMerge/>
            <w:tcBorders>
              <w:top w:val="nil"/>
              <w:bottom w:val="nil"/>
            </w:tcBorders>
          </w:tcPr>
          <w:p w:rsidR="00620CD1" w:rsidRPr="00DE3EA0" w:rsidRDefault="00620CD1" w:rsidP="00894F12">
            <w:pPr>
              <w:jc w:val="center"/>
              <w:rPr>
                <w:rFonts w:ascii="Palatino Linotype" w:hAnsi="Palatino Linotype"/>
                <w:sz w:val="20"/>
                <w:szCs w:val="20"/>
              </w:rPr>
            </w:pPr>
          </w:p>
        </w:tc>
        <w:tc>
          <w:tcPr>
            <w:tcW w:w="0" w:type="auto"/>
            <w:gridSpan w:val="2"/>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CRC (207)</w:t>
            </w:r>
          </w:p>
        </w:tc>
        <w:tc>
          <w:tcPr>
            <w:tcW w:w="0" w:type="auto"/>
            <w:gridSpan w:val="2"/>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RSCC (74)</w:t>
            </w:r>
          </w:p>
        </w:tc>
        <w:tc>
          <w:tcPr>
            <w:tcW w:w="0" w:type="auto"/>
            <w:gridSpan w:val="2"/>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LSCRC (132)</w:t>
            </w:r>
          </w:p>
        </w:tc>
      </w:tr>
      <w:tr w:rsidR="00620CD1" w:rsidRPr="00DE3EA0" w:rsidTr="00894F12">
        <w:trPr>
          <w:trHeight w:val="311"/>
        </w:trPr>
        <w:tc>
          <w:tcPr>
            <w:tcW w:w="0" w:type="auto"/>
            <w:gridSpan w:val="2"/>
            <w:vMerge/>
            <w:tcBorders>
              <w:top w:val="nil"/>
              <w:bottom w:val="single" w:sz="4" w:space="0" w:color="auto"/>
            </w:tcBorders>
          </w:tcPr>
          <w:p w:rsidR="00620CD1" w:rsidRPr="00DE3EA0" w:rsidRDefault="00620CD1" w:rsidP="00894F12">
            <w:pPr>
              <w:jc w:val="center"/>
              <w:rPr>
                <w:rFonts w:ascii="Palatino Linotype" w:hAnsi="Palatino Linotype"/>
                <w:sz w:val="20"/>
                <w:szCs w:val="20"/>
              </w:rPr>
            </w:pPr>
          </w:p>
        </w:tc>
        <w:tc>
          <w:tcPr>
            <w:tcW w:w="0" w:type="auto"/>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low (125)</w:t>
            </w:r>
          </w:p>
        </w:tc>
        <w:tc>
          <w:tcPr>
            <w:tcW w:w="0" w:type="auto"/>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high (82)</w:t>
            </w:r>
          </w:p>
        </w:tc>
        <w:tc>
          <w:tcPr>
            <w:tcW w:w="0" w:type="auto"/>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low (49)</w:t>
            </w:r>
          </w:p>
        </w:tc>
        <w:tc>
          <w:tcPr>
            <w:tcW w:w="0" w:type="auto"/>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high (25)</w:t>
            </w:r>
          </w:p>
        </w:tc>
        <w:tc>
          <w:tcPr>
            <w:tcW w:w="0" w:type="auto"/>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low (75)</w:t>
            </w:r>
          </w:p>
        </w:tc>
        <w:tc>
          <w:tcPr>
            <w:tcW w:w="0" w:type="auto"/>
            <w:tcBorders>
              <w:top w:val="single" w:sz="4" w:space="0" w:color="auto"/>
              <w:bottom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high (57)</w:t>
            </w:r>
          </w:p>
        </w:tc>
      </w:tr>
      <w:tr w:rsidR="00620CD1" w:rsidRPr="00DE3EA0" w:rsidTr="00894F12">
        <w:trPr>
          <w:trHeight w:val="311"/>
        </w:trPr>
        <w:tc>
          <w:tcPr>
            <w:tcW w:w="0" w:type="auto"/>
            <w:vMerge w:val="restart"/>
            <w:tcBorders>
              <w:top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Gender</w:t>
            </w:r>
          </w:p>
        </w:tc>
        <w:tc>
          <w:tcPr>
            <w:tcW w:w="0" w:type="auto"/>
            <w:tcBorders>
              <w:top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Male</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71 (56.8)</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43 (52.4)</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29 (59.2)</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 (48.0)</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42 (56.0)</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31 (54.4)</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Female</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54 (43.2)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39 (47.6)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20 (40.8)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 (52.0)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33 (44.0)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26 (45.6)</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Age (years)</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&lt;70</w:t>
            </w:r>
          </w:p>
        </w:tc>
        <w:tc>
          <w:tcPr>
            <w:tcW w:w="0" w:type="auto"/>
          </w:tcPr>
          <w:p w:rsidR="00620CD1" w:rsidRPr="00DE3EA0" w:rsidRDefault="00620CD1" w:rsidP="00894F12">
            <w:pPr>
              <w:widowControl/>
              <w:jc w:val="left"/>
              <w:rPr>
                <w:rFonts w:ascii="Palatino Linotype" w:hAnsi="Palatino Linotype"/>
                <w:color w:val="000000"/>
                <w:sz w:val="20"/>
                <w:szCs w:val="20"/>
              </w:rPr>
            </w:pPr>
            <w:r w:rsidRPr="00DE3EA0">
              <w:rPr>
                <w:rFonts w:ascii="Palatino Linotype" w:hAnsi="Palatino Linotype"/>
                <w:color w:val="000000"/>
                <w:sz w:val="20"/>
                <w:szCs w:val="20"/>
              </w:rPr>
              <w:t>42 (33.6)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35 (42.7)</w:t>
            </w:r>
          </w:p>
        </w:tc>
        <w:tc>
          <w:tcPr>
            <w:tcW w:w="0" w:type="auto"/>
          </w:tcPr>
          <w:p w:rsidR="00620CD1" w:rsidRPr="00DE3EA0" w:rsidRDefault="00620CD1" w:rsidP="00894F12">
            <w:pPr>
              <w:widowControl/>
              <w:jc w:val="left"/>
              <w:rPr>
                <w:rFonts w:ascii="Palatino Linotype" w:hAnsi="Palatino Linotype"/>
                <w:color w:val="000000"/>
                <w:sz w:val="20"/>
                <w:szCs w:val="20"/>
              </w:rPr>
            </w:pPr>
            <w:r w:rsidRPr="00DE3EA0">
              <w:rPr>
                <w:rFonts w:ascii="Palatino Linotype" w:hAnsi="Palatino Linotype"/>
                <w:color w:val="000000"/>
                <w:sz w:val="20"/>
                <w:szCs w:val="20"/>
              </w:rPr>
              <w:t>17 (34.7)</w:t>
            </w:r>
          </w:p>
        </w:tc>
        <w:tc>
          <w:tcPr>
            <w:tcW w:w="0" w:type="auto"/>
          </w:tcPr>
          <w:p w:rsidR="00620CD1" w:rsidRPr="00DE3EA0" w:rsidRDefault="00620CD1" w:rsidP="00894F12">
            <w:pPr>
              <w:widowControl/>
              <w:jc w:val="left"/>
              <w:rPr>
                <w:rFonts w:ascii="Palatino Linotype" w:hAnsi="Palatino Linotype"/>
                <w:color w:val="000000"/>
                <w:sz w:val="20"/>
                <w:szCs w:val="20"/>
              </w:rPr>
            </w:pPr>
            <w:r w:rsidRPr="00DE3EA0">
              <w:rPr>
                <w:rFonts w:ascii="Palatino Linotype" w:hAnsi="Palatino Linotype"/>
                <w:color w:val="000000"/>
                <w:sz w:val="20"/>
                <w:szCs w:val="20"/>
              </w:rPr>
              <w:t>8 (32.0)</w:t>
            </w:r>
          </w:p>
        </w:tc>
        <w:tc>
          <w:tcPr>
            <w:tcW w:w="0" w:type="auto"/>
          </w:tcPr>
          <w:p w:rsidR="00620CD1" w:rsidRPr="00DE3EA0" w:rsidRDefault="00620CD1" w:rsidP="00894F12">
            <w:pPr>
              <w:widowControl/>
              <w:jc w:val="left"/>
              <w:rPr>
                <w:rFonts w:ascii="Palatino Linotype" w:hAnsi="Palatino Linotype"/>
                <w:color w:val="000000"/>
                <w:sz w:val="20"/>
                <w:szCs w:val="20"/>
              </w:rPr>
            </w:pPr>
            <w:r w:rsidRPr="00DE3EA0">
              <w:rPr>
                <w:rFonts w:ascii="Palatino Linotype" w:hAnsi="Palatino Linotype"/>
                <w:color w:val="000000"/>
                <w:sz w:val="20"/>
                <w:szCs w:val="20"/>
              </w:rPr>
              <w:t>24 (32.0)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27 (47.4)</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color w:val="545454"/>
                <w:sz w:val="20"/>
                <w:szCs w:val="20"/>
                <w:shd w:val="clear" w:color="auto" w:fill="FFFFFF"/>
              </w:rPr>
              <w:t>≥</w:t>
            </w:r>
            <w:r w:rsidRPr="00DE3EA0">
              <w:rPr>
                <w:rFonts w:ascii="Palatino Linotype" w:hAnsi="Palatino Linotype"/>
                <w:sz w:val="20"/>
                <w:szCs w:val="20"/>
              </w:rPr>
              <w:t>70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83 (66.4)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47 (57.3)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32 (65.3)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 (68.0)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51 (68.0)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30 (52.6)</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Location</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RSCRC</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49 (39.2)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(30.5)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LSCRC</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75 (60.0)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57 (69.5)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 (0.8)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0 (0.0)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TNM stage</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1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 (9.6)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 (15.9)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 (2.0)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(14.7)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(19.3)</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2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40 (32.0)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34 (41.5)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 (34.7)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 (36.0)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23 (30.7)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(43.9)</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3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III</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45 (36.0)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18 (22.0)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18 (36.7)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 (24.0)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27 (36)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 (21.1)</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4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IV</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26 (20.8)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15 (18.3)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(22.4)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(28.0)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14 (18.7)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 (14.0)</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(1.6)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(2.4)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(4.1)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 (4.0)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0 (0.0)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 (1.8)</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Growth Pattern</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Expansion</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65 (52)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44 (53.7)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22 (44.9)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 (48.0)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43 (57.3)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32 (56.1)</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Infiltration</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52 (41.6)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34 (41.5)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21 (42.9)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(40.0)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30 (40)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24 (42.1)</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Histological types</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Adenocarcinoma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105 (84.0)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69 (84.1)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39 (79.6)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20 (80.0)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65 (86.7)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49 (86.0)</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Mucinous adenocarcinoma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20 (16.0)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 (15.9)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(20.4)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 (20.0)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(13.3)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 (14.0)</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Grade</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Well</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 (7.2)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(3.7)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(4.1)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0 (0.0)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(9.3)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(5.3)</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Moderately</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77 (61.6)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54 (65.9)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27 (55.1)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 (64.0)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50 (66.7)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38 (66.7)</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Poorly</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 xml:space="preserve">39 </w:t>
            </w:r>
            <w:r w:rsidRPr="00DE3EA0">
              <w:rPr>
                <w:rFonts w:ascii="Palatino Linotype" w:hAnsi="Palatino Linotype"/>
                <w:color w:val="000000"/>
                <w:sz w:val="20"/>
                <w:szCs w:val="20"/>
              </w:rPr>
              <w:lastRenderedPageBreak/>
              <w:t>(31.2)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lastRenderedPageBreak/>
              <w:t xml:space="preserve">25 </w:t>
            </w:r>
            <w:r w:rsidRPr="00DE3EA0">
              <w:rPr>
                <w:rFonts w:ascii="Palatino Linotype" w:hAnsi="Palatino Linotype"/>
                <w:color w:val="000000"/>
                <w:sz w:val="20"/>
                <w:szCs w:val="20"/>
              </w:rPr>
              <w:lastRenderedPageBreak/>
              <w:t>(30.5)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lastRenderedPageBreak/>
              <w:t xml:space="preserve">20 </w:t>
            </w:r>
            <w:r w:rsidRPr="00DE3EA0">
              <w:rPr>
                <w:rFonts w:ascii="Palatino Linotype" w:hAnsi="Palatino Linotype"/>
                <w:color w:val="000000"/>
                <w:sz w:val="20"/>
                <w:szCs w:val="20"/>
              </w:rPr>
              <w:lastRenderedPageBreak/>
              <w:t>(40.8)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lastRenderedPageBreak/>
              <w:t xml:space="preserve">9 </w:t>
            </w:r>
            <w:r w:rsidRPr="00DE3EA0">
              <w:rPr>
                <w:rFonts w:ascii="Palatino Linotype" w:hAnsi="Palatino Linotype"/>
                <w:color w:val="000000"/>
                <w:sz w:val="20"/>
                <w:szCs w:val="20"/>
              </w:rPr>
              <w:lastRenderedPageBreak/>
              <w:t>(36.0)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lastRenderedPageBreak/>
              <w:t xml:space="preserve">18 </w:t>
            </w:r>
            <w:r w:rsidRPr="00DE3EA0">
              <w:rPr>
                <w:rFonts w:ascii="Palatino Linotype" w:hAnsi="Palatino Linotype"/>
                <w:color w:val="000000"/>
                <w:sz w:val="20"/>
                <w:szCs w:val="20"/>
              </w:rPr>
              <w:lastRenderedPageBreak/>
              <w:t>(24)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lastRenderedPageBreak/>
              <w:t xml:space="preserve">16 </w:t>
            </w:r>
            <w:r w:rsidRPr="00DE3EA0">
              <w:rPr>
                <w:rFonts w:ascii="Palatino Linotype" w:hAnsi="Palatino Linotype"/>
                <w:color w:val="000000"/>
                <w:sz w:val="20"/>
                <w:szCs w:val="20"/>
              </w:rPr>
              <w:lastRenderedPageBreak/>
              <w:t>(28.1)</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b/>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 (6.4)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 (4.9)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 (12.2)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(12.0)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(2.7)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 (1.8)</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TIICs</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Low</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38 (30.4)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35 (42.7)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 (34.7)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(40.0)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21 (28.0)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(43.9)</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High</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70 (56.0)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38 (46.3)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23 (46.9)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 (52.0)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46 (61.3)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(43.9)</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 (13.6)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 (11.0)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 (18.4)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 (10.7)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(12.3)</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MSI status</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MSS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68 (54.4)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60 (73.2)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 (24.5)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 (64.0)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55 (73.3)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44 (77.2)</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MSI</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(20.0)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 (7.3)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22 (44.9)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(12.0)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(5.3)</w:t>
            </w:r>
          </w:p>
        </w:tc>
      </w:tr>
      <w:tr w:rsidR="00620CD1" w:rsidRPr="00DE3EA0" w:rsidTr="00894F12">
        <w:trPr>
          <w:trHeight w:val="311"/>
        </w:trPr>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32 (25.6)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 (19.5)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15 (30.6)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 (24.0)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 (22.7)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(17.5)</w:t>
            </w:r>
          </w:p>
        </w:tc>
      </w:tr>
      <w:tr w:rsidR="00620CD1" w:rsidRPr="00DE3EA0" w:rsidTr="00894F12">
        <w:trPr>
          <w:trHeight w:val="311"/>
        </w:trPr>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Recurrence</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No</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39 (31.2)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34 (41.5)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(22.4)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(40.0)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28 (37.3)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24 (42.1)</w:t>
            </w:r>
          </w:p>
        </w:tc>
      </w:tr>
      <w:tr w:rsidR="00620CD1" w:rsidRPr="00DE3EA0" w:rsidTr="00894F12">
        <w:trPr>
          <w:trHeight w:val="311"/>
        </w:trPr>
        <w:tc>
          <w:tcPr>
            <w:tcW w:w="0" w:type="auto"/>
            <w:vMerge/>
          </w:tcPr>
          <w:p w:rsidR="00620CD1" w:rsidRPr="00DE3EA0" w:rsidRDefault="00620CD1" w:rsidP="00894F12">
            <w:pPr>
              <w:jc w:val="center"/>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YES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 (7.2)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(13.4)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 (10.2)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(12.0)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 (5.3)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 (14.0)</w:t>
            </w:r>
          </w:p>
        </w:tc>
      </w:tr>
      <w:tr w:rsidR="00620CD1" w:rsidRPr="00DE3EA0" w:rsidTr="00894F12">
        <w:trPr>
          <w:trHeight w:val="311"/>
        </w:trPr>
        <w:tc>
          <w:tcPr>
            <w:tcW w:w="0" w:type="auto"/>
            <w:vMerge/>
          </w:tcPr>
          <w:p w:rsidR="00620CD1" w:rsidRPr="00DE3EA0" w:rsidRDefault="00620CD1" w:rsidP="00894F12">
            <w:pPr>
              <w:jc w:val="center"/>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77 (61.6)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37 (45.1)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33 (67.3)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 (48.0)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43 (57.3)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(43.9)</w:t>
            </w:r>
          </w:p>
        </w:tc>
      </w:tr>
    </w:tbl>
    <w:p w:rsidR="00620CD1" w:rsidRPr="00DE3EA0" w:rsidRDefault="00620CD1" w:rsidP="00620CD1">
      <w:pPr>
        <w:spacing w:line="360" w:lineRule="auto"/>
        <w:rPr>
          <w:rFonts w:ascii="Palatino Linotype" w:hAnsi="Palatino Linotype"/>
          <w:sz w:val="20"/>
          <w:szCs w:val="20"/>
        </w:rPr>
      </w:pPr>
    </w:p>
    <w:p w:rsidR="00620CD1" w:rsidRPr="00DE3EA0" w:rsidRDefault="00620CD1" w:rsidP="00620CD1">
      <w:pPr>
        <w:widowControl/>
        <w:jc w:val="left"/>
        <w:rPr>
          <w:rFonts w:ascii="Palatino Linotype" w:hAnsi="Palatino Linotype"/>
          <w:sz w:val="20"/>
          <w:szCs w:val="20"/>
        </w:rPr>
      </w:pPr>
      <w:r w:rsidRPr="00DE3EA0">
        <w:rPr>
          <w:rFonts w:ascii="Palatino Linotype" w:hAnsi="Palatino Linotype"/>
          <w:sz w:val="20"/>
          <w:szCs w:val="20"/>
        </w:rPr>
        <w:br w:type="page"/>
      </w:r>
    </w:p>
    <w:p w:rsidR="00620CD1" w:rsidRPr="00DE3EA0" w:rsidRDefault="00620CD1" w:rsidP="00620CD1">
      <w:pPr>
        <w:spacing w:line="360" w:lineRule="auto"/>
        <w:rPr>
          <w:rFonts w:ascii="Palatino Linotype" w:hAnsi="Palatino Linotype"/>
          <w:sz w:val="20"/>
          <w:szCs w:val="20"/>
        </w:rPr>
      </w:pPr>
    </w:p>
    <w:p w:rsidR="00620CD1" w:rsidRPr="00DE3EA0" w:rsidRDefault="00620CD1" w:rsidP="00620CD1">
      <w:pPr>
        <w:rPr>
          <w:rFonts w:ascii="Palatino Linotype" w:hAnsi="Palatino Linotype"/>
          <w:sz w:val="20"/>
          <w:szCs w:val="20"/>
        </w:rPr>
      </w:pPr>
      <w:r w:rsidRPr="00DE3EA0">
        <w:rPr>
          <w:rFonts w:ascii="Palatino Linotype" w:hAnsi="Palatino Linotype"/>
          <w:b/>
          <w:sz w:val="20"/>
          <w:szCs w:val="20"/>
        </w:rPr>
        <w:t xml:space="preserve">Table </w:t>
      </w:r>
      <w:r w:rsidR="00637BE4" w:rsidRPr="00DE3EA0">
        <w:rPr>
          <w:rFonts w:ascii="Palatino Linotype" w:hAnsi="Palatino Linotype"/>
          <w:b/>
          <w:sz w:val="20"/>
          <w:szCs w:val="20"/>
        </w:rPr>
        <w:t>S</w:t>
      </w:r>
      <w:r w:rsidRPr="00DE3EA0">
        <w:rPr>
          <w:rFonts w:ascii="Palatino Linotype" w:hAnsi="Palatino Linotype"/>
          <w:b/>
          <w:sz w:val="20"/>
          <w:szCs w:val="20"/>
        </w:rPr>
        <w:t>2</w:t>
      </w:r>
      <w:r w:rsidRPr="00DE3EA0">
        <w:rPr>
          <w:rFonts w:ascii="Palatino Linotype" w:hAnsi="Palatino Linotype"/>
          <w:sz w:val="20"/>
          <w:szCs w:val="20"/>
        </w:rPr>
        <w:t>. MRE11 expression and clinicopathological parameters in CRC and its locations from cohort 2</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991"/>
        <w:gridCol w:w="802"/>
        <w:gridCol w:w="817"/>
        <w:gridCol w:w="802"/>
        <w:gridCol w:w="788"/>
        <w:gridCol w:w="802"/>
        <w:gridCol w:w="817"/>
      </w:tblGrid>
      <w:tr w:rsidR="00620CD1" w:rsidRPr="00DE3EA0" w:rsidTr="00894F12">
        <w:tc>
          <w:tcPr>
            <w:tcW w:w="0" w:type="auto"/>
            <w:gridSpan w:val="2"/>
            <w:vMerge w:val="restart"/>
            <w:tcBorders>
              <w:top w:val="single" w:sz="4" w:space="0" w:color="auto"/>
            </w:tcBorders>
          </w:tcPr>
          <w:p w:rsidR="00620CD1" w:rsidRPr="00DE3EA0" w:rsidRDefault="00620CD1" w:rsidP="00894F12">
            <w:pPr>
              <w:spacing w:line="720" w:lineRule="auto"/>
              <w:jc w:val="center"/>
              <w:rPr>
                <w:rFonts w:ascii="Palatino Linotype" w:hAnsi="Palatino Linotype"/>
                <w:sz w:val="20"/>
                <w:szCs w:val="20"/>
              </w:rPr>
            </w:pPr>
            <w:r w:rsidRPr="00DE3EA0">
              <w:rPr>
                <w:rFonts w:ascii="Palatino Linotype" w:hAnsi="Palatino Linotype"/>
                <w:sz w:val="20"/>
                <w:szCs w:val="20"/>
              </w:rPr>
              <w:t>Parameters</w:t>
            </w:r>
          </w:p>
        </w:tc>
        <w:tc>
          <w:tcPr>
            <w:tcW w:w="0" w:type="auto"/>
            <w:gridSpan w:val="6"/>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MRE11 expression</w:t>
            </w:r>
          </w:p>
        </w:tc>
      </w:tr>
      <w:tr w:rsidR="00620CD1" w:rsidRPr="00DE3EA0" w:rsidTr="00894F12">
        <w:tc>
          <w:tcPr>
            <w:tcW w:w="0" w:type="auto"/>
            <w:gridSpan w:val="2"/>
            <w:vMerge/>
          </w:tcPr>
          <w:p w:rsidR="00620CD1" w:rsidRPr="00DE3EA0" w:rsidRDefault="00620CD1" w:rsidP="00894F12">
            <w:pPr>
              <w:jc w:val="center"/>
              <w:rPr>
                <w:rFonts w:ascii="Palatino Linotype" w:hAnsi="Palatino Linotype"/>
                <w:sz w:val="20"/>
                <w:szCs w:val="20"/>
              </w:rPr>
            </w:pPr>
          </w:p>
        </w:tc>
        <w:tc>
          <w:tcPr>
            <w:tcW w:w="0" w:type="auto"/>
            <w:gridSpan w:val="2"/>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CRC (596)</w:t>
            </w:r>
          </w:p>
        </w:tc>
        <w:tc>
          <w:tcPr>
            <w:tcW w:w="0" w:type="auto"/>
            <w:gridSpan w:val="2"/>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RSCC (251)</w:t>
            </w:r>
          </w:p>
        </w:tc>
        <w:tc>
          <w:tcPr>
            <w:tcW w:w="0" w:type="auto"/>
            <w:gridSpan w:val="2"/>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LSCRC (328)</w:t>
            </w:r>
          </w:p>
        </w:tc>
      </w:tr>
      <w:tr w:rsidR="00620CD1" w:rsidRPr="00DE3EA0" w:rsidTr="00894F12">
        <w:tc>
          <w:tcPr>
            <w:tcW w:w="0" w:type="auto"/>
            <w:gridSpan w:val="2"/>
            <w:vMerge/>
            <w:tcBorders>
              <w:bottom w:val="single" w:sz="4" w:space="0" w:color="auto"/>
            </w:tcBorders>
          </w:tcPr>
          <w:p w:rsidR="00620CD1" w:rsidRPr="00DE3EA0" w:rsidRDefault="00620CD1" w:rsidP="00894F12">
            <w:pPr>
              <w:jc w:val="center"/>
              <w:rPr>
                <w:rFonts w:ascii="Palatino Linotype" w:hAnsi="Palatino Linotype"/>
                <w:sz w:val="20"/>
                <w:szCs w:val="20"/>
              </w:rPr>
            </w:pPr>
          </w:p>
        </w:tc>
        <w:tc>
          <w:tcPr>
            <w:tcW w:w="0" w:type="auto"/>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low (358)</w:t>
            </w:r>
          </w:p>
        </w:tc>
        <w:tc>
          <w:tcPr>
            <w:tcW w:w="0" w:type="auto"/>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high (238)</w:t>
            </w:r>
          </w:p>
        </w:tc>
        <w:tc>
          <w:tcPr>
            <w:tcW w:w="0" w:type="auto"/>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low (169)</w:t>
            </w:r>
          </w:p>
        </w:tc>
        <w:tc>
          <w:tcPr>
            <w:tcW w:w="0" w:type="auto"/>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high (82)</w:t>
            </w:r>
          </w:p>
        </w:tc>
        <w:tc>
          <w:tcPr>
            <w:tcW w:w="0" w:type="auto"/>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low (179)</w:t>
            </w:r>
          </w:p>
        </w:tc>
        <w:tc>
          <w:tcPr>
            <w:tcW w:w="0" w:type="auto"/>
            <w:tcBorders>
              <w:top w:val="single" w:sz="4" w:space="0" w:color="auto"/>
              <w:bottom w:val="single" w:sz="4"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high (149)</w:t>
            </w:r>
          </w:p>
        </w:tc>
      </w:tr>
      <w:tr w:rsidR="00620CD1" w:rsidRPr="00DE3EA0" w:rsidTr="00894F12">
        <w:tc>
          <w:tcPr>
            <w:tcW w:w="0" w:type="auto"/>
            <w:vMerge w:val="restart"/>
            <w:tcBorders>
              <w:top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Gender</w:t>
            </w:r>
          </w:p>
        </w:tc>
        <w:tc>
          <w:tcPr>
            <w:tcW w:w="0" w:type="auto"/>
            <w:tcBorders>
              <w:top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Male</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174 (48.6)</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101 (42.4)</w:t>
            </w:r>
          </w:p>
        </w:tc>
        <w:tc>
          <w:tcPr>
            <w:tcW w:w="0" w:type="auto"/>
            <w:tcBorders>
              <w:top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78 (46.2)</w:t>
            </w:r>
          </w:p>
        </w:tc>
        <w:tc>
          <w:tcPr>
            <w:tcW w:w="0" w:type="auto"/>
            <w:tcBorders>
              <w:top w:val="single" w:sz="4" w:space="0" w:color="auto"/>
            </w:tcBorders>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38 (46.3)</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90 (50.3)</w:t>
            </w:r>
          </w:p>
        </w:tc>
        <w:tc>
          <w:tcPr>
            <w:tcW w:w="0" w:type="auto"/>
            <w:tcBorders>
              <w:top w:val="single" w:sz="4" w:space="0" w:color="auto"/>
            </w:tcBorders>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61 (40.9)</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Female</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184 (51.4)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137 (57.6)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91 (53.8)</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44 (53.7)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89 (49.7)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88 (59.1)</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Age (years)</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&lt;70</w:t>
            </w:r>
          </w:p>
        </w:tc>
        <w:tc>
          <w:tcPr>
            <w:tcW w:w="0" w:type="auto"/>
          </w:tcPr>
          <w:p w:rsidR="00620CD1" w:rsidRPr="00DE3EA0" w:rsidRDefault="00620CD1" w:rsidP="00894F12">
            <w:pPr>
              <w:widowControl/>
              <w:jc w:val="left"/>
              <w:rPr>
                <w:rFonts w:ascii="Palatino Linotype" w:hAnsi="Palatino Linotype"/>
                <w:color w:val="000000"/>
                <w:sz w:val="20"/>
                <w:szCs w:val="20"/>
              </w:rPr>
            </w:pPr>
            <w:r w:rsidRPr="00DE3EA0">
              <w:rPr>
                <w:rFonts w:ascii="Palatino Linotype" w:hAnsi="Palatino Linotype"/>
                <w:color w:val="000000"/>
                <w:sz w:val="20"/>
                <w:szCs w:val="20"/>
              </w:rPr>
              <w:t>197 (55.0)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153 (64.3)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84 (49.7)</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41 (50)</w:t>
            </w:r>
          </w:p>
        </w:tc>
        <w:tc>
          <w:tcPr>
            <w:tcW w:w="0" w:type="auto"/>
          </w:tcPr>
          <w:p w:rsidR="00620CD1" w:rsidRPr="00DE3EA0" w:rsidRDefault="00620CD1" w:rsidP="00894F12">
            <w:pPr>
              <w:widowControl/>
              <w:jc w:val="left"/>
              <w:rPr>
                <w:rFonts w:ascii="Palatino Linotype" w:hAnsi="Palatino Linotype"/>
                <w:color w:val="000000"/>
                <w:sz w:val="20"/>
                <w:szCs w:val="20"/>
              </w:rPr>
            </w:pPr>
            <w:r w:rsidRPr="00DE3EA0">
              <w:rPr>
                <w:rFonts w:ascii="Palatino Linotype" w:hAnsi="Palatino Linotype"/>
                <w:color w:val="000000"/>
                <w:sz w:val="20"/>
                <w:szCs w:val="20"/>
              </w:rPr>
              <w:t>108 (60.3)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106 (71.1)</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color w:val="545454"/>
                <w:sz w:val="20"/>
                <w:szCs w:val="20"/>
                <w:shd w:val="clear" w:color="auto" w:fill="FFFFFF"/>
              </w:rPr>
              <w:t>≥70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161 (45.0)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85 (35.7)</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85 (50.3)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41 (50)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71 (39.7)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43 (28.9)</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Location</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RSCRC</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169 (47.2)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82 (34.5)</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NA</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LSCRC</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179 (50.0)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149 (62.6)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NA</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(2.8)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(2.9)</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NA</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NA</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TNM stages</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1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67 (18.7)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38 (16.1)</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28 (16.6)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17 (20.7)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37 (20.7)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21 (14.1)</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2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233 (65.1)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161 (67.6)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123 (72.8)</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53 (64.6)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103 (57.5)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104 (69.8)</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3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III</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51 (14.2)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34 (14.3)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15 (8.9)</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10 (12.2)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35 (19.6)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21 (14.1)</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4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IV</w:t>
            </w:r>
            <w:r w:rsidRPr="00DE3EA0">
              <w:rPr>
                <w:rFonts w:ascii="Palatino Linotype" w:hAnsi="Palatino Linotype"/>
                <w:sz w:val="20"/>
                <w:szCs w:val="20"/>
              </w:rPr>
              <w:fldChar w:fldCharType="end"/>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 (2.1)</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3 (1.8)</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 (2.4)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 (2.2)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(2.0)</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Histological types</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Adenocarcinoma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292 (81.6)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220 (92.4)</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133 (78.7)</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70 (85.4)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152 (84.9)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144 (96.6)</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Mucinous adenocarcinoma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56 (15.6)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17 (7.2)</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35 (20.7)</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12 (14.6)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20 (11.2)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 (3.4)</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 (2.8)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 (0.4)</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 (0.6)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0 (0.0)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(3.9)</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0 (0)</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Lymphatic invasion</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No</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194 (54.2)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130 (54.6)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96 (56.8)</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50 (61.0)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92 (51.4)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76 (51.0)</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Yes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137 (38.3)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75 (31.5)</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57 (33.7)</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22 (26.8)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76 (42.5)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50 (33.6)</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27 (7.5)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33 (13.9)</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16 (9.5)</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10 (12.2)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(6.1)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23 (15.4)</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Venous invasion</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No</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234 (65.4)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157 (66.0)</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113 (66.9)</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52 (63.4)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114 (63.7)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100 (67.1)</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Yes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77 (21.5)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48 (20.2)</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27 (16.0)</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22 (26.8)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47 (26.3)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(16.8)</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47 (13.1)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33 (13.8)</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29 (17.1)</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8 (9.8)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18 (10.0)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24 (16.1)</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Perineural invasion</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No</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83 (23.2)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84 (35.3)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40 (26.0)</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31 (37.8)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34 (19.0)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53 (35.6)</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Yes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29 (8.1)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29 (12.2)</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19 (11.2)</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11 (13.4)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8 (4.5)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18 (12.1)</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246 (68.7)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125 (52.5)</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106 (62.8)</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40 (48.8)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137 (76.5)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78 (52.3)</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MSI status</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MSS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283 (79.0)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222 (93.3)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109 (64.5)</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71 (86.6)</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169 (94.4)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144 (96.6)</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MSI</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68 (19.0)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 (4.6)</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58 (34.3)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8 (9.8)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6 (3.4)</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(2.0)</w:t>
            </w:r>
          </w:p>
        </w:tc>
      </w:tr>
      <w:tr w:rsidR="00620CD1" w:rsidRPr="00DE3EA0" w:rsidTr="00894F12">
        <w:tc>
          <w:tcPr>
            <w:tcW w:w="0" w:type="auto"/>
            <w:vMerge/>
          </w:tcPr>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 (2.0)</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 (2.1)</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 (1.2)</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3 (3.7)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 (1.7)</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 (1.3)</w:t>
            </w:r>
          </w:p>
        </w:tc>
      </w:tr>
      <w:tr w:rsidR="00620CD1" w:rsidRPr="00DE3EA0" w:rsidTr="00894F12">
        <w:tc>
          <w:tcPr>
            <w:tcW w:w="0" w:type="auto"/>
            <w:vMerge w:val="restart"/>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Recurrence</w:t>
            </w:r>
          </w:p>
          <w:p w:rsidR="00620CD1" w:rsidRPr="00DE3EA0" w:rsidRDefault="00620CD1" w:rsidP="00894F12">
            <w:pPr>
              <w:jc w:val="left"/>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No</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233 (65.1)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160 (67.2)</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115 (68.0)</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56 (68.3)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110 (61.5)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101 (67.8)</w:t>
            </w:r>
          </w:p>
        </w:tc>
      </w:tr>
      <w:tr w:rsidR="00620CD1" w:rsidRPr="00DE3EA0" w:rsidTr="00894F12">
        <w:tc>
          <w:tcPr>
            <w:tcW w:w="0" w:type="auto"/>
            <w:vMerge/>
          </w:tcPr>
          <w:p w:rsidR="00620CD1" w:rsidRPr="00DE3EA0" w:rsidRDefault="00620CD1" w:rsidP="00894F12">
            <w:pPr>
              <w:jc w:val="center"/>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Yes</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53 (14.8)</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53 (22.3)</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22 (13.0)</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19 (23.2)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29 (16.2)</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30 (20.1)</w:t>
            </w:r>
          </w:p>
        </w:tc>
      </w:tr>
      <w:tr w:rsidR="00620CD1" w:rsidRPr="00DE3EA0" w:rsidTr="00894F12">
        <w:tc>
          <w:tcPr>
            <w:tcW w:w="0" w:type="auto"/>
            <w:vMerge/>
          </w:tcPr>
          <w:p w:rsidR="00620CD1" w:rsidRPr="00DE3EA0" w:rsidRDefault="00620CD1" w:rsidP="00894F12">
            <w:pPr>
              <w:jc w:val="center"/>
              <w:rPr>
                <w:rFonts w:ascii="Palatino Linotype" w:hAnsi="Palatino Linotype"/>
                <w:sz w:val="20"/>
                <w:szCs w:val="20"/>
              </w:rPr>
            </w:pP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Missing data</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72 (20.1)</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25 (10.5)</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32 (19.0)</w:t>
            </w:r>
          </w:p>
        </w:tc>
        <w:tc>
          <w:tcPr>
            <w:tcW w:w="0" w:type="auto"/>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7 (8.5)</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40 (22.3)</w:t>
            </w:r>
          </w:p>
        </w:tc>
        <w:tc>
          <w:tcPr>
            <w:tcW w:w="0" w:type="auto"/>
          </w:tcPr>
          <w:p w:rsidR="00620CD1" w:rsidRPr="00DE3EA0" w:rsidRDefault="00620CD1" w:rsidP="00894F12">
            <w:pPr>
              <w:jc w:val="left"/>
              <w:rPr>
                <w:rFonts w:ascii="Palatino Linotype" w:hAnsi="Palatino Linotype"/>
                <w:color w:val="000000"/>
                <w:sz w:val="20"/>
                <w:szCs w:val="20"/>
              </w:rPr>
            </w:pPr>
            <w:r w:rsidRPr="00DE3EA0">
              <w:rPr>
                <w:rFonts w:ascii="Palatino Linotype" w:hAnsi="Palatino Linotype"/>
                <w:color w:val="000000"/>
                <w:sz w:val="20"/>
                <w:szCs w:val="20"/>
              </w:rPr>
              <w:t>18 (12.1)</w:t>
            </w:r>
          </w:p>
        </w:tc>
      </w:tr>
    </w:tbl>
    <w:p w:rsidR="00620CD1" w:rsidRPr="00DE3EA0" w:rsidRDefault="00620CD1" w:rsidP="00620CD1">
      <w:pPr>
        <w:rPr>
          <w:rFonts w:ascii="Palatino Linotype" w:hAnsi="Palatino Linotype"/>
          <w:sz w:val="20"/>
          <w:szCs w:val="20"/>
        </w:rPr>
      </w:pPr>
    </w:p>
    <w:p w:rsidR="00620CD1" w:rsidRPr="00DE3EA0" w:rsidRDefault="00620CD1" w:rsidP="00620CD1">
      <w:pPr>
        <w:spacing w:line="360" w:lineRule="auto"/>
        <w:rPr>
          <w:rFonts w:ascii="Palatino Linotype" w:hAnsi="Palatino Linotype"/>
          <w:sz w:val="20"/>
          <w:szCs w:val="20"/>
        </w:rPr>
      </w:pPr>
    </w:p>
    <w:p w:rsidR="00620CD1" w:rsidRPr="00DE3EA0" w:rsidRDefault="00620CD1" w:rsidP="00620CD1">
      <w:pPr>
        <w:rPr>
          <w:rFonts w:ascii="Palatino Linotype" w:hAnsi="Palatino Linotype"/>
          <w:sz w:val="20"/>
          <w:szCs w:val="20"/>
        </w:rPr>
      </w:pPr>
      <w:r w:rsidRPr="00DE3EA0">
        <w:rPr>
          <w:rFonts w:ascii="Palatino Linotype" w:hAnsi="Palatino Linotype"/>
          <w:b/>
          <w:sz w:val="20"/>
          <w:szCs w:val="20"/>
        </w:rPr>
        <w:t xml:space="preserve">Table </w:t>
      </w:r>
      <w:r w:rsidR="00637BE4" w:rsidRPr="00DE3EA0">
        <w:rPr>
          <w:rFonts w:ascii="Palatino Linotype" w:hAnsi="Palatino Linotype"/>
          <w:b/>
          <w:sz w:val="20"/>
          <w:szCs w:val="20"/>
        </w:rPr>
        <w:t>S</w:t>
      </w:r>
      <w:r w:rsidRPr="00DE3EA0">
        <w:rPr>
          <w:rFonts w:ascii="Palatino Linotype" w:hAnsi="Palatino Linotype"/>
          <w:b/>
          <w:sz w:val="20"/>
          <w:szCs w:val="20"/>
        </w:rPr>
        <w:t>3</w:t>
      </w:r>
      <w:r w:rsidRPr="00DE3EA0">
        <w:rPr>
          <w:rFonts w:ascii="Palatino Linotype" w:hAnsi="Palatino Linotype"/>
          <w:bCs/>
          <w:color w:val="000000"/>
          <w:kern w:val="0"/>
          <w:sz w:val="20"/>
          <w:szCs w:val="20"/>
        </w:rPr>
        <w:t>. M</w:t>
      </w:r>
      <w:r w:rsidRPr="00DE3EA0">
        <w:rPr>
          <w:rFonts w:ascii="Palatino Linotype" w:eastAsia="MingLiU" w:hAnsi="Palatino Linotype"/>
          <w:bCs/>
          <w:color w:val="000000"/>
          <w:kern w:val="0"/>
          <w:sz w:val="20"/>
          <w:szCs w:val="20"/>
        </w:rPr>
        <w:t>ultivariate analyses of MRE11 expression for overall survival in patients with primary LSCRC from cohort 2</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1251"/>
        <w:gridCol w:w="1251"/>
        <w:gridCol w:w="1094"/>
        <w:gridCol w:w="1190"/>
      </w:tblGrid>
      <w:tr w:rsidR="00620CD1" w:rsidRPr="00DE3EA0" w:rsidTr="00894F12">
        <w:trPr>
          <w:trHeight w:val="344"/>
          <w:jc w:val="center"/>
        </w:trPr>
        <w:tc>
          <w:tcPr>
            <w:tcW w:w="3435" w:type="dxa"/>
            <w:vMerge w:val="restart"/>
            <w:tcBorders>
              <w:top w:val="single" w:sz="8" w:space="0" w:color="auto"/>
              <w:bottom w:val="nil"/>
            </w:tcBorders>
          </w:tcPr>
          <w:p w:rsidR="00620CD1" w:rsidRPr="00DE3EA0" w:rsidRDefault="00620CD1" w:rsidP="00894F12">
            <w:pPr>
              <w:spacing w:line="480" w:lineRule="auto"/>
              <w:jc w:val="left"/>
              <w:rPr>
                <w:rFonts w:ascii="Palatino Linotype" w:hAnsi="Palatino Linotype"/>
                <w:sz w:val="20"/>
                <w:szCs w:val="20"/>
              </w:rPr>
            </w:pPr>
            <w:r w:rsidRPr="00DE3EA0">
              <w:rPr>
                <w:rFonts w:ascii="Palatino Linotype" w:hAnsi="Palatino Linotype"/>
                <w:sz w:val="20"/>
                <w:szCs w:val="20"/>
              </w:rPr>
              <w:t>Parameters</w:t>
            </w:r>
          </w:p>
        </w:tc>
        <w:tc>
          <w:tcPr>
            <w:tcW w:w="1251" w:type="dxa"/>
            <w:vMerge w:val="restart"/>
            <w:tcBorders>
              <w:top w:val="single" w:sz="8" w:space="0" w:color="auto"/>
              <w:bottom w:val="nil"/>
            </w:tcBorders>
          </w:tcPr>
          <w:p w:rsidR="00620CD1" w:rsidRPr="00DE3EA0" w:rsidRDefault="00620CD1" w:rsidP="00894F12">
            <w:pPr>
              <w:spacing w:line="480" w:lineRule="auto"/>
              <w:jc w:val="center"/>
              <w:rPr>
                <w:rFonts w:ascii="Palatino Linotype" w:hAnsi="Palatino Linotype"/>
                <w:i/>
                <w:sz w:val="20"/>
                <w:szCs w:val="20"/>
              </w:rPr>
            </w:pPr>
            <w:r w:rsidRPr="00DE3EA0">
              <w:rPr>
                <w:rFonts w:ascii="Palatino Linotype" w:hAnsi="Palatino Linotype"/>
                <w:i/>
                <w:sz w:val="20"/>
                <w:szCs w:val="20"/>
              </w:rPr>
              <w:t>P</w:t>
            </w:r>
          </w:p>
        </w:tc>
        <w:tc>
          <w:tcPr>
            <w:tcW w:w="1251" w:type="dxa"/>
            <w:vMerge w:val="restart"/>
            <w:tcBorders>
              <w:top w:val="single" w:sz="8" w:space="0" w:color="auto"/>
              <w:bottom w:val="nil"/>
            </w:tcBorders>
          </w:tcPr>
          <w:p w:rsidR="00620CD1" w:rsidRPr="00DE3EA0" w:rsidRDefault="00620CD1" w:rsidP="00894F12">
            <w:pPr>
              <w:spacing w:line="480" w:lineRule="auto"/>
              <w:jc w:val="center"/>
              <w:rPr>
                <w:rFonts w:ascii="Palatino Linotype" w:hAnsi="Palatino Linotype"/>
                <w:sz w:val="20"/>
                <w:szCs w:val="20"/>
              </w:rPr>
            </w:pPr>
            <w:r w:rsidRPr="00DE3EA0">
              <w:rPr>
                <w:rFonts w:ascii="Palatino Linotype" w:hAnsi="Palatino Linotype"/>
                <w:sz w:val="20"/>
                <w:szCs w:val="20"/>
              </w:rPr>
              <w:t>HR</w:t>
            </w:r>
          </w:p>
        </w:tc>
        <w:tc>
          <w:tcPr>
            <w:tcW w:w="2284" w:type="dxa"/>
            <w:gridSpan w:val="2"/>
            <w:tcBorders>
              <w:top w:val="single" w:sz="8" w:space="0" w:color="auto"/>
              <w:bottom w:val="single" w:sz="2"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95% CI</w:t>
            </w:r>
          </w:p>
        </w:tc>
      </w:tr>
      <w:tr w:rsidR="00620CD1" w:rsidRPr="00DE3EA0" w:rsidTr="00894F12">
        <w:trPr>
          <w:trHeight w:val="281"/>
          <w:jc w:val="center"/>
        </w:trPr>
        <w:tc>
          <w:tcPr>
            <w:tcW w:w="3435" w:type="dxa"/>
            <w:vMerge/>
            <w:tcBorders>
              <w:top w:val="nil"/>
              <w:bottom w:val="single" w:sz="2" w:space="0" w:color="auto"/>
            </w:tcBorders>
          </w:tcPr>
          <w:p w:rsidR="00620CD1" w:rsidRPr="00DE3EA0" w:rsidRDefault="00620CD1" w:rsidP="00894F12">
            <w:pPr>
              <w:jc w:val="center"/>
              <w:rPr>
                <w:rFonts w:ascii="Palatino Linotype" w:hAnsi="Palatino Linotype"/>
                <w:sz w:val="20"/>
                <w:szCs w:val="20"/>
              </w:rPr>
            </w:pPr>
          </w:p>
        </w:tc>
        <w:tc>
          <w:tcPr>
            <w:tcW w:w="1251" w:type="dxa"/>
            <w:vMerge/>
            <w:tcBorders>
              <w:top w:val="nil"/>
              <w:bottom w:val="single" w:sz="2" w:space="0" w:color="auto"/>
            </w:tcBorders>
          </w:tcPr>
          <w:p w:rsidR="00620CD1" w:rsidRPr="00DE3EA0" w:rsidRDefault="00620CD1" w:rsidP="00894F12">
            <w:pPr>
              <w:jc w:val="center"/>
              <w:rPr>
                <w:rFonts w:ascii="Palatino Linotype" w:hAnsi="Palatino Linotype"/>
                <w:sz w:val="20"/>
                <w:szCs w:val="20"/>
              </w:rPr>
            </w:pPr>
          </w:p>
        </w:tc>
        <w:tc>
          <w:tcPr>
            <w:tcW w:w="1251" w:type="dxa"/>
            <w:vMerge/>
            <w:tcBorders>
              <w:top w:val="nil"/>
              <w:bottom w:val="single" w:sz="2" w:space="0" w:color="auto"/>
            </w:tcBorders>
          </w:tcPr>
          <w:p w:rsidR="00620CD1" w:rsidRPr="00DE3EA0" w:rsidRDefault="00620CD1" w:rsidP="00894F12">
            <w:pPr>
              <w:jc w:val="center"/>
              <w:rPr>
                <w:rFonts w:ascii="Palatino Linotype" w:hAnsi="Palatino Linotype"/>
                <w:sz w:val="20"/>
                <w:szCs w:val="20"/>
              </w:rPr>
            </w:pPr>
          </w:p>
        </w:tc>
        <w:tc>
          <w:tcPr>
            <w:tcW w:w="1094" w:type="dxa"/>
            <w:tcBorders>
              <w:top w:val="single" w:sz="2" w:space="0" w:color="auto"/>
              <w:bottom w:val="single" w:sz="2"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Lower</w:t>
            </w:r>
          </w:p>
        </w:tc>
        <w:tc>
          <w:tcPr>
            <w:tcW w:w="1190" w:type="dxa"/>
            <w:tcBorders>
              <w:top w:val="single" w:sz="2" w:space="0" w:color="auto"/>
              <w:bottom w:val="single" w:sz="2"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Upper</w:t>
            </w:r>
          </w:p>
        </w:tc>
      </w:tr>
      <w:tr w:rsidR="00620CD1" w:rsidRPr="00DE3EA0" w:rsidTr="00894F12">
        <w:trPr>
          <w:trHeight w:val="325"/>
          <w:jc w:val="center"/>
        </w:trPr>
        <w:tc>
          <w:tcPr>
            <w:tcW w:w="3435" w:type="dxa"/>
          </w:tcPr>
          <w:p w:rsidR="00620CD1" w:rsidRPr="00DE3EA0" w:rsidRDefault="00620CD1" w:rsidP="00894F12">
            <w:pPr>
              <w:jc w:val="left"/>
              <w:rPr>
                <w:rFonts w:ascii="Palatino Linotype" w:hAnsi="Palatino Linotype"/>
                <w:sz w:val="20"/>
                <w:szCs w:val="20"/>
              </w:rPr>
            </w:pPr>
            <w:r w:rsidRPr="00DE3EA0">
              <w:rPr>
                <w:rFonts w:ascii="Palatino Linotype" w:eastAsia="FrutigerLTStd-Roman" w:hAnsi="Palatino Linotype"/>
                <w:kern w:val="0"/>
                <w:sz w:val="20"/>
                <w:szCs w:val="20"/>
              </w:rPr>
              <w:t xml:space="preserve">MRE11 expression (High </w:t>
            </w:r>
            <w:r w:rsidRPr="00DE3EA0">
              <w:rPr>
                <w:rFonts w:ascii="Palatino Linotype" w:eastAsia="FrutigerLTStd-Roman" w:hAnsi="Palatino Linotype"/>
                <w:i/>
                <w:kern w:val="0"/>
                <w:sz w:val="20"/>
                <w:szCs w:val="20"/>
              </w:rPr>
              <w:t>vs</w:t>
            </w:r>
            <w:r w:rsidRPr="00DE3EA0">
              <w:rPr>
                <w:rFonts w:ascii="Palatino Linotype" w:eastAsia="FrutigerLTStd-Roman" w:hAnsi="Palatino Linotype"/>
                <w:kern w:val="0"/>
                <w:sz w:val="20"/>
                <w:szCs w:val="20"/>
              </w:rPr>
              <w:t xml:space="preserve"> Low)</w:t>
            </w:r>
          </w:p>
        </w:tc>
        <w:tc>
          <w:tcPr>
            <w:tcW w:w="1251" w:type="dxa"/>
            <w:vAlign w:val="center"/>
          </w:tcPr>
          <w:p w:rsidR="00620CD1" w:rsidRPr="00DE3EA0" w:rsidRDefault="00620CD1" w:rsidP="00894F12">
            <w:pPr>
              <w:jc w:val="center"/>
              <w:rPr>
                <w:rFonts w:ascii="Palatino Linotype" w:eastAsia="MingLiU" w:hAnsi="Palatino Linotype"/>
                <w:color w:val="000000"/>
                <w:sz w:val="20"/>
                <w:szCs w:val="20"/>
              </w:rPr>
            </w:pPr>
            <w:r w:rsidRPr="00DE3EA0">
              <w:rPr>
                <w:rFonts w:ascii="Palatino Linotype" w:eastAsia="MingLiU" w:hAnsi="Palatino Linotype"/>
                <w:color w:val="000000"/>
                <w:sz w:val="20"/>
                <w:szCs w:val="20"/>
              </w:rPr>
              <w:t>0.007</w:t>
            </w:r>
          </w:p>
        </w:tc>
        <w:tc>
          <w:tcPr>
            <w:tcW w:w="1251"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0.46</w:t>
            </w:r>
          </w:p>
        </w:tc>
        <w:tc>
          <w:tcPr>
            <w:tcW w:w="1094"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0.26</w:t>
            </w:r>
          </w:p>
        </w:tc>
        <w:tc>
          <w:tcPr>
            <w:tcW w:w="1190"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0.81</w:t>
            </w:r>
          </w:p>
        </w:tc>
      </w:tr>
      <w:tr w:rsidR="00620CD1" w:rsidRPr="00DE3EA0" w:rsidTr="00894F12">
        <w:trPr>
          <w:trHeight w:val="207"/>
          <w:jc w:val="center"/>
        </w:trPr>
        <w:tc>
          <w:tcPr>
            <w:tcW w:w="3435" w:type="dxa"/>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TNM stage (</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1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w:t>
            </w:r>
            <w:r w:rsidRPr="00DE3EA0">
              <w:rPr>
                <w:rFonts w:ascii="Palatino Linotype" w:hAnsi="Palatino Linotype"/>
                <w:sz w:val="20"/>
                <w:szCs w:val="20"/>
              </w:rPr>
              <w:fldChar w:fldCharType="end"/>
            </w:r>
            <w:r w:rsidRPr="00DE3EA0">
              <w:rPr>
                <w:rFonts w:ascii="Palatino Linotype" w:hAnsi="Palatino Linotype"/>
                <w:sz w:val="20"/>
                <w:szCs w:val="20"/>
              </w:rPr>
              <w:t>/</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2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w:t>
            </w:r>
            <w:r w:rsidRPr="00DE3EA0">
              <w:rPr>
                <w:rFonts w:ascii="Palatino Linotype" w:hAnsi="Palatino Linotype"/>
                <w:sz w:val="20"/>
                <w:szCs w:val="20"/>
              </w:rPr>
              <w:fldChar w:fldCharType="end"/>
            </w:r>
            <w:r w:rsidRPr="00DE3EA0">
              <w:rPr>
                <w:rFonts w:ascii="Palatino Linotype" w:hAnsi="Palatino Linotype"/>
                <w:sz w:val="20"/>
                <w:szCs w:val="20"/>
              </w:rPr>
              <w:t xml:space="preserve"> </w:t>
            </w:r>
            <w:r w:rsidRPr="00DE3EA0">
              <w:rPr>
                <w:rFonts w:ascii="Palatino Linotype" w:hAnsi="Palatino Linotype"/>
                <w:i/>
                <w:sz w:val="20"/>
                <w:szCs w:val="20"/>
              </w:rPr>
              <w:t>vs</w:t>
            </w:r>
            <w:r w:rsidRPr="00DE3EA0">
              <w:rPr>
                <w:rFonts w:ascii="Palatino Linotype" w:hAnsi="Palatino Linotype"/>
                <w:sz w:val="20"/>
                <w:szCs w:val="20"/>
              </w:rPr>
              <w:t xml:space="preserve"> </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3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III</w:t>
            </w:r>
            <w:r w:rsidRPr="00DE3EA0">
              <w:rPr>
                <w:rFonts w:ascii="Palatino Linotype" w:hAnsi="Palatino Linotype"/>
                <w:sz w:val="20"/>
                <w:szCs w:val="20"/>
              </w:rPr>
              <w:fldChar w:fldCharType="end"/>
            </w:r>
            <w:r w:rsidRPr="00DE3EA0">
              <w:rPr>
                <w:rFonts w:ascii="Palatino Linotype" w:hAnsi="Palatino Linotype"/>
                <w:sz w:val="20"/>
                <w:szCs w:val="20"/>
              </w:rPr>
              <w:t>/</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4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IV</w:t>
            </w:r>
            <w:r w:rsidRPr="00DE3EA0">
              <w:rPr>
                <w:rFonts w:ascii="Palatino Linotype" w:hAnsi="Palatino Linotype"/>
                <w:sz w:val="20"/>
                <w:szCs w:val="20"/>
              </w:rPr>
              <w:fldChar w:fldCharType="end"/>
            </w:r>
            <w:r w:rsidRPr="00DE3EA0">
              <w:rPr>
                <w:rFonts w:ascii="Palatino Linotype" w:hAnsi="Palatino Linotype"/>
                <w:sz w:val="20"/>
                <w:szCs w:val="20"/>
              </w:rPr>
              <w:t>)</w:t>
            </w:r>
          </w:p>
        </w:tc>
        <w:tc>
          <w:tcPr>
            <w:tcW w:w="1251" w:type="dxa"/>
            <w:vAlign w:val="center"/>
          </w:tcPr>
          <w:p w:rsidR="00620CD1" w:rsidRPr="00DE3EA0" w:rsidRDefault="00620CD1" w:rsidP="00894F12">
            <w:pPr>
              <w:widowControl/>
              <w:jc w:val="center"/>
              <w:rPr>
                <w:rFonts w:ascii="Palatino Linotype" w:eastAsia="MingLiU" w:hAnsi="Palatino Linotype"/>
                <w:color w:val="000000"/>
                <w:sz w:val="20"/>
                <w:szCs w:val="20"/>
              </w:rPr>
            </w:pPr>
            <w:r w:rsidRPr="00DE3EA0">
              <w:rPr>
                <w:rFonts w:ascii="Palatino Linotype" w:eastAsia="MingLiU" w:hAnsi="Palatino Linotype"/>
                <w:color w:val="000000"/>
                <w:sz w:val="20"/>
                <w:szCs w:val="20"/>
              </w:rPr>
              <w:t>&lt; 0.001</w:t>
            </w:r>
          </w:p>
        </w:tc>
        <w:tc>
          <w:tcPr>
            <w:tcW w:w="1251" w:type="dxa"/>
            <w:vAlign w:val="center"/>
          </w:tcPr>
          <w:p w:rsidR="00620CD1" w:rsidRPr="00DE3EA0" w:rsidRDefault="00620CD1" w:rsidP="00894F12">
            <w:pPr>
              <w:widowControl/>
              <w:jc w:val="center"/>
              <w:rPr>
                <w:rFonts w:ascii="Palatino Linotype" w:hAnsi="Palatino Linotype"/>
                <w:color w:val="000000"/>
                <w:sz w:val="20"/>
                <w:szCs w:val="20"/>
              </w:rPr>
            </w:pPr>
            <w:r w:rsidRPr="00DE3EA0">
              <w:rPr>
                <w:rFonts w:ascii="Palatino Linotype" w:hAnsi="Palatino Linotype"/>
                <w:color w:val="000000"/>
                <w:sz w:val="20"/>
                <w:szCs w:val="20"/>
              </w:rPr>
              <w:t>0.27</w:t>
            </w:r>
          </w:p>
        </w:tc>
        <w:tc>
          <w:tcPr>
            <w:tcW w:w="1094"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0.15</w:t>
            </w:r>
          </w:p>
        </w:tc>
        <w:tc>
          <w:tcPr>
            <w:tcW w:w="1190"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0.50</w:t>
            </w:r>
          </w:p>
        </w:tc>
      </w:tr>
    </w:tbl>
    <w:p w:rsidR="00620CD1" w:rsidRPr="00DE3EA0" w:rsidRDefault="00620CD1" w:rsidP="00620CD1">
      <w:pPr>
        <w:jc w:val="center"/>
        <w:rPr>
          <w:rFonts w:ascii="Palatino Linotype" w:hAnsi="Palatino Linotype"/>
          <w:sz w:val="20"/>
          <w:szCs w:val="20"/>
        </w:rPr>
      </w:pPr>
    </w:p>
    <w:p w:rsidR="00620CD1" w:rsidRPr="00DE3EA0" w:rsidRDefault="00620CD1" w:rsidP="00620CD1">
      <w:pPr>
        <w:rPr>
          <w:rFonts w:ascii="Palatino Linotype" w:hAnsi="Palatino Linotype"/>
          <w:sz w:val="20"/>
          <w:szCs w:val="20"/>
        </w:rPr>
      </w:pPr>
      <w:r w:rsidRPr="00DE3EA0">
        <w:rPr>
          <w:rFonts w:ascii="Palatino Linotype" w:hAnsi="Palatino Linotype"/>
          <w:b/>
          <w:sz w:val="20"/>
          <w:szCs w:val="20"/>
        </w:rPr>
        <w:t xml:space="preserve">Table </w:t>
      </w:r>
      <w:r w:rsidR="00637BE4" w:rsidRPr="00DE3EA0">
        <w:rPr>
          <w:rFonts w:ascii="Palatino Linotype" w:hAnsi="Palatino Linotype"/>
          <w:b/>
          <w:sz w:val="20"/>
          <w:szCs w:val="20"/>
        </w:rPr>
        <w:t>S</w:t>
      </w:r>
      <w:r w:rsidRPr="00DE3EA0">
        <w:rPr>
          <w:rFonts w:ascii="Palatino Linotype" w:hAnsi="Palatino Linotype"/>
          <w:b/>
          <w:sz w:val="20"/>
          <w:szCs w:val="20"/>
        </w:rPr>
        <w:t>4</w:t>
      </w:r>
      <w:r w:rsidRPr="00DE3EA0">
        <w:rPr>
          <w:rFonts w:ascii="Palatino Linotype" w:hAnsi="Palatino Linotype"/>
          <w:b/>
          <w:bCs/>
          <w:color w:val="000000"/>
          <w:kern w:val="0"/>
          <w:sz w:val="20"/>
          <w:szCs w:val="20"/>
        </w:rPr>
        <w:t>.</w:t>
      </w:r>
      <w:r w:rsidRPr="00DE3EA0">
        <w:rPr>
          <w:rFonts w:ascii="Palatino Linotype" w:hAnsi="Palatino Linotype"/>
          <w:bCs/>
          <w:color w:val="000000"/>
          <w:kern w:val="0"/>
          <w:sz w:val="20"/>
          <w:szCs w:val="20"/>
        </w:rPr>
        <w:t xml:space="preserve"> </w:t>
      </w:r>
      <w:r w:rsidRPr="00DE3EA0">
        <w:rPr>
          <w:rFonts w:ascii="Palatino Linotype" w:eastAsia="MingLiU" w:hAnsi="Palatino Linotype"/>
          <w:bCs/>
          <w:color w:val="000000"/>
          <w:kern w:val="0"/>
          <w:sz w:val="20"/>
          <w:szCs w:val="20"/>
        </w:rPr>
        <w:t>Multivariate analyses of MRE11 expression for overall survival in LSCRC with MSS from cohort 2</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962"/>
        <w:gridCol w:w="945"/>
        <w:gridCol w:w="918"/>
        <w:gridCol w:w="1075"/>
      </w:tblGrid>
      <w:tr w:rsidR="00620CD1" w:rsidRPr="00DE3EA0" w:rsidTr="00894F12">
        <w:trPr>
          <w:trHeight w:val="178"/>
          <w:jc w:val="center"/>
        </w:trPr>
        <w:tc>
          <w:tcPr>
            <w:tcW w:w="4278" w:type="dxa"/>
            <w:vMerge w:val="restart"/>
            <w:tcBorders>
              <w:top w:val="single" w:sz="8" w:space="0" w:color="auto"/>
              <w:bottom w:val="nil"/>
            </w:tcBorders>
          </w:tcPr>
          <w:p w:rsidR="00620CD1" w:rsidRPr="00DE3EA0" w:rsidRDefault="00620CD1" w:rsidP="00894F12">
            <w:pPr>
              <w:spacing w:line="480" w:lineRule="auto"/>
              <w:jc w:val="left"/>
              <w:rPr>
                <w:rFonts w:ascii="Palatino Linotype" w:hAnsi="Palatino Linotype"/>
                <w:sz w:val="20"/>
                <w:szCs w:val="20"/>
              </w:rPr>
            </w:pPr>
            <w:r w:rsidRPr="00DE3EA0">
              <w:rPr>
                <w:rFonts w:ascii="Palatino Linotype" w:hAnsi="Palatino Linotype"/>
                <w:sz w:val="20"/>
                <w:szCs w:val="20"/>
              </w:rPr>
              <w:t>Parameters</w:t>
            </w:r>
          </w:p>
        </w:tc>
        <w:tc>
          <w:tcPr>
            <w:tcW w:w="962" w:type="dxa"/>
            <w:vMerge w:val="restart"/>
            <w:tcBorders>
              <w:top w:val="single" w:sz="8" w:space="0" w:color="auto"/>
              <w:bottom w:val="nil"/>
            </w:tcBorders>
          </w:tcPr>
          <w:p w:rsidR="00620CD1" w:rsidRPr="00DE3EA0" w:rsidRDefault="00620CD1" w:rsidP="00894F12">
            <w:pPr>
              <w:spacing w:line="480" w:lineRule="auto"/>
              <w:jc w:val="center"/>
              <w:rPr>
                <w:rFonts w:ascii="Palatino Linotype" w:hAnsi="Palatino Linotype"/>
                <w:i/>
                <w:sz w:val="20"/>
                <w:szCs w:val="20"/>
              </w:rPr>
            </w:pPr>
            <w:r w:rsidRPr="00DE3EA0">
              <w:rPr>
                <w:rFonts w:ascii="Palatino Linotype" w:hAnsi="Palatino Linotype"/>
                <w:i/>
                <w:sz w:val="20"/>
                <w:szCs w:val="20"/>
              </w:rPr>
              <w:t>P</w:t>
            </w:r>
          </w:p>
        </w:tc>
        <w:tc>
          <w:tcPr>
            <w:tcW w:w="945" w:type="dxa"/>
            <w:vMerge w:val="restart"/>
            <w:tcBorders>
              <w:top w:val="single" w:sz="8" w:space="0" w:color="auto"/>
              <w:bottom w:val="nil"/>
            </w:tcBorders>
          </w:tcPr>
          <w:p w:rsidR="00620CD1" w:rsidRPr="00DE3EA0" w:rsidRDefault="00620CD1" w:rsidP="00894F12">
            <w:pPr>
              <w:spacing w:line="480" w:lineRule="auto"/>
              <w:jc w:val="center"/>
              <w:rPr>
                <w:rFonts w:ascii="Palatino Linotype" w:hAnsi="Palatino Linotype"/>
                <w:sz w:val="20"/>
                <w:szCs w:val="20"/>
              </w:rPr>
            </w:pPr>
            <w:r w:rsidRPr="00DE3EA0">
              <w:rPr>
                <w:rFonts w:ascii="Palatino Linotype" w:hAnsi="Palatino Linotype"/>
                <w:sz w:val="20"/>
                <w:szCs w:val="20"/>
              </w:rPr>
              <w:t>HR</w:t>
            </w:r>
          </w:p>
        </w:tc>
        <w:tc>
          <w:tcPr>
            <w:tcW w:w="1993" w:type="dxa"/>
            <w:gridSpan w:val="2"/>
            <w:tcBorders>
              <w:top w:val="single" w:sz="8" w:space="0" w:color="auto"/>
              <w:bottom w:val="single" w:sz="2"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95% CI</w:t>
            </w:r>
          </w:p>
        </w:tc>
      </w:tr>
      <w:tr w:rsidR="00620CD1" w:rsidRPr="00DE3EA0" w:rsidTr="00894F12">
        <w:trPr>
          <w:trHeight w:val="141"/>
          <w:jc w:val="center"/>
        </w:trPr>
        <w:tc>
          <w:tcPr>
            <w:tcW w:w="4278" w:type="dxa"/>
            <w:vMerge/>
            <w:tcBorders>
              <w:top w:val="nil"/>
              <w:bottom w:val="single" w:sz="2" w:space="0" w:color="auto"/>
            </w:tcBorders>
          </w:tcPr>
          <w:p w:rsidR="00620CD1" w:rsidRPr="00DE3EA0" w:rsidRDefault="00620CD1" w:rsidP="00894F12">
            <w:pPr>
              <w:jc w:val="left"/>
              <w:rPr>
                <w:rFonts w:ascii="Palatino Linotype" w:hAnsi="Palatino Linotype"/>
                <w:sz w:val="20"/>
                <w:szCs w:val="20"/>
              </w:rPr>
            </w:pPr>
          </w:p>
        </w:tc>
        <w:tc>
          <w:tcPr>
            <w:tcW w:w="962" w:type="dxa"/>
            <w:vMerge/>
            <w:tcBorders>
              <w:top w:val="nil"/>
              <w:bottom w:val="single" w:sz="2" w:space="0" w:color="auto"/>
            </w:tcBorders>
          </w:tcPr>
          <w:p w:rsidR="00620CD1" w:rsidRPr="00DE3EA0" w:rsidRDefault="00620CD1" w:rsidP="00894F12">
            <w:pPr>
              <w:jc w:val="center"/>
              <w:rPr>
                <w:rFonts w:ascii="Palatino Linotype" w:hAnsi="Palatino Linotype"/>
                <w:sz w:val="20"/>
                <w:szCs w:val="20"/>
              </w:rPr>
            </w:pPr>
          </w:p>
        </w:tc>
        <w:tc>
          <w:tcPr>
            <w:tcW w:w="945" w:type="dxa"/>
            <w:vMerge/>
            <w:tcBorders>
              <w:top w:val="nil"/>
              <w:bottom w:val="single" w:sz="2" w:space="0" w:color="auto"/>
            </w:tcBorders>
          </w:tcPr>
          <w:p w:rsidR="00620CD1" w:rsidRPr="00DE3EA0" w:rsidRDefault="00620CD1" w:rsidP="00894F12">
            <w:pPr>
              <w:jc w:val="center"/>
              <w:rPr>
                <w:rFonts w:ascii="Palatino Linotype" w:hAnsi="Palatino Linotype"/>
                <w:sz w:val="20"/>
                <w:szCs w:val="20"/>
              </w:rPr>
            </w:pPr>
          </w:p>
        </w:tc>
        <w:tc>
          <w:tcPr>
            <w:tcW w:w="918" w:type="dxa"/>
            <w:tcBorders>
              <w:top w:val="single" w:sz="2" w:space="0" w:color="auto"/>
              <w:bottom w:val="single" w:sz="2"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Lower</w:t>
            </w:r>
          </w:p>
        </w:tc>
        <w:tc>
          <w:tcPr>
            <w:tcW w:w="1075" w:type="dxa"/>
            <w:tcBorders>
              <w:top w:val="single" w:sz="2" w:space="0" w:color="auto"/>
              <w:bottom w:val="single" w:sz="2" w:space="0" w:color="auto"/>
            </w:tcBorders>
          </w:tcPr>
          <w:p w:rsidR="00620CD1" w:rsidRPr="00DE3EA0" w:rsidRDefault="00620CD1" w:rsidP="00894F12">
            <w:pPr>
              <w:jc w:val="center"/>
              <w:rPr>
                <w:rFonts w:ascii="Palatino Linotype" w:hAnsi="Palatino Linotype"/>
                <w:sz w:val="20"/>
                <w:szCs w:val="20"/>
              </w:rPr>
            </w:pPr>
            <w:r w:rsidRPr="00DE3EA0">
              <w:rPr>
                <w:rFonts w:ascii="Palatino Linotype" w:hAnsi="Palatino Linotype"/>
                <w:sz w:val="20"/>
                <w:szCs w:val="20"/>
              </w:rPr>
              <w:t>Upper</w:t>
            </w:r>
          </w:p>
        </w:tc>
      </w:tr>
      <w:tr w:rsidR="00620CD1" w:rsidRPr="00DE3EA0" w:rsidTr="00894F12">
        <w:trPr>
          <w:trHeight w:val="247"/>
          <w:jc w:val="center"/>
        </w:trPr>
        <w:tc>
          <w:tcPr>
            <w:tcW w:w="4278" w:type="dxa"/>
          </w:tcPr>
          <w:p w:rsidR="00620CD1" w:rsidRPr="00DE3EA0" w:rsidRDefault="00620CD1" w:rsidP="00894F12">
            <w:pPr>
              <w:jc w:val="left"/>
              <w:rPr>
                <w:rFonts w:ascii="Palatino Linotype" w:hAnsi="Palatino Linotype"/>
                <w:sz w:val="20"/>
                <w:szCs w:val="20"/>
              </w:rPr>
            </w:pPr>
            <w:r w:rsidRPr="00DE3EA0">
              <w:rPr>
                <w:rFonts w:ascii="Palatino Linotype" w:eastAsia="FrutigerLTStd-Roman" w:hAnsi="Palatino Linotype"/>
                <w:kern w:val="0"/>
                <w:sz w:val="20"/>
                <w:szCs w:val="20"/>
              </w:rPr>
              <w:t xml:space="preserve">MRE11 expression (High </w:t>
            </w:r>
            <w:r w:rsidRPr="00DE3EA0">
              <w:rPr>
                <w:rFonts w:ascii="Palatino Linotype" w:eastAsia="FrutigerLTStd-Roman" w:hAnsi="Palatino Linotype"/>
                <w:i/>
                <w:kern w:val="0"/>
                <w:sz w:val="20"/>
                <w:szCs w:val="20"/>
              </w:rPr>
              <w:t>vs</w:t>
            </w:r>
            <w:r w:rsidRPr="00DE3EA0">
              <w:rPr>
                <w:rFonts w:ascii="Palatino Linotype" w:eastAsia="FrutigerLTStd-Roman" w:hAnsi="Palatino Linotype"/>
                <w:kern w:val="0"/>
                <w:sz w:val="20"/>
                <w:szCs w:val="20"/>
              </w:rPr>
              <w:t xml:space="preserve"> Low)</w:t>
            </w:r>
          </w:p>
        </w:tc>
        <w:tc>
          <w:tcPr>
            <w:tcW w:w="962" w:type="dxa"/>
            <w:vAlign w:val="center"/>
          </w:tcPr>
          <w:p w:rsidR="00620CD1" w:rsidRPr="00DE3EA0" w:rsidRDefault="00620CD1" w:rsidP="00894F12">
            <w:pPr>
              <w:jc w:val="center"/>
              <w:rPr>
                <w:rFonts w:ascii="Palatino Linotype" w:eastAsia="MingLiU" w:hAnsi="Palatino Linotype"/>
                <w:color w:val="000000"/>
                <w:sz w:val="20"/>
                <w:szCs w:val="20"/>
              </w:rPr>
            </w:pPr>
            <w:r w:rsidRPr="00DE3EA0">
              <w:rPr>
                <w:rFonts w:ascii="Palatino Linotype" w:eastAsia="MingLiU" w:hAnsi="Palatino Linotype"/>
                <w:color w:val="000000"/>
                <w:sz w:val="20"/>
                <w:szCs w:val="20"/>
              </w:rPr>
              <w:t>0.003</w:t>
            </w:r>
          </w:p>
        </w:tc>
        <w:tc>
          <w:tcPr>
            <w:tcW w:w="945"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0.41</w:t>
            </w:r>
          </w:p>
        </w:tc>
        <w:tc>
          <w:tcPr>
            <w:tcW w:w="918"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0.23</w:t>
            </w:r>
          </w:p>
        </w:tc>
        <w:tc>
          <w:tcPr>
            <w:tcW w:w="1075"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0.74</w:t>
            </w:r>
          </w:p>
        </w:tc>
      </w:tr>
      <w:tr w:rsidR="00620CD1" w:rsidRPr="00DE3EA0" w:rsidTr="00894F12">
        <w:trPr>
          <w:trHeight w:val="247"/>
          <w:jc w:val="center"/>
        </w:trPr>
        <w:tc>
          <w:tcPr>
            <w:tcW w:w="4278" w:type="dxa"/>
          </w:tcPr>
          <w:p w:rsidR="00620CD1" w:rsidRPr="00DE3EA0" w:rsidRDefault="00620CD1" w:rsidP="00894F12">
            <w:pPr>
              <w:jc w:val="left"/>
              <w:rPr>
                <w:rFonts w:ascii="Palatino Linotype" w:hAnsi="Palatino Linotype"/>
                <w:sz w:val="20"/>
                <w:szCs w:val="20"/>
              </w:rPr>
            </w:pPr>
            <w:r w:rsidRPr="00DE3EA0">
              <w:rPr>
                <w:rFonts w:ascii="Palatino Linotype" w:hAnsi="Palatino Linotype"/>
                <w:sz w:val="20"/>
                <w:szCs w:val="20"/>
              </w:rPr>
              <w:t>TNM stage (</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1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w:t>
            </w:r>
            <w:r w:rsidRPr="00DE3EA0">
              <w:rPr>
                <w:rFonts w:ascii="Palatino Linotype" w:hAnsi="Palatino Linotype"/>
                <w:sz w:val="20"/>
                <w:szCs w:val="20"/>
              </w:rPr>
              <w:fldChar w:fldCharType="end"/>
            </w:r>
            <w:r w:rsidRPr="00DE3EA0">
              <w:rPr>
                <w:rFonts w:ascii="Palatino Linotype" w:hAnsi="Palatino Linotype"/>
                <w:sz w:val="20"/>
                <w:szCs w:val="20"/>
              </w:rPr>
              <w:t>/</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2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w:t>
            </w:r>
            <w:r w:rsidRPr="00DE3EA0">
              <w:rPr>
                <w:rFonts w:ascii="Palatino Linotype" w:hAnsi="Palatino Linotype"/>
                <w:sz w:val="20"/>
                <w:szCs w:val="20"/>
              </w:rPr>
              <w:fldChar w:fldCharType="end"/>
            </w:r>
            <w:r w:rsidRPr="00DE3EA0">
              <w:rPr>
                <w:rFonts w:ascii="Palatino Linotype" w:hAnsi="Palatino Linotype"/>
                <w:sz w:val="20"/>
                <w:szCs w:val="20"/>
              </w:rPr>
              <w:t xml:space="preserve"> </w:t>
            </w:r>
            <w:r w:rsidRPr="00DE3EA0">
              <w:rPr>
                <w:rFonts w:ascii="Palatino Linotype" w:hAnsi="Palatino Linotype"/>
                <w:i/>
                <w:sz w:val="20"/>
                <w:szCs w:val="20"/>
              </w:rPr>
              <w:t>vs</w:t>
            </w:r>
            <w:r w:rsidRPr="00DE3EA0">
              <w:rPr>
                <w:rFonts w:ascii="Palatino Linotype" w:hAnsi="Palatino Linotype"/>
                <w:sz w:val="20"/>
                <w:szCs w:val="20"/>
              </w:rPr>
              <w:t xml:space="preserve"> </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3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III</w:t>
            </w:r>
            <w:r w:rsidRPr="00DE3EA0">
              <w:rPr>
                <w:rFonts w:ascii="Palatino Linotype" w:hAnsi="Palatino Linotype"/>
                <w:sz w:val="20"/>
                <w:szCs w:val="20"/>
              </w:rPr>
              <w:fldChar w:fldCharType="end"/>
            </w:r>
            <w:r w:rsidRPr="00DE3EA0">
              <w:rPr>
                <w:rFonts w:ascii="Palatino Linotype" w:hAnsi="Palatino Linotype"/>
                <w:sz w:val="20"/>
                <w:szCs w:val="20"/>
              </w:rPr>
              <w:t>/</w:t>
            </w:r>
            <w:r w:rsidRPr="00DE3EA0">
              <w:rPr>
                <w:rFonts w:ascii="Palatino Linotype" w:hAnsi="Palatino Linotype"/>
                <w:sz w:val="20"/>
                <w:szCs w:val="20"/>
              </w:rPr>
              <w:fldChar w:fldCharType="begin"/>
            </w:r>
            <w:r w:rsidRPr="00DE3EA0">
              <w:rPr>
                <w:rFonts w:ascii="Palatino Linotype" w:hAnsi="Palatino Linotype"/>
                <w:sz w:val="20"/>
                <w:szCs w:val="20"/>
              </w:rPr>
              <w:instrText xml:space="preserve"> = 4 \* ROMAN </w:instrText>
            </w:r>
            <w:r w:rsidRPr="00DE3EA0">
              <w:rPr>
                <w:rFonts w:ascii="Palatino Linotype" w:hAnsi="Palatino Linotype"/>
                <w:sz w:val="20"/>
                <w:szCs w:val="20"/>
              </w:rPr>
              <w:fldChar w:fldCharType="separate"/>
            </w:r>
            <w:r w:rsidRPr="00DE3EA0">
              <w:rPr>
                <w:rFonts w:ascii="Palatino Linotype" w:hAnsi="Palatino Linotype"/>
                <w:noProof/>
                <w:sz w:val="20"/>
                <w:szCs w:val="20"/>
              </w:rPr>
              <w:t>IV</w:t>
            </w:r>
            <w:r w:rsidRPr="00DE3EA0">
              <w:rPr>
                <w:rFonts w:ascii="Palatino Linotype" w:hAnsi="Palatino Linotype"/>
                <w:sz w:val="20"/>
                <w:szCs w:val="20"/>
              </w:rPr>
              <w:fldChar w:fldCharType="end"/>
            </w:r>
            <w:r w:rsidRPr="00DE3EA0">
              <w:rPr>
                <w:rFonts w:ascii="Palatino Linotype" w:hAnsi="Palatino Linotype"/>
                <w:sz w:val="20"/>
                <w:szCs w:val="20"/>
              </w:rPr>
              <w:t>)</w:t>
            </w:r>
          </w:p>
        </w:tc>
        <w:tc>
          <w:tcPr>
            <w:tcW w:w="962" w:type="dxa"/>
            <w:vAlign w:val="center"/>
          </w:tcPr>
          <w:p w:rsidR="00620CD1" w:rsidRPr="00DE3EA0" w:rsidRDefault="00620CD1" w:rsidP="00894F12">
            <w:pPr>
              <w:jc w:val="center"/>
              <w:rPr>
                <w:rFonts w:ascii="Palatino Linotype" w:eastAsia="MingLiU" w:hAnsi="Palatino Linotype"/>
                <w:color w:val="000000"/>
                <w:sz w:val="20"/>
                <w:szCs w:val="20"/>
              </w:rPr>
            </w:pPr>
            <w:r w:rsidRPr="00DE3EA0">
              <w:rPr>
                <w:rFonts w:ascii="Palatino Linotype" w:eastAsia="MingLiU" w:hAnsi="Palatino Linotype"/>
                <w:color w:val="000000"/>
                <w:sz w:val="20"/>
                <w:szCs w:val="20"/>
              </w:rPr>
              <w:t>&lt; 0.001</w:t>
            </w:r>
          </w:p>
        </w:tc>
        <w:tc>
          <w:tcPr>
            <w:tcW w:w="945" w:type="dxa"/>
            <w:vAlign w:val="center"/>
          </w:tcPr>
          <w:p w:rsidR="00620CD1" w:rsidRPr="00DE3EA0" w:rsidRDefault="00620CD1" w:rsidP="00894F12">
            <w:pPr>
              <w:widowControl/>
              <w:jc w:val="center"/>
              <w:rPr>
                <w:rFonts w:ascii="Palatino Linotype" w:hAnsi="Palatino Linotype"/>
                <w:color w:val="000000"/>
                <w:sz w:val="20"/>
                <w:szCs w:val="20"/>
              </w:rPr>
            </w:pPr>
            <w:r w:rsidRPr="00DE3EA0">
              <w:rPr>
                <w:rFonts w:ascii="Palatino Linotype" w:hAnsi="Palatino Linotype"/>
                <w:color w:val="000000"/>
                <w:sz w:val="20"/>
                <w:szCs w:val="20"/>
              </w:rPr>
              <w:t>0.25</w:t>
            </w:r>
          </w:p>
        </w:tc>
        <w:tc>
          <w:tcPr>
            <w:tcW w:w="918"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0.13</w:t>
            </w:r>
          </w:p>
        </w:tc>
        <w:tc>
          <w:tcPr>
            <w:tcW w:w="1075" w:type="dxa"/>
            <w:vAlign w:val="center"/>
          </w:tcPr>
          <w:p w:rsidR="00620CD1" w:rsidRPr="00DE3EA0" w:rsidRDefault="00620CD1" w:rsidP="00894F12">
            <w:pPr>
              <w:jc w:val="center"/>
              <w:rPr>
                <w:rFonts w:ascii="Palatino Linotype" w:hAnsi="Palatino Linotype"/>
                <w:color w:val="000000"/>
                <w:sz w:val="20"/>
                <w:szCs w:val="20"/>
              </w:rPr>
            </w:pPr>
            <w:r w:rsidRPr="00DE3EA0">
              <w:rPr>
                <w:rFonts w:ascii="Palatino Linotype" w:hAnsi="Palatino Linotype"/>
                <w:color w:val="000000"/>
                <w:sz w:val="20"/>
                <w:szCs w:val="20"/>
              </w:rPr>
              <w:t>0.47</w:t>
            </w:r>
          </w:p>
        </w:tc>
      </w:tr>
    </w:tbl>
    <w:p w:rsidR="00620CD1" w:rsidRPr="00DE3EA0" w:rsidRDefault="00620CD1" w:rsidP="00620CD1">
      <w:pPr>
        <w:spacing w:line="360" w:lineRule="auto"/>
        <w:rPr>
          <w:rFonts w:ascii="Palatino Linotype" w:hAnsi="Palatino Linotype"/>
          <w:sz w:val="20"/>
          <w:szCs w:val="20"/>
        </w:rPr>
      </w:pPr>
    </w:p>
    <w:p w:rsidR="00620CD1" w:rsidRPr="00DE3EA0" w:rsidRDefault="00620CD1" w:rsidP="00620CD1">
      <w:pPr>
        <w:spacing w:line="360" w:lineRule="auto"/>
        <w:rPr>
          <w:rFonts w:ascii="Palatino Linotype" w:hAnsi="Palatino Linotype"/>
          <w:sz w:val="20"/>
          <w:szCs w:val="20"/>
        </w:rPr>
      </w:pPr>
      <w:r w:rsidRPr="00DE3EA0">
        <w:rPr>
          <w:rFonts w:ascii="Palatino Linotype" w:hAnsi="Palatino Linotype"/>
          <w:b/>
          <w:sz w:val="20"/>
          <w:szCs w:val="20"/>
        </w:rPr>
        <w:t xml:space="preserve">Table </w:t>
      </w:r>
      <w:r w:rsidR="00637BE4" w:rsidRPr="00DE3EA0">
        <w:rPr>
          <w:rFonts w:ascii="Palatino Linotype" w:hAnsi="Palatino Linotype"/>
          <w:b/>
          <w:sz w:val="20"/>
          <w:szCs w:val="20"/>
        </w:rPr>
        <w:t>S</w:t>
      </w:r>
      <w:r w:rsidRPr="00DE3EA0">
        <w:rPr>
          <w:rFonts w:ascii="Palatino Linotype" w:hAnsi="Palatino Linotype"/>
          <w:b/>
          <w:sz w:val="20"/>
          <w:szCs w:val="20"/>
        </w:rPr>
        <w:t xml:space="preserve">5. </w:t>
      </w:r>
      <w:r w:rsidRPr="00DE3EA0">
        <w:rPr>
          <w:rFonts w:ascii="Palatino Linotype" w:hAnsi="Palatino Linotype"/>
          <w:sz w:val="20"/>
          <w:szCs w:val="20"/>
        </w:rPr>
        <w:t>ClueGO-CluePedia functional analysis of red module from cohort 2.</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1277"/>
        <w:gridCol w:w="1419"/>
        <w:gridCol w:w="1136"/>
        <w:gridCol w:w="3201"/>
      </w:tblGrid>
      <w:tr w:rsidR="00620CD1" w:rsidRPr="00DE3EA0" w:rsidTr="00894F12">
        <w:trPr>
          <w:trHeight w:val="288"/>
        </w:trPr>
        <w:tc>
          <w:tcPr>
            <w:tcW w:w="766"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GO Functional Groups</w:t>
            </w:r>
          </w:p>
        </w:tc>
        <w:tc>
          <w:tcPr>
            <w:tcW w:w="769"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Group </w:t>
            </w:r>
            <w:r w:rsidRPr="00DE3EA0">
              <w:rPr>
                <w:rFonts w:ascii="Palatino Linotype" w:hAnsi="Palatino Linotype"/>
                <w:i/>
                <w:color w:val="000000"/>
                <w:kern w:val="0"/>
                <w:sz w:val="20"/>
                <w:szCs w:val="20"/>
              </w:rPr>
              <w:t xml:space="preserve">P </w:t>
            </w:r>
            <w:r w:rsidRPr="00DE3EA0">
              <w:rPr>
                <w:rFonts w:ascii="Palatino Linotype" w:hAnsi="Palatino Linotype"/>
                <w:color w:val="000000"/>
                <w:kern w:val="0"/>
                <w:sz w:val="20"/>
                <w:szCs w:val="20"/>
              </w:rPr>
              <w:t xml:space="preserve">Value </w:t>
            </w:r>
          </w:p>
        </w:tc>
        <w:tc>
          <w:tcPr>
            <w:tcW w:w="854"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GO Term</w:t>
            </w:r>
          </w:p>
        </w:tc>
        <w:tc>
          <w:tcPr>
            <w:tcW w:w="684"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Term </w:t>
            </w:r>
            <w:r w:rsidRPr="00DE3EA0">
              <w:rPr>
                <w:rFonts w:ascii="Palatino Linotype" w:hAnsi="Palatino Linotype"/>
                <w:i/>
                <w:color w:val="000000"/>
                <w:kern w:val="0"/>
                <w:sz w:val="20"/>
                <w:szCs w:val="20"/>
              </w:rPr>
              <w:t>P</w:t>
            </w:r>
            <w:r w:rsidRPr="00DE3EA0">
              <w:rPr>
                <w:rFonts w:ascii="Palatino Linotype" w:hAnsi="Palatino Linotype"/>
                <w:color w:val="000000"/>
                <w:kern w:val="0"/>
                <w:sz w:val="20"/>
                <w:szCs w:val="20"/>
              </w:rPr>
              <w:t xml:space="preserve"> Value </w:t>
            </w:r>
          </w:p>
        </w:tc>
        <w:tc>
          <w:tcPr>
            <w:tcW w:w="1927"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Associated Genes Found</w:t>
            </w:r>
          </w:p>
        </w:tc>
      </w:tr>
      <w:tr w:rsidR="00620CD1" w:rsidRPr="00DE3EA0" w:rsidTr="00894F12">
        <w:trPr>
          <w:trHeight w:val="288"/>
        </w:trPr>
        <w:tc>
          <w:tcPr>
            <w:tcW w:w="766" w:type="pct"/>
            <w:tcBorders>
              <w:top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tcBorders>
              <w:top w:val="single" w:sz="4" w:space="0" w:color="auto"/>
            </w:tcBorders>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tcBorders>
              <w:top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684" w:type="pct"/>
            <w:tcBorders>
              <w:top w:val="single" w:sz="4" w:space="0" w:color="auto"/>
            </w:tcBorders>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7.26E-17</w:t>
            </w:r>
          </w:p>
        </w:tc>
        <w:tc>
          <w:tcPr>
            <w:tcW w:w="1927" w:type="pct"/>
            <w:tcBorders>
              <w:top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[ANLN, ASPM, ATAD5, AUNIP, AURKA, BLM, BRCA1, BRCA2, BRIP1, BUB1, CCNA2, CDC25C, </w:t>
            </w:r>
            <w:r w:rsidRPr="00DE3EA0">
              <w:rPr>
                <w:rFonts w:ascii="Palatino Linotype" w:hAnsi="Palatino Linotype"/>
                <w:color w:val="000000"/>
                <w:kern w:val="0"/>
                <w:sz w:val="20"/>
                <w:szCs w:val="20"/>
              </w:rPr>
              <w:lastRenderedPageBreak/>
              <w:t>CDC6, CDCA5, CDK1, CDKN3, CENPA, CENPE, CENPF, CEP55, CHEK1, CKAP2, CLSPN, DEPDC1B, DONSON, DSCC1, DTL, E2F7, ECT2, EZH2, FANCD2, FZD3, HSP90AB1, INTS13, KIF14, KIF18A, KIF23, KIF2C, KIF4A, KNTC1, MAD2L1, MKI67, NCAPG, NCAPH, NEK2, NUSAP1, POLR1B, PRKDC, PTK2B, RACGAP1, SGO1, SPC25, STIL, TMEM67, TOM1L2, TPX2, TRIP13, UBE2C,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cell cycle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1.01E-16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[ANLN, BLM, BRCA2, BRIP1, CCNA2, CDC25C, CDC6, CDCA5, CDK1, CENPA, CENPE, CENPF, CEP55, CHEK1, CKAP2, CLSPN, DONSON, DSCC1, DTL, E2F7, ECT2, FANCD2, INTS13, KIF14, KIF18A, KIF23, KIF2C, KIF4A, KNTC1, MAD2L1, MKI67, NCAPG, NCAPH, NEK2, NUSAP1, POLR1B, PRKDC, PTK2B, RACGAP1, SGO1, SPC25, STIL, TOM1L2, TPX2,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2.99E-16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[ANLN, BLM, BRCA2, BRIP1, CCNA2, CDC25C, CDC6, CDCA5, CDK1, CENPA, CENPE, CENPF, CEP55, CHEK1, CKAP2, CLSPN, DONSON, DSCC1, DTL, E2F7, ECT2, FANCD2, INTS13, KIF14, KIF18A, KIF23, KIF2C, KIF4A, KNTC1, MAD2L1, MKI67, NCAPG, NCAPH, NEK2, NUSAP1, POLR1B, PRKDC, PTK2B, RACGAP1, SGO1, SKA1, SKA3, SPC25, STIL, TOM1L2, TPX2, TRIP13, UBE2C,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nuclear division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5.03E-08</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[CDC6, CDCA5, CENPE, CHEK1, DSCC1, KIF14, KIF18A, KIF23, KIF2C, KIF4A, MAD2L1, MKI67, NCAPG, NCAPH, NEK2, </w:t>
            </w:r>
            <w:r w:rsidRPr="00DE3EA0">
              <w:rPr>
                <w:rFonts w:ascii="Palatino Linotype" w:hAnsi="Palatino Linotype"/>
                <w:color w:val="000000"/>
                <w:kern w:val="0"/>
                <w:sz w:val="20"/>
                <w:szCs w:val="20"/>
              </w:rPr>
              <w:lastRenderedPageBreak/>
              <w:t>NUSAP1, RACGAP1, SGO1, TOM1L2, TPX2,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nuclear chromosome segregation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5.75E-08</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[BUB1, CDC6, CDCA5, CENPE, CENPF, DSCC1, ECT2, KIF14, KIF18A, KIF23, KIF2C, KIF4A, MAD2L1, NCAPG, NCAPH, NEK2, NUSAP1, RACGAP1, SGO1,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nuclear division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1.29E-07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[CDC6, CDCA5, CENPE, CHEK1, DSCC1, KIF14, KIF18A, KIF23, KIF2C, KIF4A, MAD2L1, MKI67, NCAPG, NCAPH, NEK2, NUSAP1, RACGAP1, SGO1, TOM1L2, TPX2,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2.01E-07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BRIP1, CCNA2, CDC25C, CDC6, CDCA5, CDK1, CENPE, CENPF, CHEK1, CLSPN, DEPDC1B, DONSON, DTL, E2F7, EZH2, KIF14, MAD2L1, POLR1B, PRKDC, PTK2B,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organelle fission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2.81E-07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[CDC6, CDCA5, CENPE, CHEK1, DSCC1, KIF14, KIF18A, KIF23, KIF2C, KIF4A, MAD2L1, MKI67, NCAPG, NCAPH, NEK2, NUSAP1, PINK1, RACGAP1, SGO1, TOM1L2, TPX2,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cell cycle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2.87E-07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CDC6, CDCA5, CDK1, CENPE, CENPF, CHEK1, CLSPN, DEPDC1B, DONSON, DTL, EZH2, KIF14, MAD2L1, POLR1B, PRKDC, PTK2B,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cell cycle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3.21E-07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BUB1, CDC6, CDCA5, CDK1, CENPE, CENPF, CHEK1, CLSPN, DEPDC1B, DONSON, DTL, ECT2, EZH2, FZD3, HSP90AB1, KIF14, KIF23, MAD2L1, MKI67, NEK2, NUSAP1, POLR1B, PRKDC, PTK2B, RACGAP1, STIL, TMEM67, TOM1L2,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chromosome organization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7.91E-07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BRCA2, BUB1, CCNA2, CCT6A, CDC6, CDCA5, CDKN3, CENPA, CENPE, CHAF1B, DEPDC1B, DKC1, DSCC1, EZH2, FANCD2, GNL3, HJURP, HSP90AB1, JADE3, KIF14, KIF18A, KIF23, KIF2C, KIF4A, MAD2L1, MPP7, NAT10, NCAPG, NCAPH, NEK2, NUSAP1, POLR1B, PRKDC, PRMT3, RACGAP1, SGO1, SUV39H2, TOP2A,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sister chromatid segregation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1.35E-06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[CDC6, CDCA5, CENPE, DSCC1, KIF14, KIF18A, KIF23, KIF2C, KIF4A, MAD2L1, NCAPG, NCAPH, NUSAP1, RACGAP1, SGO1,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sister chromatid segregation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2.00E-06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[BUB1, CDC6, CDCA5, CENPE, DSCC1, KIF14, KIF18A, KIF23, KIF2C, KIF4A, MAD2L1, NCAPG, NCAPH, NUSAP1, RACGAP1, SGO1,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4.07E-06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BUB1, CDC6, CDCA5, CDK1, CDKN3, CENPE, CENPF, CHEK1, CLSPN, DEPDC1B, DNA2, DONSON, DTL, ECT2, EZH2, FZD3, GTPBP4, HSP90AB1, INTS13, KIF14, KIF23, KNTC1, MAD2L1, MKI67, NEK2, NUSAP1, POLR1B, PRKDC, PRR11, PTK2B, RACGAP1, STIL, TMEM67, TOM1L2,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G2/M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4.26E-06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BRIP1, CCNA2, CDC25C, CDK1, CENPF, CHEK1, CLSPN, DEPDC1B, DONSON, DTL, KIF14]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cell cycle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2.23E-05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BRIP1, CCNA2, CDC25C, CDC6, CDCA5, CDK1, CENPE, CENPF, CLSPN, DONSON, DTL, E2F7, KIF14, MAD2L1, POLR1B, PRKDC, PTK2B,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cell cycle G2/M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6.15E-05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CDK1, CENPF, CHEK1, CLSPN, DEPDC1B, DONSON, DTL, KIF14]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mitotic cell cycle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1.03E-04</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CDC6, CDCA5, CDK1, CENPE, CENPF, CLSPN, DONSON, DTL, KIF14, MAD2L1, POLR1B, PRKDC, PTK2B,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chromosome segregation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1.33E-04</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[BUB1, CDC6, CDCA5, CENPE, ECT2, KIF2C, MAD2L1, MKI67, NEK2, RACGAP1,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mitotic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1.63E-04</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CDC6, CDCA5, CDK1, CENPE, CENPF, CHEK1, CLSPN, DONSON, DTL, INTS13, KIF14, KNTC1, MAD2L1, MKI67, NEK2, NUSAP1, POLR1B, PRKDC, PTK2B, TOM1L2,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negative regulation of cell cycle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3.40E-04</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DONSON, DTL, FZD3, HSP90AB1, MAD2L1, NEK2, POLR1B, PRKDC, TMEM67, TOM1L2,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G2/M transition of mitotic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1.61E-03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BRIP1, CCNA2, CDC25C, CDK1, CENPF, CLSPN, DONSON, DTL, KIF14]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positive regulation of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2.12E-03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BRCA1, CDC6, CDCA5, CDK1, CHEK1, DTL, ECT2, EZH2, FZD3, HSP90AB1, KIF14, KIF23, MAD2L1, NUSAP1, PTK2B, RACGAP1,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checkpoint</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2.26E-03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DNA2, DONSON, DTL, KNTC1, MAD2L1, POLR1B, PRKDC,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G2 DNA damage checkpoint</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2.60E-03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DONSON, DTL]</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attachment of spindle microtubules </w:t>
            </w:r>
            <w:r w:rsidRPr="00DE3EA0">
              <w:rPr>
                <w:rFonts w:ascii="Palatino Linotype" w:hAnsi="Palatino Linotype"/>
                <w:color w:val="000000"/>
                <w:kern w:val="0"/>
                <w:sz w:val="20"/>
                <w:szCs w:val="20"/>
              </w:rPr>
              <w:lastRenderedPageBreak/>
              <w:t>to kinetochore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3.51E-03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[CENPE, ECT2, KIF2C, NEK2, RACGAP1, SGO1]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negative regulation of cell cycle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6.13E-03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DONSON, DTL, MAD2L1, POLR1B, PRKDC,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mitotic nuclear division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7.66E-03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[CDC6, CDCA5, CENPE, CHEK1, MAD2L1, MKI67, NEK2, NUSAP1, TOM1L2,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nuclear division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1.09E-02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[CDC6, CDCA5, CENPE, CHEK1, MAD2L1, MKI67, NEK2, NUSAP1, TOM1L2, TRIP13,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positive regulation of cell cycle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1.15E-02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BRCA1, CDC6, CDCA5, CDK1, DTL, ECT2, EZH2, KIF14, KIF23, MAD2L1, NUSAP1, RACGAP1, UBE2C]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negative regulation of cell cycle G2/M phase transition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1.29E-02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DONSON, DTL]</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negative regulation of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2.93E-02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CDKN3, CHEK1, CLSPN, DEPDC1B, DNA2, DONSON, DTL, FZD3, HSP90AB1, KNTC1, MAD2L1, NEK2, POLR1B, PRKDC, TMEM67, TOM1L2, TRIP13]</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G2/M transition of mitotic cell cycle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2.94E-02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CDK1, CENPF, CLSPN, DONSON, DTL, KIF14]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damage checkpoint</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3.98E-02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DONSON, DTL, POLR1B, PRKDC]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 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double-strand break repair</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5.75E-07</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BLM, BRCA1, BRCA2, CDCA5, CHEK1, DEPDC1B, DNA2, EXOSC8, FANCD2, FIGNL1, MMS22L, PARPBP, POLQ, POLR1B, PRKDC, RAD51AP1, RAD54B,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DNA repair, cell cycle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7.52E-18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integrity checkpoint</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1.06E-02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BRCA1, CHEK1, CLSPN, DEPDC1B, DNA2, DONSON, DTL, POLR1B, PRKDC]</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1.60E-11</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replication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5.72E-03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BRCA2, DNA2, DONSON, DSCC1, FANCD2, GTPBP4, MMS22L, POLR1B, RFC3, RFC4]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1.60E-11</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DNA-dependent DNA replication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1.41E-02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BRCA2, DNA2, DONSON, DSCC1, FANCD2, MMS22L, RFC3, RFC4]</w:t>
            </w:r>
          </w:p>
        </w:tc>
      </w:tr>
      <w:tr w:rsidR="00620CD1" w:rsidRPr="00FF7D56"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1.60E-11</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DNA replication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1.57E-02</w:t>
            </w:r>
          </w:p>
        </w:tc>
        <w:tc>
          <w:tcPr>
            <w:tcW w:w="1927" w:type="pct"/>
            <w:noWrap/>
            <w:hideMark/>
          </w:tcPr>
          <w:p w:rsidR="00620CD1" w:rsidRPr="00BA7A18" w:rsidRDefault="00620CD1" w:rsidP="00894F12">
            <w:pPr>
              <w:widowControl/>
              <w:jc w:val="left"/>
              <w:rPr>
                <w:rFonts w:ascii="Palatino Linotype" w:hAnsi="Palatino Linotype"/>
                <w:color w:val="000000"/>
                <w:kern w:val="0"/>
                <w:sz w:val="20"/>
                <w:szCs w:val="20"/>
                <w:lang w:val="sv-SE"/>
              </w:rPr>
            </w:pPr>
            <w:r w:rsidRPr="00BA7A18">
              <w:rPr>
                <w:rFonts w:ascii="Palatino Linotype" w:hAnsi="Palatino Linotype"/>
                <w:color w:val="000000"/>
                <w:kern w:val="0"/>
                <w:sz w:val="20"/>
                <w:szCs w:val="20"/>
                <w:lang w:val="sv-SE"/>
              </w:rPr>
              <w:t>[ATAD5, BLM, DNA2, DONSON, DSCC1, GTPBP4, RFC3, RFC4]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1.53E-08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5.27E-06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[ANLN, BRCA2, CENPA, CEP55, CKAP2, ECT2, FANCD2, KIF23, KIF4A, NUSAP1, RACGAP1]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1.53E-08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microtubule cytoskeleton organization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1.33E-05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[ASPM, AUNIP, AURKA, BRCA2, CENPA, CENPE, CHEK1, FANCD2, INTS13, KIF18A, KIF23, KIF2C, KIF4A, NEK2, NUSAP1, RACGAP1, SGO1, SKA1, SKA3, SLC25A23, SPC25, STIL, TMEM67, TPX2,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1.53E-08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cytoskeleton-dependent cytokinesis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2.28E-05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[ANLN, BRCA2, CENPA, CEP55, CKAP2, ECT2, FANCD2, KIF23, KIF4A, NUSAP1, RACGAP1]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1.53E-08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cytokinesis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1.97E-03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[ANLN, BRCA2, CDC6, CENPA, CEP55, CKAP2, ECT2, FANCD2, KIF14, KIF23, KIF4A, NUSAP1, RACGAP1]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1.53E-08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spindle organization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1.02E-02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[ASPM, AUNIP, AURKA, CENPE, INTS13, KIF23, KIF4A, RACGAP1, SPC25, STIL, TPX2]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cytokinesis</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1.53E-08</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microtubule cytoskeleton organization involved in mitosis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1.45E-02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[CENPA, CENPE, INTS13, KIF23, KIF4A, NUSAP1, RACGAP1, SPC25, STIL, TPX2]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DNA metabolic process, </w:t>
            </w:r>
            <w:r w:rsidRPr="00DE3EA0">
              <w:rPr>
                <w:rFonts w:ascii="Palatino Linotype" w:hAnsi="Palatino Linotype"/>
                <w:color w:val="000000"/>
                <w:kern w:val="0"/>
                <w:sz w:val="20"/>
                <w:szCs w:val="20"/>
              </w:rPr>
              <w:lastRenderedPageBreak/>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4.78E-10</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[ATAD5, AUNIP, BLM, BRCA1, BRCA2, BRIP1, CCT6A, CDCA5, CDKN3, CHEK1, DEPDC1B, </w:t>
            </w:r>
            <w:r w:rsidRPr="00DE3EA0">
              <w:rPr>
                <w:rFonts w:ascii="Palatino Linotype" w:hAnsi="Palatino Linotype"/>
                <w:color w:val="000000"/>
                <w:kern w:val="0"/>
                <w:sz w:val="20"/>
                <w:szCs w:val="20"/>
              </w:rPr>
              <w:lastRenderedPageBreak/>
              <w:t>DKC1, DNA2, DONSON, DSCC1, DTL, ERCC6L, EXO1, EXOSC8, FANCD2, FIGNL1, GNL3, GTPBP4, HSP90AB1, HSPD1, MMS22L, NAT10, NEIL3, NEK2, PARPBP, POLQ, POLR1B, PRKDC, PTK2B, RAD51AP1, RAD54B, RFC3, RFC4, TOP2A, UBE2T,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 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DNA metabolic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3.03E-06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AUNIP, BLM, BRCA1, CCT6A, CDKN3, CHEK1, DEPDC1B, DKC1, DNA2, DONSON, DSCC1, FIGNL1, GNL3, GTPBP4, HSP90AB1, NAT10, NEK2, PARPBP, POLQ, POLR1B, PTK2B, RAD51AP1, RFC3, RFC4]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 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positive regulation of DNA metabolic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1.04E-03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[ATAD5, BLM, BRCA1, CCT6A, CDKN3, DEPDC1B, DKC1, DNA2, DSCC1, GNL3, HSP90AB1, NEK2, PTK2B, RFC3, RFC4]</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metabolic process, 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DNA repair</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5.99E-03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BRCA1, CDKN3, CHEK1, DEPDC1B, FIGNL1, PARPBP, POLQ, POLR1B, RAD51AP1]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6.25E-08</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BLM, BRCA1, BRCA2, BRIP1, CDCA5, CDKN3, CHEK1, DEPDC1B, DNA2, DTL, ERCC6L, EXO1, EXOSC8, FANCD2, FIGNL1, MMS22L, NEIL3, PARPBP, POLQ, POLR1B, PRKDC, RAD51AP1, RAD54B, UBE2T,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recombination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2.55E-06</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BLM, BRCA1, BRCA2, CHEK1, EXO1, FANCD2, FIGNL1, HSPD1, MMS22L, PARPBP, POLQ, POLR1B, RAD51AP1, RAD54B,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double-strand break repair via homologous </w:t>
            </w:r>
            <w:r w:rsidRPr="00DE3EA0">
              <w:rPr>
                <w:rFonts w:ascii="Palatino Linotype" w:hAnsi="Palatino Linotype"/>
                <w:color w:val="000000"/>
                <w:kern w:val="0"/>
                <w:sz w:val="20"/>
                <w:szCs w:val="20"/>
              </w:rPr>
              <w:lastRenderedPageBreak/>
              <w:t>recombination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1.05E-05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[AUNIP, BRCA1, BRCA2, CHEK1, FANCD2, FIGNL1, MMS22L, PARPBP, POLQ, </w:t>
            </w:r>
            <w:r w:rsidRPr="00DE3EA0">
              <w:rPr>
                <w:rFonts w:ascii="Palatino Linotype" w:hAnsi="Palatino Linotype"/>
                <w:color w:val="000000"/>
                <w:kern w:val="0"/>
                <w:sz w:val="20"/>
                <w:szCs w:val="20"/>
              </w:rPr>
              <w:lastRenderedPageBreak/>
              <w:t>POLR1B, RAD51AP1, RAD54B,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recombinational repair</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1.19E-05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BRCA1, BRCA2, CHEK1, FANCD2, FIGNL1, MMS22L, PARPBP, POLQ, POLR1B, RAD51AP1, RAD54B,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cellular response to DNA damage stimulus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1.38E-05</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BLM, BRCA1, BRCA2, BRIP1, CDCA5, CDKN3, CHEK1, CLSPN, DDIAS, DEPDC1B, DNA2, DONSON, DTL, E2F7, ERCC6L, EXO1, EXOSC8, FANCD2, FIGNL1, MCM10, MMS22L, NEIL3, PARPBP, PMAIP1, POLQ, POLR1B, PRKDC, RAD51AP1, RAD54B, TOP2A, UBE2T, XRCC2]</w:t>
            </w:r>
          </w:p>
        </w:tc>
      </w:tr>
      <w:tr w:rsidR="00620CD1" w:rsidRPr="00FF7D56"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double-strand break repair via homologous recombination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1.28E-02</w:t>
            </w:r>
          </w:p>
        </w:tc>
        <w:tc>
          <w:tcPr>
            <w:tcW w:w="1927" w:type="pct"/>
            <w:noWrap/>
            <w:hideMark/>
          </w:tcPr>
          <w:p w:rsidR="00620CD1" w:rsidRPr="00BA7A18" w:rsidRDefault="00620CD1" w:rsidP="00894F12">
            <w:pPr>
              <w:widowControl/>
              <w:jc w:val="left"/>
              <w:rPr>
                <w:rFonts w:ascii="Palatino Linotype" w:hAnsi="Palatino Linotype"/>
                <w:color w:val="000000"/>
                <w:kern w:val="0"/>
                <w:sz w:val="20"/>
                <w:szCs w:val="20"/>
                <w:lang w:val="sv-SE"/>
              </w:rPr>
            </w:pPr>
            <w:r w:rsidRPr="00BA7A18">
              <w:rPr>
                <w:rFonts w:ascii="Palatino Linotype" w:hAnsi="Palatino Linotype"/>
                <w:color w:val="000000"/>
                <w:kern w:val="0"/>
                <w:sz w:val="20"/>
                <w:szCs w:val="20"/>
                <w:lang w:val="sv-SE"/>
              </w:rPr>
              <w:t>[CHEK1, FIGNL1, PARPBP, POLQ, POLR1B, RAD51AP1]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cellular response to stress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1.48E-02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[AUNIP, BLM, BRCA1, BRCA2, BRIP1, CDC25C, CDCA5, CDKN3, CHEK1, CLSPN, DDIAS, DEPDC1B, DNA2, DONSON, DTL, E2F7, ECT2, EEF1E1, ERCC6L, EXO1, EXOSC8, FANCD2, FIGNL1, HILPDA, MCM10, MMS22L, NEIL3, PARPBP, PDK2, PINK1, PMAIP1, POLQ, POLR1B, PRKDC, PSAT1, PTK2B, RAD51AP1, RAD54B, RBL1, SERPINF2, SUV39H2, TMEM67, TOP2A, UBE2T, XRCC2]</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DNA repair</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2.69E-06</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DNA recombination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1.66E-02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[BLM, CHEK1, FIGNL1, PARPBP, POLQ, POLR1B, RAD51AP1]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protein localization </w:t>
            </w:r>
            <w:r w:rsidRPr="00DE3EA0">
              <w:rPr>
                <w:rFonts w:ascii="Palatino Linotype" w:hAnsi="Palatino Linotype"/>
                <w:color w:val="000000"/>
                <w:kern w:val="0"/>
                <w:sz w:val="20"/>
                <w:szCs w:val="20"/>
              </w:rPr>
              <w:lastRenderedPageBreak/>
              <w:t>to chromosome</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3.45E-05</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protein localization </w:t>
            </w:r>
            <w:r w:rsidRPr="00DE3EA0">
              <w:rPr>
                <w:rFonts w:ascii="Palatino Linotype" w:hAnsi="Palatino Linotype"/>
                <w:color w:val="000000"/>
                <w:kern w:val="0"/>
                <w:sz w:val="20"/>
                <w:szCs w:val="20"/>
              </w:rPr>
              <w:lastRenderedPageBreak/>
              <w:t>to chromosome</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1.03E-03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[BRCA2, BUB1B, CCT6A, CDCA5, CDK1, CENPA, DKC1, </w:t>
            </w:r>
            <w:r w:rsidRPr="00DE3EA0">
              <w:rPr>
                <w:rFonts w:ascii="Palatino Linotype" w:hAnsi="Palatino Linotype"/>
                <w:color w:val="000000"/>
                <w:kern w:val="0"/>
                <w:sz w:val="20"/>
                <w:szCs w:val="20"/>
              </w:rPr>
              <w:lastRenderedPageBreak/>
              <w:t>FANCD2, GNL3, MTBP, POLR1B]</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chromosome condensation</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4.78E-04</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chromosome condensation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1.43E-02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[CDCA5, NCAPG, NCAPH, NUSAP1, TOP2A]</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chromosome condensation</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4.78E-04</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mitotic chromosome condensation</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4.47E-02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[CDCA5, NCAPG, NCAPH, NUSAP1]</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rRNA processing</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1.73E-03</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rRNA processing</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3.18E-03</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[DKC1, HEATR1, LYAR, MPP6, TTK, WDR12, WDR43, WDR75]</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rRNA processing</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1.73E-03</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ribosome biogenesis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1.82E-02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[DDX31, DKC1, HEATR1, LYAR, MPP6, TTK, WDR12, WDR43, WDR75]</w:t>
            </w:r>
          </w:p>
        </w:tc>
      </w:tr>
      <w:tr w:rsidR="00620CD1" w:rsidRPr="00DE3EA0" w:rsidTr="00894F12">
        <w:trPr>
          <w:trHeight w:val="288"/>
        </w:trPr>
        <w:tc>
          <w:tcPr>
            <w:tcW w:w="766"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rRNA processing</w:t>
            </w:r>
          </w:p>
        </w:tc>
        <w:tc>
          <w:tcPr>
            <w:tcW w:w="769"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1.73E-03</w:t>
            </w:r>
          </w:p>
        </w:tc>
        <w:tc>
          <w:tcPr>
            <w:tcW w:w="85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ncRNA metabolic process</w:t>
            </w:r>
          </w:p>
        </w:tc>
        <w:tc>
          <w:tcPr>
            <w:tcW w:w="684"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4.05E-02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[BRCA1, DKC1, GARS, HEATR1, IARS, LYAR, MPP6, POP1, PUS7, TTK, WDR12, WDR43, WDR75, ZC3H8]</w:t>
            </w:r>
          </w:p>
        </w:tc>
      </w:tr>
    </w:tbl>
    <w:p w:rsidR="00620CD1" w:rsidRPr="00DE3EA0" w:rsidRDefault="00620CD1" w:rsidP="00620CD1">
      <w:pPr>
        <w:spacing w:line="360" w:lineRule="auto"/>
        <w:rPr>
          <w:rFonts w:ascii="Palatino Linotype" w:hAnsi="Palatino Linotype"/>
          <w:sz w:val="20"/>
          <w:szCs w:val="20"/>
        </w:rPr>
      </w:pPr>
    </w:p>
    <w:p w:rsidR="00620CD1" w:rsidRPr="00DE3EA0" w:rsidRDefault="00620CD1" w:rsidP="00620CD1">
      <w:pPr>
        <w:widowControl/>
        <w:jc w:val="left"/>
        <w:rPr>
          <w:rFonts w:ascii="Palatino Linotype" w:hAnsi="Palatino Linotype"/>
          <w:sz w:val="20"/>
          <w:szCs w:val="20"/>
        </w:rPr>
      </w:pPr>
      <w:r w:rsidRPr="00DE3EA0">
        <w:rPr>
          <w:rFonts w:ascii="Palatino Linotype" w:hAnsi="Palatino Linotype"/>
          <w:sz w:val="20"/>
          <w:szCs w:val="20"/>
        </w:rPr>
        <w:br w:type="page"/>
      </w:r>
    </w:p>
    <w:p w:rsidR="00620CD1" w:rsidRPr="00DE3EA0" w:rsidRDefault="00620CD1" w:rsidP="00620CD1">
      <w:pPr>
        <w:spacing w:line="360" w:lineRule="auto"/>
        <w:jc w:val="left"/>
        <w:rPr>
          <w:rFonts w:ascii="Palatino Linotype" w:hAnsi="Palatino Linotype"/>
          <w:sz w:val="20"/>
          <w:szCs w:val="20"/>
        </w:rPr>
      </w:pPr>
      <w:r w:rsidRPr="00DE3EA0">
        <w:rPr>
          <w:rFonts w:ascii="Palatino Linotype" w:hAnsi="Palatino Linotype"/>
          <w:b/>
          <w:sz w:val="20"/>
          <w:szCs w:val="20"/>
        </w:rPr>
        <w:lastRenderedPageBreak/>
        <w:t xml:space="preserve">Table </w:t>
      </w:r>
      <w:r w:rsidR="00637BE4" w:rsidRPr="00DE3EA0">
        <w:rPr>
          <w:rFonts w:ascii="Palatino Linotype" w:hAnsi="Palatino Linotype"/>
          <w:b/>
          <w:sz w:val="20"/>
          <w:szCs w:val="20"/>
        </w:rPr>
        <w:t>S</w:t>
      </w:r>
      <w:r w:rsidRPr="00DE3EA0">
        <w:rPr>
          <w:rFonts w:ascii="Palatino Linotype" w:hAnsi="Palatino Linotype"/>
          <w:b/>
          <w:sz w:val="20"/>
          <w:szCs w:val="20"/>
        </w:rPr>
        <w:t>6.</w:t>
      </w:r>
      <w:r w:rsidRPr="00DE3EA0">
        <w:rPr>
          <w:rFonts w:ascii="Palatino Linotype" w:hAnsi="Palatino Linotype"/>
          <w:sz w:val="20"/>
          <w:szCs w:val="20"/>
        </w:rPr>
        <w:t xml:space="preserve"> ClueGO-CluePedia functional analysis of green module in LSCRC from cohort 2.</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93"/>
        <w:gridCol w:w="1276"/>
        <w:gridCol w:w="1135"/>
        <w:gridCol w:w="3201"/>
      </w:tblGrid>
      <w:tr w:rsidR="00620CD1" w:rsidRPr="00DE3EA0" w:rsidTr="00894F12">
        <w:trPr>
          <w:trHeight w:val="288"/>
        </w:trPr>
        <w:tc>
          <w:tcPr>
            <w:tcW w:w="1024"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GO Functional Groups</w:t>
            </w:r>
          </w:p>
        </w:tc>
        <w:tc>
          <w:tcPr>
            <w:tcW w:w="598"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Group </w:t>
            </w:r>
            <w:r w:rsidRPr="00DE3EA0">
              <w:rPr>
                <w:rFonts w:ascii="Palatino Linotype" w:hAnsi="Palatino Linotype"/>
                <w:i/>
                <w:color w:val="000000"/>
                <w:kern w:val="0"/>
                <w:sz w:val="20"/>
                <w:szCs w:val="20"/>
              </w:rPr>
              <w:t>P</w:t>
            </w:r>
            <w:r w:rsidRPr="00DE3EA0">
              <w:rPr>
                <w:rFonts w:ascii="Palatino Linotype" w:hAnsi="Palatino Linotype"/>
                <w:color w:val="000000"/>
                <w:kern w:val="0"/>
                <w:sz w:val="20"/>
                <w:szCs w:val="20"/>
              </w:rPr>
              <w:t xml:space="preserve"> Value</w:t>
            </w:r>
          </w:p>
        </w:tc>
        <w:tc>
          <w:tcPr>
            <w:tcW w:w="768"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GO Term</w:t>
            </w:r>
          </w:p>
        </w:tc>
        <w:tc>
          <w:tcPr>
            <w:tcW w:w="683"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 xml:space="preserve">Term </w:t>
            </w:r>
            <w:r w:rsidRPr="00DE3EA0">
              <w:rPr>
                <w:rFonts w:ascii="Palatino Linotype" w:hAnsi="Palatino Linotype"/>
                <w:i/>
                <w:color w:val="000000"/>
                <w:kern w:val="0"/>
                <w:sz w:val="20"/>
                <w:szCs w:val="20"/>
              </w:rPr>
              <w:t>P</w:t>
            </w:r>
            <w:r w:rsidRPr="00DE3EA0">
              <w:rPr>
                <w:rFonts w:ascii="Palatino Linotype" w:hAnsi="Palatino Linotype"/>
                <w:color w:val="000000"/>
                <w:kern w:val="0"/>
                <w:sz w:val="20"/>
                <w:szCs w:val="20"/>
              </w:rPr>
              <w:t xml:space="preserve"> Value </w:t>
            </w:r>
          </w:p>
        </w:tc>
        <w:tc>
          <w:tcPr>
            <w:tcW w:w="1927" w:type="pct"/>
            <w:tcBorders>
              <w:top w:val="single" w:sz="4" w:space="0" w:color="auto"/>
              <w:bottom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Associated Genes Found</w:t>
            </w:r>
          </w:p>
        </w:tc>
      </w:tr>
      <w:tr w:rsidR="00620CD1" w:rsidRPr="00DE3EA0" w:rsidTr="00894F12">
        <w:trPr>
          <w:trHeight w:val="288"/>
        </w:trPr>
        <w:tc>
          <w:tcPr>
            <w:tcW w:w="1024" w:type="pct"/>
            <w:tcBorders>
              <w:top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cardiac muscle cell action potential</w:t>
            </w:r>
          </w:p>
        </w:tc>
        <w:tc>
          <w:tcPr>
            <w:tcW w:w="598" w:type="pct"/>
            <w:tcBorders>
              <w:top w:val="single" w:sz="4" w:space="0" w:color="auto"/>
            </w:tcBorders>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4.46E-03</w:t>
            </w:r>
          </w:p>
        </w:tc>
        <w:tc>
          <w:tcPr>
            <w:tcW w:w="768" w:type="pct"/>
            <w:tcBorders>
              <w:top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cardiac muscle cell action potential</w:t>
            </w:r>
          </w:p>
        </w:tc>
        <w:tc>
          <w:tcPr>
            <w:tcW w:w="683" w:type="pct"/>
            <w:tcBorders>
              <w:top w:val="single" w:sz="4" w:space="0" w:color="auto"/>
            </w:tcBorders>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3.83E-02</w:t>
            </w:r>
          </w:p>
        </w:tc>
        <w:tc>
          <w:tcPr>
            <w:tcW w:w="1927" w:type="pct"/>
            <w:tcBorders>
              <w:top w:val="single" w:sz="4" w:space="0" w:color="auto"/>
            </w:tcBorders>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[AKAP9, APC, DSC2, SLMAP]</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cardiac muscle cell action potential</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4.46E-03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membrane depolarization</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4.37E-02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[CAMK2D, NCOA1, NEDD4L, SLMAP]</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cardiac muscle cell action potential</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4.46E-03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membrane potential</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4.60E-02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[AKAP7, AKAP9, APC, CAMK2D, DSC2, NCOA1, NEDD4L, PYCR1, SLMAP, SYTL2]</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3.99E-02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[BCL10, BIRC3, DDX60, DENND1B, EHHADH, ERBIN, IRAK1, PDE4D, PJA2, RIOK3, RNF125, SYTL2, TLR3, TP53INP1]</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pattern recognition receptor signaling pathway</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4.30E-02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[BIRC3, DDX60, EHHADH, ERBIN, IRAK1, PJA2, RIOK3, RNF125, TLR3]</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innate immune response-activating signal transduction</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4.30E-02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[BIRC3, DDX60, EHHADH, ERBIN, IRAK1, PJA2, RIOK3, RNF125, TLR3]</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positive regulation of immune response</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4.33E-02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[B2M, BCL10, BIRC3, DDX60, DENND1B, EHHADH, ERBIN, IRAK1, PDE4D, PJA2, RIOK3, RNF125, SLC27A5, SYTL2, TLR3, TP53INP1, ZP3]</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positive regulation of innate immune response</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4.50E-02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[BIRC3, DDX60, EHHADH, ERBIN, IRAK1, PJA2, RIOK3, RNF125, SLC27A5, TLR3, TP53INP1]</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lastRenderedPageBreak/>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positive regulation of defense response</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4.53E-02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[BIRC3, DDX60, EHHADH, ERBIN, F12, IRAK1, PJA2, RIOK3, RNF125, SLC27A5, TLR3, TP53INP1]</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immune response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4.81E-03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activation of innate immune response</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4.95E-02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[BIRC3, DDX60, EHHADH, ERBIN, IRAK1, PJA2, RIOK3, RNF125, TLR3, TP53INP1]</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NIK/NF-kappaB signaling</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5.76E-03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NIK/NF-kappaB signaling</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4.32E-02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[CPNE1, IRAK1, PDCD4, PPM1A, RAP1A, TCIM, TLR3]</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NIK/NF-kappaB signaling</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5.76E-03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NIK/NF-kappaB signaling</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4.53E-02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[CPNE1, IRAK1, PDCD4, PPM1A, RAP1A, TCIM, TLR3]</w:t>
            </w:r>
          </w:p>
        </w:tc>
      </w:tr>
      <w:tr w:rsidR="00620CD1" w:rsidRPr="00FF7D56"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centriole assembly</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6.60E-03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centriole assembly</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4.44E-02</w:t>
            </w:r>
          </w:p>
        </w:tc>
        <w:tc>
          <w:tcPr>
            <w:tcW w:w="1927" w:type="pct"/>
            <w:noWrap/>
            <w:hideMark/>
          </w:tcPr>
          <w:p w:rsidR="00620CD1" w:rsidRPr="00BA7A18" w:rsidRDefault="00620CD1" w:rsidP="00894F12">
            <w:pPr>
              <w:widowControl/>
              <w:jc w:val="left"/>
              <w:rPr>
                <w:rFonts w:ascii="Palatino Linotype" w:hAnsi="Palatino Linotype"/>
                <w:color w:val="000000"/>
                <w:kern w:val="0"/>
                <w:sz w:val="20"/>
                <w:szCs w:val="20"/>
                <w:lang w:val="sv-SE"/>
              </w:rPr>
            </w:pPr>
            <w:r w:rsidRPr="00BA7A18">
              <w:rPr>
                <w:rFonts w:ascii="Palatino Linotype" w:hAnsi="Palatino Linotype"/>
                <w:color w:val="000000"/>
                <w:kern w:val="0"/>
                <w:sz w:val="20"/>
                <w:szCs w:val="20"/>
                <w:lang w:val="sv-SE"/>
              </w:rPr>
              <w:t>[CCDC78, KAT2A, KAT2B, TP53INP1, VPS4B]</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centriole assembly</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6.60E-03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regulation of centriole replication</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4.68E-02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[KAT2A, KAT2B, TP53INP1, VPS4B]</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neutral amino acid transport</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7.13E-03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neutral amino acid transport</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4.20E-02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[DDX39A, SLC1A1, SLC1A5, SLC43A1]</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fatty acid beta-oxidation using acyl-CoA dehydrogenase</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8.72E-03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fatty acid beta-oxidation using acyl-CoA dehydrogenase</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4.11E-02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[ACADM, ETFBKMT, ETFDH]</w:t>
            </w:r>
          </w:p>
        </w:tc>
      </w:tr>
      <w:tr w:rsidR="00620CD1" w:rsidRPr="00DE3EA0" w:rsidTr="00894F12">
        <w:trPr>
          <w:trHeight w:val="288"/>
        </w:trPr>
        <w:tc>
          <w:tcPr>
            <w:tcW w:w="1024"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necrotic cell death</w:t>
            </w:r>
          </w:p>
        </w:tc>
        <w:tc>
          <w:tcPr>
            <w:tcW w:w="598"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9.79E-03</w:t>
            </w:r>
          </w:p>
        </w:tc>
        <w:tc>
          <w:tcPr>
            <w:tcW w:w="768"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necrotic cell death</w:t>
            </w:r>
          </w:p>
        </w:tc>
        <w:tc>
          <w:tcPr>
            <w:tcW w:w="683" w:type="pct"/>
            <w:noWrap/>
            <w:hideMark/>
          </w:tcPr>
          <w:p w:rsidR="00620CD1" w:rsidRPr="00DE3EA0" w:rsidRDefault="00620CD1" w:rsidP="00894F12">
            <w:pPr>
              <w:widowControl/>
              <w:jc w:val="right"/>
              <w:rPr>
                <w:rFonts w:ascii="Palatino Linotype" w:hAnsi="Palatino Linotype"/>
                <w:color w:val="000000"/>
                <w:kern w:val="0"/>
                <w:sz w:val="20"/>
                <w:szCs w:val="20"/>
              </w:rPr>
            </w:pPr>
            <w:r w:rsidRPr="00DE3EA0">
              <w:rPr>
                <w:rFonts w:ascii="Palatino Linotype" w:hAnsi="Palatino Linotype"/>
                <w:color w:val="000000"/>
                <w:kern w:val="0"/>
                <w:sz w:val="20"/>
                <w:szCs w:val="20"/>
              </w:rPr>
              <w:t>4.20E-02</w:t>
            </w:r>
          </w:p>
        </w:tc>
        <w:tc>
          <w:tcPr>
            <w:tcW w:w="1927" w:type="pct"/>
            <w:noWrap/>
            <w:hideMark/>
          </w:tcPr>
          <w:p w:rsidR="00620CD1" w:rsidRPr="00DE3EA0" w:rsidRDefault="00620CD1" w:rsidP="00894F12">
            <w:pPr>
              <w:widowControl/>
              <w:jc w:val="left"/>
              <w:rPr>
                <w:rFonts w:ascii="Palatino Linotype" w:hAnsi="Palatino Linotype"/>
                <w:color w:val="000000"/>
                <w:kern w:val="0"/>
                <w:sz w:val="20"/>
                <w:szCs w:val="20"/>
              </w:rPr>
            </w:pPr>
            <w:r w:rsidRPr="00DE3EA0">
              <w:rPr>
                <w:rFonts w:ascii="Palatino Linotype" w:hAnsi="Palatino Linotype"/>
                <w:color w:val="000000"/>
                <w:kern w:val="0"/>
                <w:sz w:val="20"/>
                <w:szCs w:val="20"/>
              </w:rPr>
              <w:t>[BIRC3, FAS, FASN, NPM3, TLR3]</w:t>
            </w:r>
          </w:p>
        </w:tc>
      </w:tr>
    </w:tbl>
    <w:p w:rsidR="00620CD1" w:rsidRPr="00DE3EA0" w:rsidRDefault="00620CD1" w:rsidP="00620CD1">
      <w:pPr>
        <w:rPr>
          <w:rFonts w:ascii="Palatino Linotype" w:hAnsi="Palatino Linotype"/>
          <w:sz w:val="20"/>
          <w:szCs w:val="20"/>
        </w:rPr>
      </w:pPr>
    </w:p>
    <w:p w:rsidR="002C7DB8" w:rsidRPr="00DE3EA0" w:rsidRDefault="002C7DB8">
      <w:pPr>
        <w:rPr>
          <w:rFonts w:ascii="Palatino Linotype" w:hAnsi="Palatino Linotype"/>
          <w:sz w:val="20"/>
          <w:szCs w:val="20"/>
        </w:rPr>
      </w:pPr>
    </w:p>
    <w:p w:rsidR="00682866" w:rsidRPr="00DE3EA0" w:rsidRDefault="00637BE4" w:rsidP="00C02A29">
      <w:pPr>
        <w:pStyle w:val="a8"/>
        <w:numPr>
          <w:ilvl w:val="0"/>
          <w:numId w:val="2"/>
        </w:numPr>
        <w:spacing w:line="360" w:lineRule="auto"/>
        <w:ind w:firstLineChars="0"/>
        <w:rPr>
          <w:rFonts w:ascii="Palatino Linotype" w:hAnsi="Palatino Linotype"/>
          <w:b/>
          <w:sz w:val="20"/>
          <w:szCs w:val="20"/>
        </w:rPr>
      </w:pPr>
      <w:r w:rsidRPr="00DE3EA0">
        <w:rPr>
          <w:rFonts w:ascii="Palatino Linotype" w:hAnsi="Palatino Linotype"/>
          <w:b/>
          <w:sz w:val="20"/>
          <w:szCs w:val="20"/>
        </w:rPr>
        <w:t>Supplementary</w:t>
      </w:r>
      <w:r w:rsidR="00682866" w:rsidRPr="00DE3EA0">
        <w:rPr>
          <w:rFonts w:ascii="Palatino Linotype" w:hAnsi="Palatino Linotype"/>
          <w:b/>
          <w:sz w:val="20"/>
          <w:szCs w:val="20"/>
        </w:rPr>
        <w:t xml:space="preserve"> </w:t>
      </w:r>
      <w:r w:rsidR="00C02A29" w:rsidRPr="00DE3EA0">
        <w:rPr>
          <w:rFonts w:ascii="Palatino Linotype" w:hAnsi="Palatino Linotype"/>
          <w:b/>
          <w:sz w:val="20"/>
          <w:szCs w:val="20"/>
        </w:rPr>
        <w:t>M</w:t>
      </w:r>
      <w:r w:rsidR="00682866" w:rsidRPr="00DE3EA0">
        <w:rPr>
          <w:rFonts w:ascii="Palatino Linotype" w:hAnsi="Palatino Linotype"/>
          <w:b/>
          <w:sz w:val="20"/>
          <w:szCs w:val="20"/>
        </w:rPr>
        <w:t>ethods</w:t>
      </w:r>
    </w:p>
    <w:p w:rsidR="00682866" w:rsidRPr="00DE3EA0" w:rsidRDefault="000A2E35" w:rsidP="00682866">
      <w:pPr>
        <w:spacing w:line="360" w:lineRule="auto"/>
        <w:rPr>
          <w:rFonts w:ascii="Palatino Linotype" w:hAnsi="Palatino Linotype"/>
          <w:b/>
          <w:sz w:val="20"/>
          <w:szCs w:val="20"/>
        </w:rPr>
      </w:pPr>
      <w:r w:rsidRPr="00DE3EA0">
        <w:rPr>
          <w:rFonts w:ascii="Palatino Linotype" w:hAnsi="Palatino Linotype"/>
          <w:b/>
          <w:sz w:val="20"/>
          <w:szCs w:val="20"/>
        </w:rPr>
        <w:t xml:space="preserve">3.1 </w:t>
      </w:r>
      <w:r w:rsidR="00682866" w:rsidRPr="00DE3EA0">
        <w:rPr>
          <w:rFonts w:ascii="Palatino Linotype" w:hAnsi="Palatino Linotype"/>
          <w:b/>
          <w:sz w:val="20"/>
          <w:szCs w:val="20"/>
        </w:rPr>
        <w:t xml:space="preserve">Clinical specimens  </w:t>
      </w:r>
    </w:p>
    <w:p w:rsidR="00682866" w:rsidRPr="00DE3EA0" w:rsidRDefault="00682866" w:rsidP="00682866">
      <w:pPr>
        <w:spacing w:line="360" w:lineRule="auto"/>
        <w:ind w:firstLineChars="200" w:firstLine="400"/>
        <w:rPr>
          <w:rFonts w:ascii="Palatino Linotype" w:hAnsi="Palatino Linotype"/>
          <w:sz w:val="20"/>
          <w:szCs w:val="20"/>
        </w:rPr>
      </w:pPr>
      <w:r w:rsidRPr="00DE3EA0">
        <w:rPr>
          <w:rFonts w:ascii="Palatino Linotype" w:hAnsi="Palatino Linotype"/>
          <w:sz w:val="20"/>
          <w:szCs w:val="20"/>
        </w:rPr>
        <w:t>For detecting of protein in cohort 1, the patients</w:t>
      </w:r>
      <w:r w:rsidR="006D1C67">
        <w:rPr>
          <w:rFonts w:ascii="Palatino Linotype" w:hAnsi="Palatino Linotype"/>
          <w:sz w:val="20"/>
          <w:szCs w:val="20"/>
        </w:rPr>
        <w:t xml:space="preserve"> </w:t>
      </w:r>
      <w:r w:rsidRPr="00DE3EA0">
        <w:rPr>
          <w:rFonts w:ascii="Palatino Linotype" w:hAnsi="Palatino Linotype"/>
          <w:sz w:val="20"/>
          <w:szCs w:val="20"/>
        </w:rPr>
        <w:t>(</w:t>
      </w:r>
      <w:r w:rsidRPr="00DE3EA0">
        <w:rPr>
          <w:rFonts w:ascii="Palatino Linotype" w:hAnsi="Palatino Linotype"/>
          <w:i/>
          <w:sz w:val="20"/>
          <w:szCs w:val="20"/>
        </w:rPr>
        <w:t xml:space="preserve">N </w:t>
      </w:r>
      <w:r w:rsidRPr="00DE3EA0">
        <w:rPr>
          <w:rFonts w:ascii="Palatino Linotype" w:hAnsi="Palatino Linotype"/>
          <w:sz w:val="20"/>
          <w:szCs w:val="20"/>
        </w:rPr>
        <w:t>= 207) with primary colorectal cancer from the Southeast Swedish Health Care region, including hospitals in Linköping, Norrköping, Motala, Jönköping, Kalmar, Oskarshamn, Västervik, Eksjö, and Värnamo were analyzed. Their corresponding distant normal mucosa (</w:t>
      </w:r>
      <w:r w:rsidRPr="00DE3EA0">
        <w:rPr>
          <w:rFonts w:ascii="Palatino Linotype" w:hAnsi="Palatino Linotype"/>
          <w:i/>
          <w:sz w:val="20"/>
          <w:szCs w:val="20"/>
        </w:rPr>
        <w:t xml:space="preserve">N </w:t>
      </w:r>
      <w:r w:rsidRPr="00DE3EA0">
        <w:rPr>
          <w:rFonts w:ascii="Palatino Linotype" w:hAnsi="Palatino Linotype"/>
          <w:sz w:val="20"/>
          <w:szCs w:val="20"/>
        </w:rPr>
        <w:t>= 39), and metastases in the regional lymph nodes (</w:t>
      </w:r>
      <w:r w:rsidRPr="00DE3EA0">
        <w:rPr>
          <w:rFonts w:ascii="Palatino Linotype" w:hAnsi="Palatino Linotype"/>
          <w:i/>
          <w:sz w:val="20"/>
          <w:szCs w:val="20"/>
        </w:rPr>
        <w:t xml:space="preserve">N </w:t>
      </w:r>
      <w:r w:rsidRPr="00DE3EA0">
        <w:rPr>
          <w:rFonts w:ascii="Palatino Linotype" w:hAnsi="Palatino Linotype"/>
          <w:sz w:val="20"/>
          <w:szCs w:val="20"/>
        </w:rPr>
        <w:t xml:space="preserve">= 21) were also included in the </w:t>
      </w:r>
      <w:r w:rsidRPr="00DE3EA0">
        <w:rPr>
          <w:rFonts w:ascii="Palatino Linotype" w:hAnsi="Palatino Linotype"/>
          <w:noProof/>
          <w:sz w:val="20"/>
          <w:szCs w:val="20"/>
        </w:rPr>
        <w:t>present</w:t>
      </w:r>
      <w:r w:rsidRPr="00DE3EA0">
        <w:rPr>
          <w:rFonts w:ascii="Palatino Linotype" w:hAnsi="Palatino Linotype"/>
          <w:sz w:val="20"/>
          <w:szCs w:val="20"/>
        </w:rPr>
        <w:t xml:space="preserve"> study. The clinicopathological characteristics, including </w:t>
      </w:r>
      <w:r w:rsidRPr="00DE3EA0">
        <w:rPr>
          <w:rFonts w:ascii="Palatino Linotype" w:hAnsi="Palatino Linotype"/>
          <w:sz w:val="20"/>
          <w:szCs w:val="20"/>
        </w:rPr>
        <w:lastRenderedPageBreak/>
        <w:t xml:space="preserve">age, gender, tumor subsites (RSCC and LSCRC), growth pattern (expansive and infiltrative) differentiation were obtained from surgical and pathological records, TNM staging was performed according to the American Joint Committee on Cancer (AJCC). Information on vital status and cause of death was obtained from the Swedish Cause of Death Registry up until 31 December 2013. The required informed consents were given to all participants. The detailed </w:t>
      </w:r>
      <w:r w:rsidRPr="00DE3EA0">
        <w:rPr>
          <w:rFonts w:ascii="Palatino Linotype" w:hAnsi="Palatino Linotype"/>
          <w:noProof/>
          <w:sz w:val="20"/>
          <w:szCs w:val="20"/>
        </w:rPr>
        <w:t>parameters</w:t>
      </w:r>
      <w:r w:rsidRPr="00DE3EA0">
        <w:rPr>
          <w:rFonts w:ascii="Palatino Linotype" w:hAnsi="Palatino Linotype"/>
          <w:sz w:val="20"/>
          <w:szCs w:val="20"/>
        </w:rPr>
        <w:t xml:space="preserve"> were summarized in </w:t>
      </w:r>
      <w:r w:rsidRPr="00DE3EA0">
        <w:rPr>
          <w:rFonts w:ascii="Palatino Linotype" w:hAnsi="Palatino Linotype"/>
          <w:noProof/>
          <w:sz w:val="20"/>
          <w:szCs w:val="20"/>
        </w:rPr>
        <w:t>Supplementary</w:t>
      </w:r>
      <w:r w:rsidRPr="00DE3EA0">
        <w:rPr>
          <w:rFonts w:ascii="Palatino Linotype" w:hAnsi="Palatino Linotype"/>
          <w:sz w:val="20"/>
          <w:szCs w:val="20"/>
        </w:rPr>
        <w:t xml:space="preserve"> Table S1. </w:t>
      </w:r>
    </w:p>
    <w:p w:rsidR="00682866" w:rsidRPr="00DE3EA0" w:rsidRDefault="00682866" w:rsidP="00682866">
      <w:pPr>
        <w:spacing w:line="360" w:lineRule="auto"/>
        <w:ind w:firstLineChars="200" w:firstLine="400"/>
        <w:rPr>
          <w:rFonts w:ascii="Palatino Linotype" w:hAnsi="Palatino Linotype"/>
          <w:sz w:val="20"/>
          <w:szCs w:val="20"/>
        </w:rPr>
      </w:pPr>
      <w:r w:rsidRPr="00DE3EA0">
        <w:rPr>
          <w:rFonts w:ascii="Palatino Linotype" w:hAnsi="Palatino Linotype"/>
          <w:sz w:val="20"/>
          <w:szCs w:val="20"/>
        </w:rPr>
        <w:t>For detecting of mRNA level in cohort 2, the level-3 data of RNA-seq and clinicopathology of TCGA colorectal samples (COREAD) were obtained from UCSC Xena (https://xenabrowser.net/hub/). The primary colorectal cancer tissue (</w:t>
      </w:r>
      <w:r w:rsidRPr="00DE3EA0">
        <w:rPr>
          <w:rFonts w:ascii="Palatino Linotype" w:hAnsi="Palatino Linotype"/>
          <w:i/>
          <w:sz w:val="20"/>
          <w:szCs w:val="20"/>
        </w:rPr>
        <w:t xml:space="preserve">N </w:t>
      </w:r>
      <w:r w:rsidRPr="00DE3EA0">
        <w:rPr>
          <w:rFonts w:ascii="Palatino Linotype" w:hAnsi="Palatino Linotype"/>
          <w:sz w:val="20"/>
          <w:szCs w:val="20"/>
        </w:rPr>
        <w:t xml:space="preserve">= 596) and the normal colorectal </w:t>
      </w:r>
      <w:r w:rsidRPr="00DE3EA0">
        <w:rPr>
          <w:rFonts w:ascii="Palatino Linotype" w:hAnsi="Palatino Linotype"/>
          <w:noProof/>
          <w:sz w:val="20"/>
          <w:szCs w:val="20"/>
        </w:rPr>
        <w:t>mucosa(</w:t>
      </w:r>
      <w:r w:rsidRPr="00DE3EA0">
        <w:rPr>
          <w:rFonts w:ascii="Palatino Linotype" w:hAnsi="Palatino Linotype"/>
          <w:i/>
          <w:noProof/>
          <w:sz w:val="20"/>
          <w:szCs w:val="20"/>
        </w:rPr>
        <w:t xml:space="preserve">N </w:t>
      </w:r>
      <w:r w:rsidRPr="00DE3EA0">
        <w:rPr>
          <w:rFonts w:ascii="Palatino Linotype" w:hAnsi="Palatino Linotype"/>
          <w:noProof/>
          <w:sz w:val="20"/>
          <w:szCs w:val="20"/>
        </w:rPr>
        <w:t>= 51)</w:t>
      </w:r>
      <w:r w:rsidRPr="00DE3EA0">
        <w:rPr>
          <w:rFonts w:ascii="Palatino Linotype" w:hAnsi="Palatino Linotype"/>
          <w:sz w:val="20"/>
          <w:szCs w:val="20"/>
        </w:rPr>
        <w:t xml:space="preserve"> were included, after excluding cases without clinical survival data. The detailed </w:t>
      </w:r>
      <w:r w:rsidRPr="00DE3EA0">
        <w:rPr>
          <w:rFonts w:ascii="Palatino Linotype" w:hAnsi="Palatino Linotype"/>
          <w:noProof/>
          <w:sz w:val="20"/>
          <w:szCs w:val="20"/>
        </w:rPr>
        <w:t>parameters</w:t>
      </w:r>
      <w:r w:rsidRPr="00DE3EA0">
        <w:rPr>
          <w:rFonts w:ascii="Palatino Linotype" w:hAnsi="Palatino Linotype"/>
          <w:sz w:val="20"/>
          <w:szCs w:val="20"/>
        </w:rPr>
        <w:t xml:space="preserve"> were summarized in </w:t>
      </w:r>
      <w:r w:rsidRPr="00DE3EA0">
        <w:rPr>
          <w:rFonts w:ascii="Palatino Linotype" w:hAnsi="Palatino Linotype"/>
          <w:noProof/>
          <w:sz w:val="20"/>
          <w:szCs w:val="20"/>
        </w:rPr>
        <w:t>Supplementary</w:t>
      </w:r>
      <w:r w:rsidRPr="00DE3EA0">
        <w:rPr>
          <w:rFonts w:ascii="Palatino Linotype" w:hAnsi="Palatino Linotype"/>
          <w:sz w:val="20"/>
          <w:szCs w:val="20"/>
        </w:rPr>
        <w:t xml:space="preserve"> Table S2.</w:t>
      </w:r>
    </w:p>
    <w:p w:rsidR="00682866" w:rsidRPr="00DE3EA0" w:rsidRDefault="00682866" w:rsidP="00682866">
      <w:pPr>
        <w:spacing w:line="360" w:lineRule="auto"/>
        <w:rPr>
          <w:rFonts w:ascii="Palatino Linotype" w:hAnsi="Palatino Linotype"/>
          <w:sz w:val="20"/>
          <w:szCs w:val="20"/>
        </w:rPr>
      </w:pPr>
    </w:p>
    <w:p w:rsidR="00682866" w:rsidRPr="00DE3EA0" w:rsidRDefault="000A2E35" w:rsidP="00682866">
      <w:pPr>
        <w:spacing w:line="360" w:lineRule="auto"/>
        <w:rPr>
          <w:rFonts w:ascii="Palatino Linotype" w:hAnsi="Palatino Linotype"/>
          <w:b/>
          <w:sz w:val="20"/>
          <w:szCs w:val="20"/>
        </w:rPr>
      </w:pPr>
      <w:r w:rsidRPr="00DE3EA0">
        <w:rPr>
          <w:rFonts w:ascii="Palatino Linotype" w:hAnsi="Palatino Linotype"/>
          <w:b/>
          <w:sz w:val="20"/>
          <w:szCs w:val="20"/>
        </w:rPr>
        <w:t xml:space="preserve">3.2 </w:t>
      </w:r>
      <w:r w:rsidR="00682866" w:rsidRPr="00DE3EA0">
        <w:rPr>
          <w:rFonts w:ascii="Palatino Linotype" w:hAnsi="Palatino Linotype"/>
          <w:b/>
          <w:sz w:val="20"/>
          <w:szCs w:val="20"/>
        </w:rPr>
        <w:t>Immunohistochemistry and staining evaluation</w:t>
      </w:r>
    </w:p>
    <w:p w:rsidR="00682866" w:rsidRPr="00DE3EA0" w:rsidRDefault="00682866" w:rsidP="00682866">
      <w:pPr>
        <w:spacing w:line="360" w:lineRule="auto"/>
        <w:ind w:firstLineChars="200" w:firstLine="400"/>
        <w:rPr>
          <w:rFonts w:ascii="Palatino Linotype" w:hAnsi="Palatino Linotype"/>
          <w:sz w:val="20"/>
          <w:szCs w:val="20"/>
        </w:rPr>
      </w:pPr>
      <w:r w:rsidRPr="00DE3EA0">
        <w:rPr>
          <w:rFonts w:ascii="Palatino Linotype" w:hAnsi="Palatino Linotype"/>
          <w:sz w:val="20"/>
          <w:szCs w:val="20"/>
        </w:rPr>
        <w:t>The five-micrometer paraffin-embedded tissue sections were deparaffinized in xylene and rehydrated with a series of gradient ethanol to water. The sections were heated to boiling point in citrate buffer (pH 6.0) for 30 min to unmask antigen, followed by a washing in phosphate-buffered saline (PBS). Endogenous peroxidase activity was blocked with 3% H</w:t>
      </w:r>
      <w:r w:rsidRPr="00DE3EA0">
        <w:rPr>
          <w:rFonts w:ascii="Palatino Linotype" w:hAnsi="Palatino Linotype"/>
          <w:sz w:val="20"/>
          <w:szCs w:val="20"/>
          <w:vertAlign w:val="subscript"/>
        </w:rPr>
        <w:t>2</w:t>
      </w:r>
      <w:r w:rsidRPr="00DE3EA0">
        <w:rPr>
          <w:rFonts w:ascii="Palatino Linotype" w:hAnsi="Palatino Linotype"/>
          <w:sz w:val="20"/>
          <w:szCs w:val="20"/>
        </w:rPr>
        <w:t>O</w:t>
      </w:r>
      <w:r w:rsidRPr="00DE3EA0">
        <w:rPr>
          <w:rFonts w:ascii="Palatino Linotype" w:hAnsi="Palatino Linotype"/>
          <w:sz w:val="20"/>
          <w:szCs w:val="20"/>
          <w:vertAlign w:val="subscript"/>
        </w:rPr>
        <w:t>2</w:t>
      </w:r>
      <w:r w:rsidRPr="00DE3EA0">
        <w:rPr>
          <w:rFonts w:ascii="Palatino Linotype" w:hAnsi="Palatino Linotype"/>
          <w:sz w:val="20"/>
          <w:szCs w:val="20"/>
        </w:rPr>
        <w:t xml:space="preserve"> in methanol followed by washing </w:t>
      </w:r>
      <w:r w:rsidRPr="00DE3EA0">
        <w:rPr>
          <w:rFonts w:ascii="Palatino Linotype" w:hAnsi="Palatino Linotype"/>
          <w:noProof/>
          <w:sz w:val="20"/>
          <w:szCs w:val="20"/>
        </w:rPr>
        <w:t>three times</w:t>
      </w:r>
      <w:r w:rsidRPr="00DE3EA0">
        <w:rPr>
          <w:rFonts w:ascii="Palatino Linotype" w:hAnsi="Palatino Linotype"/>
          <w:sz w:val="20"/>
          <w:szCs w:val="20"/>
        </w:rPr>
        <w:t xml:space="preserve"> in PBS. The sections were incubated with protein block (Dako, Carpinteria, CA) for 10 min and then incubated with mouse monoclonal MRE11 antibody (Abcam, Cambridge, UK) at 4°C overnight. After that, the sections were washed in PBS and then incubated with goat anti-mouse secondary antibody (Dako, Carpinteria, CA) at room temperature for 25 min. Next, the sections were subjected to 3,3’-diaminobenzidine tetrahydrochloride for 8 min and then counterstained with hematoxylin. Negative and positive controls were added in each staining run. All slides were scored by two independent investigators. Images of were captured with an Aperio CS2 slide scanner system (Leica </w:t>
      </w:r>
      <w:r w:rsidRPr="00DE3EA0">
        <w:rPr>
          <w:rFonts w:ascii="Palatino Linotype" w:hAnsi="Palatino Linotype"/>
          <w:noProof/>
          <w:sz w:val="20"/>
          <w:szCs w:val="20"/>
        </w:rPr>
        <w:t>Biosystems</w:t>
      </w:r>
      <w:r w:rsidRPr="00DE3EA0">
        <w:rPr>
          <w:rFonts w:ascii="Palatino Linotype" w:hAnsi="Palatino Linotype"/>
          <w:sz w:val="20"/>
          <w:szCs w:val="20"/>
        </w:rPr>
        <w:t>) using a 40x magnification. The percentage of MRE11 positive tumor cells was classified as high expression and low expression based on setting 75% as a cut-off point, regardless of the expression intensity.</w:t>
      </w:r>
    </w:p>
    <w:p w:rsidR="00682866" w:rsidRPr="00DE3EA0" w:rsidRDefault="00682866" w:rsidP="00682866">
      <w:pPr>
        <w:spacing w:line="360" w:lineRule="auto"/>
        <w:rPr>
          <w:rFonts w:ascii="Palatino Linotype" w:hAnsi="Palatino Linotype"/>
          <w:sz w:val="20"/>
          <w:szCs w:val="20"/>
        </w:rPr>
      </w:pPr>
    </w:p>
    <w:p w:rsidR="00682866" w:rsidRPr="00DE3EA0" w:rsidRDefault="000A2E35" w:rsidP="00682866">
      <w:pPr>
        <w:spacing w:line="360" w:lineRule="auto"/>
        <w:rPr>
          <w:rFonts w:ascii="Palatino Linotype" w:hAnsi="Palatino Linotype"/>
          <w:b/>
          <w:sz w:val="20"/>
          <w:szCs w:val="20"/>
        </w:rPr>
      </w:pPr>
      <w:r w:rsidRPr="00DE3EA0">
        <w:rPr>
          <w:rFonts w:ascii="Palatino Linotype" w:hAnsi="Palatino Linotype"/>
          <w:b/>
          <w:sz w:val="20"/>
          <w:szCs w:val="20"/>
        </w:rPr>
        <w:t xml:space="preserve">3.3 </w:t>
      </w:r>
      <w:r w:rsidR="00682866" w:rsidRPr="00DE3EA0">
        <w:rPr>
          <w:rFonts w:ascii="Palatino Linotype" w:hAnsi="Palatino Linotype"/>
          <w:b/>
          <w:sz w:val="20"/>
          <w:szCs w:val="20"/>
        </w:rPr>
        <w:t xml:space="preserve">The evaluation of tumor-infiltrating inflammatory cells, </w:t>
      </w:r>
    </w:p>
    <w:p w:rsidR="00682866" w:rsidRPr="00DE3EA0" w:rsidRDefault="00682866" w:rsidP="00682866">
      <w:pPr>
        <w:spacing w:line="360" w:lineRule="auto"/>
        <w:ind w:firstLineChars="200" w:firstLine="400"/>
        <w:rPr>
          <w:rFonts w:ascii="Palatino Linotype" w:hAnsi="Palatino Linotype"/>
          <w:sz w:val="20"/>
          <w:szCs w:val="20"/>
        </w:rPr>
      </w:pPr>
      <w:r w:rsidRPr="00DE3EA0">
        <w:rPr>
          <w:rFonts w:ascii="Palatino Linotype" w:hAnsi="Palatino Linotype"/>
          <w:sz w:val="20"/>
          <w:szCs w:val="20"/>
        </w:rPr>
        <w:lastRenderedPageBreak/>
        <w:t>The evaluation of tumor-infiltrating inflammatory cells (TIICs) followed previous study</w:t>
      </w:r>
      <w:r w:rsidRPr="00DE3EA0">
        <w:rPr>
          <w:rFonts w:ascii="Palatino Linotype" w:hAnsi="Palatino Linotype"/>
          <w:sz w:val="20"/>
          <w:szCs w:val="20"/>
        </w:rPr>
        <w:fldChar w:fldCharType="begin">
          <w:fldData xml:space="preserve">PEVuZE5vdGU+PENpdGU+PEF1dGhvcj5HYW88L0F1dGhvcj48WWVhcj4yMDA1PC9ZZWFyPjxSZWNO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</w:fldData>
        </w:fldChar>
      </w:r>
      <w:r w:rsidR="00112AFA">
        <w:rPr>
          <w:rFonts w:ascii="Palatino Linotype" w:hAnsi="Palatino Linotype"/>
          <w:sz w:val="20"/>
          <w:szCs w:val="20"/>
        </w:rPr>
        <w:instrText xml:space="preserve"> ADDIN EN.CITE </w:instrText>
      </w:r>
      <w:r w:rsidR="00112AFA">
        <w:rPr>
          <w:rFonts w:ascii="Palatino Linotype" w:hAnsi="Palatino Linotype"/>
          <w:sz w:val="20"/>
          <w:szCs w:val="20"/>
        </w:rPr>
        <w:fldChar w:fldCharType="begin">
          <w:fldData xml:space="preserve">PEVuZE5vdGU+PENpdGU+PEF1dGhvcj5HYW88L0F1dGhvcj48WWVhcj4yMDA1PC9ZZWFyPjxSZWNO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</w:fldData>
        </w:fldChar>
      </w:r>
      <w:r w:rsidR="00112AFA">
        <w:rPr>
          <w:rFonts w:ascii="Palatino Linotype" w:hAnsi="Palatino Linotype"/>
          <w:sz w:val="20"/>
          <w:szCs w:val="20"/>
        </w:rPr>
        <w:instrText xml:space="preserve"> ADDIN EN.CITE.DATA </w:instrText>
      </w:r>
      <w:r w:rsidR="00112AFA">
        <w:rPr>
          <w:rFonts w:ascii="Palatino Linotype" w:hAnsi="Palatino Linotype"/>
          <w:sz w:val="20"/>
          <w:szCs w:val="20"/>
        </w:rPr>
      </w:r>
      <w:r w:rsidR="00112AFA">
        <w:rPr>
          <w:rFonts w:ascii="Palatino Linotype" w:hAnsi="Palatino Linotype"/>
          <w:sz w:val="20"/>
          <w:szCs w:val="20"/>
        </w:rPr>
        <w:fldChar w:fldCharType="end"/>
      </w:r>
      <w:r w:rsidRPr="00DE3EA0">
        <w:rPr>
          <w:rFonts w:ascii="Palatino Linotype" w:hAnsi="Palatino Linotype"/>
          <w:sz w:val="20"/>
          <w:szCs w:val="20"/>
        </w:rPr>
      </w:r>
      <w:r w:rsidRPr="00DE3EA0">
        <w:rPr>
          <w:rFonts w:ascii="Palatino Linotype" w:hAnsi="Palatino Linotype"/>
          <w:sz w:val="20"/>
          <w:szCs w:val="20"/>
        </w:rPr>
        <w:fldChar w:fldCharType="separate"/>
      </w:r>
      <w:r w:rsidR="00112AFA">
        <w:rPr>
          <w:rFonts w:ascii="Palatino Linotype" w:hAnsi="Palatino Linotype"/>
          <w:noProof/>
          <w:sz w:val="20"/>
          <w:szCs w:val="20"/>
        </w:rPr>
        <w:t>(1)</w:t>
      </w:r>
      <w:r w:rsidRPr="00DE3EA0">
        <w:rPr>
          <w:rFonts w:ascii="Palatino Linotype" w:hAnsi="Palatino Linotype"/>
          <w:sz w:val="20"/>
          <w:szCs w:val="20"/>
        </w:rPr>
        <w:fldChar w:fldCharType="end"/>
      </w:r>
      <w:r w:rsidRPr="00DE3EA0">
        <w:rPr>
          <w:rFonts w:ascii="Palatino Linotype" w:hAnsi="Palatino Linotype"/>
          <w:sz w:val="20"/>
          <w:szCs w:val="20"/>
        </w:rPr>
        <w:t xml:space="preserve">. Briefly, TIICs were identified as small mononuclear cells in the stroma of the </w:t>
      </w:r>
      <w:r w:rsidRPr="00DE3EA0">
        <w:rPr>
          <w:rFonts w:ascii="Palatino Linotype" w:hAnsi="Palatino Linotype"/>
          <w:noProof/>
          <w:sz w:val="20"/>
          <w:szCs w:val="20"/>
        </w:rPr>
        <w:t xml:space="preserve">tumor and </w:t>
      </w:r>
      <w:r w:rsidRPr="00DE3EA0">
        <w:rPr>
          <w:rFonts w:ascii="Palatino Linotype" w:hAnsi="Palatino Linotype"/>
          <w:sz w:val="20"/>
          <w:szCs w:val="20"/>
        </w:rPr>
        <w:t xml:space="preserve">TIICs in the margins of the sections were not included in order to avoid artifacts. The distributions of the infiltration were classified into two groups by localization: (a) those presented </w:t>
      </w:r>
      <w:r w:rsidRPr="00DE3EA0">
        <w:rPr>
          <w:rFonts w:ascii="Palatino Linotype" w:hAnsi="Palatino Linotype"/>
          <w:noProof/>
          <w:sz w:val="20"/>
          <w:szCs w:val="20"/>
        </w:rPr>
        <w:t>along with</w:t>
      </w:r>
      <w:r w:rsidRPr="00DE3EA0">
        <w:rPr>
          <w:rFonts w:ascii="Palatino Linotype" w:hAnsi="Palatino Linotype"/>
          <w:sz w:val="20"/>
          <w:szCs w:val="20"/>
        </w:rPr>
        <w:t xml:space="preserve"> the invasive margin of the tumor; (b) those distributed in </w:t>
      </w:r>
      <w:r w:rsidRPr="00DE3EA0">
        <w:rPr>
          <w:rFonts w:ascii="Palatino Linotype" w:hAnsi="Palatino Linotype"/>
          <w:noProof/>
          <w:sz w:val="20"/>
          <w:szCs w:val="20"/>
        </w:rPr>
        <w:t>entire</w:t>
      </w:r>
      <w:r w:rsidRPr="00DE3EA0">
        <w:rPr>
          <w:rFonts w:ascii="Palatino Linotype" w:hAnsi="Palatino Linotype"/>
          <w:sz w:val="20"/>
          <w:szCs w:val="20"/>
        </w:rPr>
        <w:t xml:space="preserve"> tumor. The degree of infiltration was classified as absent, sparse, moderate, and intense according to the density of inflammatory cells. Since the distributions of TIICs were often heterogeneous, the entire sections were examined to assess tumor areas including high and low TIICs. But, only marginal infiltration of TIICs was included in present study.</w:t>
      </w:r>
    </w:p>
    <w:p w:rsidR="00682866" w:rsidRPr="00DE3EA0" w:rsidRDefault="00682866" w:rsidP="00682866">
      <w:pPr>
        <w:spacing w:line="360" w:lineRule="auto"/>
        <w:rPr>
          <w:rFonts w:ascii="Palatino Linotype" w:hAnsi="Palatino Linotype"/>
          <w:sz w:val="20"/>
          <w:szCs w:val="20"/>
        </w:rPr>
      </w:pPr>
    </w:p>
    <w:p w:rsidR="00682866" w:rsidRPr="00DE3EA0" w:rsidRDefault="000A2E35" w:rsidP="00682866">
      <w:pPr>
        <w:spacing w:line="360" w:lineRule="auto"/>
        <w:rPr>
          <w:rFonts w:ascii="Palatino Linotype" w:hAnsi="Palatino Linotype"/>
          <w:b/>
          <w:sz w:val="20"/>
          <w:szCs w:val="20"/>
        </w:rPr>
      </w:pPr>
      <w:r w:rsidRPr="00DE3EA0">
        <w:rPr>
          <w:rFonts w:ascii="Palatino Linotype" w:hAnsi="Palatino Linotype"/>
          <w:b/>
          <w:sz w:val="20"/>
          <w:szCs w:val="20"/>
        </w:rPr>
        <w:t xml:space="preserve">3.4 </w:t>
      </w:r>
      <w:r w:rsidR="00682866" w:rsidRPr="00DE3EA0">
        <w:rPr>
          <w:rFonts w:ascii="Palatino Linotype" w:hAnsi="Palatino Linotype"/>
          <w:b/>
          <w:sz w:val="20"/>
          <w:szCs w:val="20"/>
        </w:rPr>
        <w:t xml:space="preserve">Microsatellite testing and analysis </w:t>
      </w:r>
    </w:p>
    <w:p w:rsidR="00682866" w:rsidRPr="00DE3EA0" w:rsidRDefault="00682866" w:rsidP="00682866">
      <w:pPr>
        <w:spacing w:line="360" w:lineRule="auto"/>
        <w:rPr>
          <w:rFonts w:ascii="Palatino Linotype" w:hAnsi="Palatino Linotype"/>
          <w:sz w:val="20"/>
          <w:szCs w:val="20"/>
        </w:rPr>
      </w:pPr>
      <w:r w:rsidRPr="00DE3EA0">
        <w:rPr>
          <w:rFonts w:ascii="Palatino Linotype" w:hAnsi="Palatino Linotype"/>
          <w:sz w:val="20"/>
          <w:szCs w:val="20"/>
        </w:rPr>
        <w:t>The microsatellite status (MSS; MSI) of all samples from cohort 1 was identified by PCR based assays following previous study</w:t>
      </w:r>
      <w:r w:rsidR="00C8103D">
        <w:rPr>
          <w:rFonts w:ascii="Palatino Linotype" w:hAnsi="Palatino Linotype"/>
          <w:sz w:val="20"/>
          <w:szCs w:val="20"/>
        </w:rPr>
        <w:t xml:space="preserve"> </w:t>
      </w:r>
      <w:r w:rsidRPr="00DE3EA0">
        <w:rPr>
          <w:rFonts w:ascii="Palatino Linotype" w:hAnsi="Palatino Linotype"/>
          <w:sz w:val="20"/>
          <w:szCs w:val="20"/>
        </w:rPr>
        <w:fldChar w:fldCharType="begin">
          <w:fldData xml:space="preserve">PEVuZE5vdGU+PENpdGU+PEF1dGhvcj5HYW88L0F1dGhvcj48WWVhcj4yMDA4PC9ZZWFyPjxSZWNO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</w:fldData>
        </w:fldChar>
      </w:r>
      <w:r w:rsidR="00112AFA">
        <w:rPr>
          <w:rFonts w:ascii="Palatino Linotype" w:hAnsi="Palatino Linotype"/>
          <w:sz w:val="20"/>
          <w:szCs w:val="20"/>
        </w:rPr>
        <w:instrText xml:space="preserve"> ADDIN EN.CITE </w:instrText>
      </w:r>
      <w:r w:rsidR="00112AFA">
        <w:rPr>
          <w:rFonts w:ascii="Palatino Linotype" w:hAnsi="Palatino Linotype"/>
          <w:sz w:val="20"/>
          <w:szCs w:val="20"/>
        </w:rPr>
        <w:fldChar w:fldCharType="begin">
          <w:fldData xml:space="preserve">PEVuZE5vdGU+PENpdGU+PEF1dGhvcj5HYW88L0F1dGhvcj48WWVhcj4yMDA4PC9ZZWFyPjxSZWNO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</w:fldData>
        </w:fldChar>
      </w:r>
      <w:r w:rsidR="00112AFA">
        <w:rPr>
          <w:rFonts w:ascii="Palatino Linotype" w:hAnsi="Palatino Linotype"/>
          <w:sz w:val="20"/>
          <w:szCs w:val="20"/>
        </w:rPr>
        <w:instrText xml:space="preserve"> ADDIN EN.CITE.DATA </w:instrText>
      </w:r>
      <w:r w:rsidR="00112AFA">
        <w:rPr>
          <w:rFonts w:ascii="Palatino Linotype" w:hAnsi="Palatino Linotype"/>
          <w:sz w:val="20"/>
          <w:szCs w:val="20"/>
        </w:rPr>
      </w:r>
      <w:r w:rsidR="00112AFA">
        <w:rPr>
          <w:rFonts w:ascii="Palatino Linotype" w:hAnsi="Palatino Linotype"/>
          <w:sz w:val="20"/>
          <w:szCs w:val="20"/>
        </w:rPr>
        <w:fldChar w:fldCharType="end"/>
      </w:r>
      <w:r w:rsidRPr="00DE3EA0">
        <w:rPr>
          <w:rFonts w:ascii="Palatino Linotype" w:hAnsi="Palatino Linotype"/>
          <w:sz w:val="20"/>
          <w:szCs w:val="20"/>
        </w:rPr>
      </w:r>
      <w:r w:rsidRPr="00DE3EA0">
        <w:rPr>
          <w:rFonts w:ascii="Palatino Linotype" w:hAnsi="Palatino Linotype"/>
          <w:sz w:val="20"/>
          <w:szCs w:val="20"/>
        </w:rPr>
        <w:fldChar w:fldCharType="separate"/>
      </w:r>
      <w:r w:rsidR="00112AFA">
        <w:rPr>
          <w:rFonts w:ascii="Palatino Linotype" w:hAnsi="Palatino Linotype"/>
          <w:noProof/>
          <w:sz w:val="20"/>
          <w:szCs w:val="20"/>
        </w:rPr>
        <w:t>(2)</w:t>
      </w:r>
      <w:r w:rsidRPr="00DE3EA0">
        <w:rPr>
          <w:rFonts w:ascii="Palatino Linotype" w:hAnsi="Palatino Linotype"/>
          <w:sz w:val="20"/>
          <w:szCs w:val="20"/>
        </w:rPr>
        <w:fldChar w:fldCharType="end"/>
      </w:r>
      <w:r w:rsidRPr="00DE3EA0">
        <w:rPr>
          <w:rFonts w:ascii="Palatino Linotype" w:hAnsi="Palatino Linotype"/>
          <w:sz w:val="20"/>
          <w:szCs w:val="20"/>
        </w:rPr>
        <w:t xml:space="preserve">. </w:t>
      </w:r>
    </w:p>
    <w:p w:rsidR="00682866" w:rsidRPr="00DE3EA0" w:rsidRDefault="00682866" w:rsidP="00682866">
      <w:pPr>
        <w:spacing w:line="360" w:lineRule="auto"/>
        <w:rPr>
          <w:rFonts w:ascii="Palatino Linotype" w:hAnsi="Palatino Linotype"/>
          <w:sz w:val="20"/>
          <w:szCs w:val="20"/>
        </w:rPr>
      </w:pPr>
    </w:p>
    <w:p w:rsidR="004E71CA" w:rsidRPr="00574A2C" w:rsidRDefault="000A2E35" w:rsidP="004E71CA">
      <w:pPr>
        <w:spacing w:line="360" w:lineRule="auto"/>
        <w:rPr>
          <w:b/>
          <w:sz w:val="20"/>
          <w:szCs w:val="20"/>
        </w:rPr>
      </w:pPr>
      <w:r w:rsidRPr="00DE3EA0">
        <w:rPr>
          <w:rFonts w:ascii="Palatino Linotype" w:hAnsi="Palatino Linotype"/>
          <w:b/>
          <w:sz w:val="20"/>
          <w:szCs w:val="20"/>
        </w:rPr>
        <w:t xml:space="preserve">3.5 </w:t>
      </w:r>
      <w:r w:rsidR="004E71CA" w:rsidRPr="00574A2C">
        <w:rPr>
          <w:b/>
          <w:sz w:val="20"/>
          <w:szCs w:val="20"/>
        </w:rPr>
        <w:t>Construction of weighted gene co-expression network</w:t>
      </w:r>
    </w:p>
    <w:p w:rsidR="004E71CA" w:rsidRPr="00574A2C" w:rsidRDefault="004E71CA" w:rsidP="004E71CA">
      <w:pPr>
        <w:spacing w:line="360" w:lineRule="auto"/>
        <w:rPr>
          <w:sz w:val="20"/>
          <w:szCs w:val="20"/>
        </w:rPr>
      </w:pPr>
      <w:r w:rsidRPr="00574A2C">
        <w:rPr>
          <w:sz w:val="20"/>
          <w:szCs w:val="20"/>
        </w:rPr>
        <w:t>The R package WGNCA was performed for co-expression network constructions</w:t>
      </w:r>
      <w:r w:rsidR="00C8103D">
        <w:rPr>
          <w:sz w:val="20"/>
          <w:szCs w:val="20"/>
        </w:rPr>
        <w:t xml:space="preserve"> </w:t>
      </w:r>
      <w:r w:rsidR="00C8103D">
        <w:rPr>
          <w:sz w:val="20"/>
          <w:szCs w:val="20"/>
        </w:rPr>
        <w:fldChar w:fldCharType="begin"/>
      </w:r>
      <w:r w:rsidR="00C8103D">
        <w:rPr>
          <w:sz w:val="20"/>
          <w:szCs w:val="20"/>
        </w:rPr>
        <w:instrText xml:space="preserve"> ADDIN EN.CITE &lt;EndNote&gt;&lt;Cite&gt;&lt;Author&gt;Langfelder&lt;/Author&gt;&lt;Year&gt;2008&lt;/Year&gt;&lt;RecNum&gt;18254&lt;/RecNum&gt;&lt;DisplayText&gt;(3)&lt;/DisplayText&gt;&lt;record&gt;&lt;rec-number&gt;18254&lt;/rec-number&gt;&lt;foreign-keys&gt;&lt;key app="EN" db-id="9tdvefaz7st9aae5x5gvdrfzfrprzp90twpf" timestamp="1533765738"&gt;18254&lt;/key&gt;&lt;/foreign-keys&gt;&lt;ref-type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Peter.Langfelder@gmail.com&lt;/auth-address&gt;&lt;titles&gt;&lt;title&gt;WGCNA: an R package for weighted correlation network 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Bioinformatics&lt;/abbr-1&gt;&lt;/alt-periodical&gt;&lt;pages&gt;559&lt;/pages&gt;&lt;volume&gt;9&lt;/volume&gt;&lt;keywords&gt;&lt;keyword&gt;Algorithms&lt;/keyword&gt;&lt;keyword&gt;Animals&lt;/keyword&gt;&lt;keyword&gt;Computational Biology/*methods&lt;/keyword&gt;&lt;keyword&gt;Computer Graphics&lt;/keyword&gt;&lt;keyword&gt;*Computing Methodologies&lt;/keyword&gt;&lt;keyword&gt;Databases, Genetic&lt;/keyword&gt;&lt;keyword&gt;Gene Expression Profiling/methods&lt;/keyword&gt;&lt;keyword&gt;Humans&lt;/keyword&gt;&lt;keyword&gt;Mice&lt;/keyword&gt;&lt;keyword&gt;Oligonucleotide Array Sequence Analysis/*methods&lt;/keyword&gt;&lt;keyword&gt;Pattern Recognition, Automated&lt;/keyword&gt;&lt;keyword&gt;Programming Languages&lt;/keyword&gt;&lt;keyword&gt;*Software&lt;/keyword&gt;&lt;keyword&gt;Systems Biology&lt;/keyword&gt;&lt;/keywords&gt;&lt;dates&gt;&lt;year&gt;2008&lt;/year&gt;&lt;pub-dates&gt;&lt;date&gt;Dec 29&lt;/date&gt;&lt;/pub-dates&gt;&lt;/dates&gt;&lt;isbn&gt;1471-2105 (Electronic)&amp;#xD;1471-2105 (Linking)&lt;/isbn&gt;&lt;accession-num&gt;19114008&lt;/accession-num&gt;&lt;urls&gt;&lt;related-urls&gt;&lt;url&gt;http://www.ncbi.nlm.nih.gov/pubmed/19114008&lt;/url&gt;&lt;/related-urls&gt;&lt;/urls&gt;&lt;custom2&gt;2631488&lt;/custom2&gt;&lt;electronic-resource-num&gt;10.1186/1471-2105-9-559&lt;/electronic-resource-num&gt;&lt;/record&gt;&lt;/Cite&gt;&lt;/EndNote&gt;</w:instrText>
      </w:r>
      <w:r w:rsidR="00C8103D">
        <w:rPr>
          <w:sz w:val="20"/>
          <w:szCs w:val="20"/>
        </w:rPr>
        <w:fldChar w:fldCharType="separate"/>
      </w:r>
      <w:r w:rsidR="00C8103D">
        <w:rPr>
          <w:noProof/>
          <w:sz w:val="20"/>
          <w:szCs w:val="20"/>
        </w:rPr>
        <w:t>(3)</w:t>
      </w:r>
      <w:r w:rsidR="00C8103D">
        <w:rPr>
          <w:sz w:val="20"/>
          <w:szCs w:val="20"/>
        </w:rPr>
        <w:fldChar w:fldCharType="end"/>
      </w:r>
      <w:r w:rsidRPr="00574A2C">
        <w:rPr>
          <w:sz w:val="20"/>
          <w:szCs w:val="20"/>
        </w:rPr>
        <w:t xml:space="preserve">. 5086 differentially expressed genes (DEGs) were included in the network. First, one outlier samples were removed from the </w:t>
      </w:r>
      <w:r w:rsidRPr="00574A2C">
        <w:rPr>
          <w:noProof/>
          <w:sz w:val="20"/>
          <w:szCs w:val="20"/>
        </w:rPr>
        <w:t>subsequent</w:t>
      </w:r>
      <w:r w:rsidRPr="00574A2C">
        <w:rPr>
          <w:sz w:val="20"/>
          <w:szCs w:val="20"/>
        </w:rPr>
        <w:t xml:space="preserve"> analysis (Supplementary </w:t>
      </w:r>
      <w:r>
        <w:rPr>
          <w:sz w:val="20"/>
          <w:szCs w:val="20"/>
        </w:rPr>
        <w:t>Fig.</w:t>
      </w:r>
      <w:r w:rsidRPr="00574A2C">
        <w:rPr>
          <w:sz w:val="20"/>
          <w:szCs w:val="20"/>
        </w:rPr>
        <w:t xml:space="preserve"> S3A). A power of 3 was selected, in accordance with networks’ connectivity distributions approximate the power law, indicating the network possesses scale-free topology. The topological overlap distance calculated from the adjacency matrix was then clustered with the average linkage hierarchical clustering. To obtain moderately large and distinct modules, we set the minimum module size to 40 genes and the minimum height for merging modules at 0.15. </w:t>
      </w:r>
    </w:p>
    <w:p w:rsidR="004E71CA" w:rsidRPr="00574A2C" w:rsidRDefault="004E71CA" w:rsidP="004E71CA">
      <w:pPr>
        <w:spacing w:line="360" w:lineRule="auto"/>
        <w:rPr>
          <w:sz w:val="20"/>
          <w:szCs w:val="20"/>
        </w:rPr>
      </w:pPr>
      <w:r w:rsidRPr="00574A2C">
        <w:rPr>
          <w:sz w:val="20"/>
          <w:szCs w:val="20"/>
        </w:rPr>
        <w:t>Next, we determined correlations among gene expression modules and clinical traits. The MSI status, histological type, lymphatic invasion, venous invasion, and MRE11 expression in left-sided and right-sided CR</w:t>
      </w:r>
      <w:r w:rsidRPr="006D1C67">
        <w:rPr>
          <w:sz w:val="20"/>
          <w:szCs w:val="20"/>
        </w:rPr>
        <w:t>C were chosen as clinical traits. In addition, the association of gene significance (GS) and module membership (MM) was also assessed how close significance of gene expression is to the module.</w:t>
      </w:r>
      <w:r w:rsidR="008666C3" w:rsidRPr="006D1C67">
        <w:rPr>
          <w:sz w:val="20"/>
          <w:szCs w:val="20"/>
        </w:rPr>
        <w:t xml:space="preserve"> The data and scripts </w:t>
      </w:r>
      <w:r w:rsidR="00B63E95" w:rsidRPr="006D1C67">
        <w:rPr>
          <w:sz w:val="20"/>
          <w:szCs w:val="20"/>
        </w:rPr>
        <w:t>c</w:t>
      </w:r>
      <w:r w:rsidR="004556AD" w:rsidRPr="006D1C67">
        <w:rPr>
          <w:sz w:val="20"/>
          <w:szCs w:val="20"/>
        </w:rPr>
        <w:t>an</w:t>
      </w:r>
      <w:r w:rsidR="00B63E95" w:rsidRPr="006D1C67">
        <w:rPr>
          <w:sz w:val="20"/>
          <w:szCs w:val="20"/>
        </w:rPr>
        <w:t xml:space="preserve"> be found</w:t>
      </w:r>
      <w:r w:rsidR="008666C3" w:rsidRPr="006D1C67">
        <w:rPr>
          <w:sz w:val="20"/>
          <w:szCs w:val="20"/>
        </w:rPr>
        <w:t xml:space="preserve"> on the GitHub page as the link: https://github.com/xuntian2005/MRE11_WGCNA.</w:t>
      </w:r>
    </w:p>
    <w:p w:rsidR="004E71CA" w:rsidRDefault="004E71CA" w:rsidP="00682866">
      <w:pPr>
        <w:spacing w:line="360" w:lineRule="auto"/>
        <w:rPr>
          <w:rFonts w:ascii="Palatino Linotype" w:hAnsi="Palatino Linotype"/>
          <w:b/>
          <w:sz w:val="20"/>
          <w:szCs w:val="20"/>
        </w:rPr>
      </w:pPr>
    </w:p>
    <w:p w:rsidR="00682866" w:rsidRPr="00DE3EA0" w:rsidRDefault="004E71CA" w:rsidP="00682866">
      <w:pPr>
        <w:spacing w:line="360" w:lineRule="auto"/>
        <w:rPr>
          <w:rFonts w:ascii="Palatino Linotype" w:hAnsi="Palatino Linotype"/>
          <w:b/>
          <w:sz w:val="20"/>
          <w:szCs w:val="20"/>
        </w:rPr>
      </w:pPr>
      <w:r>
        <w:rPr>
          <w:rFonts w:ascii="Palatino Linotype" w:hAnsi="Palatino Linotype"/>
          <w:b/>
          <w:sz w:val="20"/>
          <w:szCs w:val="20"/>
        </w:rPr>
        <w:t xml:space="preserve">3.6 </w:t>
      </w:r>
      <w:r w:rsidR="00682866" w:rsidRPr="00DE3EA0">
        <w:rPr>
          <w:rFonts w:ascii="Palatino Linotype" w:hAnsi="Palatino Linotype"/>
          <w:b/>
          <w:sz w:val="20"/>
          <w:szCs w:val="20"/>
        </w:rPr>
        <w:t>ClueGO-CluePedia functional analysis</w:t>
      </w:r>
    </w:p>
    <w:p w:rsidR="00682866" w:rsidRPr="00DE3EA0" w:rsidRDefault="00682866" w:rsidP="00682866">
      <w:pPr>
        <w:spacing w:line="360" w:lineRule="auto"/>
        <w:rPr>
          <w:rFonts w:ascii="Palatino Linotype" w:hAnsi="Palatino Linotype"/>
          <w:sz w:val="20"/>
          <w:szCs w:val="20"/>
        </w:rPr>
      </w:pPr>
      <w:r w:rsidRPr="00DE3EA0">
        <w:rPr>
          <w:rFonts w:ascii="Palatino Linotype" w:hAnsi="Palatino Linotype"/>
          <w:sz w:val="20"/>
          <w:szCs w:val="20"/>
        </w:rPr>
        <w:lastRenderedPageBreak/>
        <w:t xml:space="preserve">    To investigate the biological role of the genes of the </w:t>
      </w:r>
      <w:r w:rsidRPr="00DE3EA0">
        <w:rPr>
          <w:rFonts w:ascii="Palatino Linotype" w:hAnsi="Palatino Linotype"/>
          <w:noProof/>
          <w:sz w:val="20"/>
          <w:szCs w:val="20"/>
        </w:rPr>
        <w:t>module</w:t>
      </w:r>
      <w:r w:rsidRPr="00DE3EA0">
        <w:rPr>
          <w:rFonts w:ascii="Palatino Linotype" w:hAnsi="Palatino Linotype"/>
          <w:sz w:val="20"/>
          <w:szCs w:val="20"/>
        </w:rPr>
        <w:t xml:space="preserve"> identified, we used a Cytoscape plugin app, ClueGO and CluePedia, which presents enriched pathways within a network, interconnected based on kappa score</w:t>
      </w:r>
      <w:r w:rsidR="00C8103D">
        <w:rPr>
          <w:rFonts w:ascii="Palatino Linotype" w:hAnsi="Palatino Linotype"/>
          <w:sz w:val="20"/>
          <w:szCs w:val="20"/>
        </w:rPr>
        <w:t xml:space="preserve"> </w:t>
      </w:r>
      <w:r w:rsidRPr="00DE3EA0">
        <w:rPr>
          <w:rFonts w:ascii="Palatino Linotype" w:hAnsi="Palatino Linotype"/>
          <w:sz w:val="20"/>
          <w:szCs w:val="20"/>
        </w:rPr>
        <w:fldChar w:fldCharType="begin">
          <w:fldData xml:space="preserve">PEVuZE5vdGU+PENpdGU+PEF1dGhvcj5NbGVjbmlrPC9BdXRob3I+PFllYXI+MjAxNjwvWWVhcj48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LCA3NTAwNiBQYXJpcywgRnJhbmNlOyBJTlNFUk0sIFUxMDc5LCBGYWN1bHRlIGRlIE1lZGVjaW5l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</w:fldData>
        </w:fldChar>
      </w:r>
      <w:r w:rsidR="00C8103D">
        <w:rPr>
          <w:rFonts w:ascii="Palatino Linotype" w:hAnsi="Palatino Linotype"/>
          <w:sz w:val="20"/>
          <w:szCs w:val="20"/>
        </w:rPr>
        <w:instrText xml:space="preserve"> ADDIN EN.CITE </w:instrText>
      </w:r>
      <w:r w:rsidR="00C8103D">
        <w:rPr>
          <w:rFonts w:ascii="Palatino Linotype" w:hAnsi="Palatino Linotype"/>
          <w:sz w:val="20"/>
          <w:szCs w:val="20"/>
        </w:rPr>
        <w:fldChar w:fldCharType="begin">
          <w:fldData xml:space="preserve">PEVuZE5vdGU+PENpdGU+PEF1dGhvcj5NbGVjbmlrPC9BdXRob3I+PFllYXI+MjAxNjwvWWVhcj48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LCA3NTAwNiBQYXJpcywgRnJhbmNlOyBJTlNFUk0sIFUxMDc5LCBGYWN1bHRlIGRlIE1lZGVjaW5l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</w:fldData>
        </w:fldChar>
      </w:r>
      <w:r w:rsidR="00C8103D">
        <w:rPr>
          <w:rFonts w:ascii="Palatino Linotype" w:hAnsi="Palatino Linotype"/>
          <w:sz w:val="20"/>
          <w:szCs w:val="20"/>
        </w:rPr>
        <w:instrText xml:space="preserve"> ADDIN EN.CITE.DATA </w:instrText>
      </w:r>
      <w:r w:rsidR="00C8103D">
        <w:rPr>
          <w:rFonts w:ascii="Palatino Linotype" w:hAnsi="Palatino Linotype"/>
          <w:sz w:val="20"/>
          <w:szCs w:val="20"/>
        </w:rPr>
      </w:r>
      <w:r w:rsidR="00C8103D">
        <w:rPr>
          <w:rFonts w:ascii="Palatino Linotype" w:hAnsi="Palatino Linotype"/>
          <w:sz w:val="20"/>
          <w:szCs w:val="20"/>
        </w:rPr>
        <w:fldChar w:fldCharType="end"/>
      </w:r>
      <w:r w:rsidRPr="00DE3EA0">
        <w:rPr>
          <w:rFonts w:ascii="Palatino Linotype" w:hAnsi="Palatino Linotype"/>
          <w:sz w:val="20"/>
          <w:szCs w:val="20"/>
        </w:rPr>
      </w:r>
      <w:r w:rsidRPr="00DE3EA0">
        <w:rPr>
          <w:rFonts w:ascii="Palatino Linotype" w:hAnsi="Palatino Linotype"/>
          <w:sz w:val="20"/>
          <w:szCs w:val="20"/>
        </w:rPr>
        <w:fldChar w:fldCharType="separate"/>
      </w:r>
      <w:r w:rsidR="00C8103D">
        <w:rPr>
          <w:rFonts w:ascii="Palatino Linotype" w:hAnsi="Palatino Linotype"/>
          <w:noProof/>
          <w:sz w:val="20"/>
          <w:szCs w:val="20"/>
        </w:rPr>
        <w:t>(4)</w:t>
      </w:r>
      <w:r w:rsidRPr="00DE3EA0">
        <w:rPr>
          <w:rFonts w:ascii="Palatino Linotype" w:hAnsi="Palatino Linotype"/>
          <w:sz w:val="20"/>
          <w:szCs w:val="20"/>
        </w:rPr>
        <w:fldChar w:fldCharType="end"/>
      </w:r>
      <w:r w:rsidRPr="00DE3EA0">
        <w:rPr>
          <w:rFonts w:ascii="Palatino Linotype" w:hAnsi="Palatino Linotype"/>
          <w:sz w:val="20"/>
          <w:szCs w:val="20"/>
        </w:rPr>
        <w:t xml:space="preserve">. In the </w:t>
      </w:r>
      <w:r w:rsidRPr="00DE3EA0">
        <w:rPr>
          <w:rFonts w:ascii="Palatino Linotype" w:hAnsi="Palatino Linotype"/>
          <w:noProof/>
          <w:sz w:val="20"/>
          <w:szCs w:val="20"/>
        </w:rPr>
        <w:t>present</w:t>
      </w:r>
      <w:r w:rsidRPr="00DE3EA0">
        <w:rPr>
          <w:rFonts w:ascii="Palatino Linotype" w:hAnsi="Palatino Linotype"/>
          <w:sz w:val="20"/>
          <w:szCs w:val="20"/>
        </w:rPr>
        <w:t xml:space="preserve"> analysis, GO evidence was limited in all experimental model. Terms found in the 3-8 GO interval, with at least 3 genes from the initial list representing minimum 3% were selected. An adjusted </w:t>
      </w:r>
      <w:r w:rsidRPr="00DE3EA0">
        <w:rPr>
          <w:rFonts w:ascii="Palatino Linotype" w:hAnsi="Palatino Linotype"/>
          <w:i/>
          <w:sz w:val="20"/>
          <w:szCs w:val="20"/>
        </w:rPr>
        <w:t>P</w:t>
      </w:r>
      <w:r w:rsidRPr="00DE3EA0">
        <w:rPr>
          <w:rFonts w:ascii="Palatino Linotype" w:hAnsi="Palatino Linotype"/>
          <w:sz w:val="20"/>
          <w:szCs w:val="20"/>
        </w:rPr>
        <w:t xml:space="preserve"> value of &lt;0.01 or &lt;0.05 and a </w:t>
      </w:r>
      <w:r w:rsidRPr="00DE3EA0">
        <w:rPr>
          <w:rFonts w:ascii="Palatino Linotype" w:hAnsi="Palatino Linotype"/>
          <w:noProof/>
          <w:sz w:val="20"/>
          <w:szCs w:val="20"/>
        </w:rPr>
        <w:t>kappa</w:t>
      </w:r>
      <w:r w:rsidRPr="00DE3EA0">
        <w:rPr>
          <w:rFonts w:ascii="Palatino Linotype" w:hAnsi="Palatino Linotype"/>
          <w:sz w:val="20"/>
          <w:szCs w:val="20"/>
        </w:rPr>
        <w:t xml:space="preserve"> coefficient of 0.4 </w:t>
      </w:r>
      <w:r w:rsidRPr="00DE3EA0">
        <w:rPr>
          <w:rFonts w:ascii="Palatino Linotype" w:hAnsi="Palatino Linotype"/>
          <w:noProof/>
          <w:sz w:val="20"/>
          <w:szCs w:val="20"/>
        </w:rPr>
        <w:t>were</w:t>
      </w:r>
      <w:r w:rsidRPr="00DE3EA0">
        <w:rPr>
          <w:rFonts w:ascii="Palatino Linotype" w:hAnsi="Palatino Linotype"/>
          <w:sz w:val="20"/>
          <w:szCs w:val="20"/>
        </w:rPr>
        <w:t xml:space="preserve"> considered as threshold values. </w:t>
      </w:r>
    </w:p>
    <w:p w:rsidR="00682866" w:rsidRPr="00DE3EA0" w:rsidRDefault="00682866" w:rsidP="00682866">
      <w:pPr>
        <w:spacing w:line="360" w:lineRule="auto"/>
        <w:rPr>
          <w:rFonts w:ascii="Palatino Linotype" w:hAnsi="Palatino Linotype"/>
          <w:sz w:val="20"/>
          <w:szCs w:val="20"/>
        </w:rPr>
      </w:pPr>
    </w:p>
    <w:p w:rsidR="00682866" w:rsidRPr="00DE3EA0" w:rsidRDefault="000A2E35" w:rsidP="00682866">
      <w:pPr>
        <w:spacing w:line="360" w:lineRule="auto"/>
        <w:rPr>
          <w:rFonts w:ascii="Palatino Linotype" w:hAnsi="Palatino Linotype"/>
          <w:b/>
          <w:sz w:val="20"/>
          <w:szCs w:val="20"/>
        </w:rPr>
      </w:pPr>
      <w:r w:rsidRPr="00DE3EA0">
        <w:rPr>
          <w:rFonts w:ascii="Palatino Linotype" w:hAnsi="Palatino Linotype"/>
          <w:b/>
          <w:sz w:val="20"/>
          <w:szCs w:val="20"/>
        </w:rPr>
        <w:t>3.</w:t>
      </w:r>
      <w:r w:rsidR="004E71CA">
        <w:rPr>
          <w:rFonts w:ascii="Palatino Linotype" w:hAnsi="Palatino Linotype"/>
          <w:b/>
          <w:sz w:val="20"/>
          <w:szCs w:val="20"/>
        </w:rPr>
        <w:t>7</w:t>
      </w:r>
      <w:r w:rsidRPr="00DE3EA0">
        <w:rPr>
          <w:rFonts w:ascii="Palatino Linotype" w:hAnsi="Palatino Linotype"/>
          <w:b/>
          <w:sz w:val="20"/>
          <w:szCs w:val="20"/>
        </w:rPr>
        <w:t xml:space="preserve"> </w:t>
      </w:r>
      <w:r w:rsidR="00682866" w:rsidRPr="00DE3EA0">
        <w:rPr>
          <w:rFonts w:ascii="Palatino Linotype" w:hAnsi="Palatino Linotype"/>
          <w:b/>
          <w:sz w:val="20"/>
          <w:szCs w:val="20"/>
        </w:rPr>
        <w:t>Statistical analyses</w:t>
      </w:r>
    </w:p>
    <w:p w:rsidR="000A2E35" w:rsidRPr="00DE3EA0" w:rsidRDefault="00682866" w:rsidP="000A2E35">
      <w:pPr>
        <w:spacing w:line="360" w:lineRule="auto"/>
        <w:ind w:firstLineChars="150" w:firstLine="300"/>
        <w:rPr>
          <w:rFonts w:ascii="Palatino Linotype" w:hAnsi="Palatino Linotype"/>
          <w:sz w:val="20"/>
          <w:szCs w:val="20"/>
        </w:rPr>
      </w:pPr>
      <w:r w:rsidRPr="00DE3EA0">
        <w:rPr>
          <w:rFonts w:ascii="Palatino Linotype" w:hAnsi="Palatino Linotype"/>
          <w:sz w:val="20"/>
          <w:szCs w:val="20"/>
        </w:rPr>
        <w:t>Data analysis was performed by using SPSS 22.0 software package (SPSS, Inc., IL, USA). The χ</w:t>
      </w:r>
      <w:r w:rsidRPr="00DE3EA0">
        <w:rPr>
          <w:rFonts w:ascii="Palatino Linotype" w:hAnsi="Palatino Linotype"/>
          <w:sz w:val="20"/>
          <w:szCs w:val="20"/>
          <w:vertAlign w:val="superscript"/>
        </w:rPr>
        <w:t>2</w:t>
      </w:r>
      <w:r w:rsidRPr="00DE3EA0">
        <w:rPr>
          <w:rFonts w:ascii="Palatino Linotype" w:hAnsi="Palatino Linotype"/>
          <w:sz w:val="20"/>
          <w:szCs w:val="20"/>
        </w:rPr>
        <w:t xml:space="preserve"> test method were used to determine the difference in expression of the proteins among normal mucosa, primary tumor, </w:t>
      </w:r>
      <w:r w:rsidRPr="00DE3EA0">
        <w:rPr>
          <w:rFonts w:ascii="Palatino Linotype" w:hAnsi="Palatino Linotype"/>
          <w:noProof/>
          <w:sz w:val="20"/>
          <w:szCs w:val="20"/>
        </w:rPr>
        <w:t>and</w:t>
      </w:r>
      <w:r w:rsidRPr="00DE3EA0">
        <w:rPr>
          <w:rFonts w:ascii="Palatino Linotype" w:hAnsi="Palatino Linotype"/>
          <w:sz w:val="20"/>
          <w:szCs w:val="20"/>
        </w:rPr>
        <w:t xml:space="preserve"> metastasis, as well as the relationship of the proteins’ expression in primary CRC with clinicopathological features in cohort 1. Two-tailed, student </w:t>
      </w:r>
      <w:r w:rsidRPr="00DE3EA0">
        <w:rPr>
          <w:rFonts w:ascii="Palatino Linotype" w:hAnsi="Palatino Linotype"/>
          <w:i/>
          <w:sz w:val="20"/>
          <w:szCs w:val="20"/>
        </w:rPr>
        <w:t xml:space="preserve">t-test or </w:t>
      </w:r>
      <w:r w:rsidRPr="00DE3EA0">
        <w:rPr>
          <w:rFonts w:ascii="Palatino Linotype" w:hAnsi="Palatino Linotype"/>
          <w:sz w:val="20"/>
          <w:szCs w:val="20"/>
        </w:rPr>
        <w:t>one-way ANOVA</w:t>
      </w:r>
      <w:r w:rsidRPr="00DE3EA0">
        <w:rPr>
          <w:rFonts w:ascii="Palatino Linotype" w:hAnsi="Palatino Linotype"/>
          <w:i/>
          <w:sz w:val="20"/>
          <w:szCs w:val="20"/>
        </w:rPr>
        <w:t xml:space="preserve"> </w:t>
      </w:r>
      <w:r w:rsidRPr="00DE3EA0">
        <w:rPr>
          <w:rFonts w:ascii="Palatino Linotype" w:hAnsi="Palatino Linotype"/>
          <w:sz w:val="20"/>
          <w:szCs w:val="20"/>
        </w:rPr>
        <w:t xml:space="preserve">was performed to compare numerical values in cohort 2. To assess MRE11 as a prognostic biomarker, patient samples analyzed were dichotomized into two groups designed as high- and low- groups, based on </w:t>
      </w:r>
      <w:r w:rsidRPr="00DE3EA0">
        <w:rPr>
          <w:rFonts w:ascii="Palatino Linotype" w:hAnsi="Palatino Linotype"/>
          <w:noProof/>
          <w:sz w:val="20"/>
          <w:szCs w:val="20"/>
        </w:rPr>
        <w:t>an MRE11</w:t>
      </w:r>
      <w:r w:rsidRPr="00DE3EA0">
        <w:rPr>
          <w:rFonts w:ascii="Palatino Linotype" w:hAnsi="Palatino Linotype"/>
          <w:sz w:val="20"/>
          <w:szCs w:val="20"/>
        </w:rPr>
        <w:t xml:space="preserve"> cutoff value (8.7368) in cohort2. Survival curves were estimated using the Kaplan-Meier with the log-rank test. Univariate and multivariate Cox tests were performed to assess the relative contribution of the risk group when assessed alone or after adjusting for clinical variables. Kaplan–Meier curves of OS of the patients in cohort1 and cohort2 were generated by GraphPad Prism 6.0. The </w:t>
      </w:r>
      <w:r w:rsidRPr="00DE3EA0">
        <w:rPr>
          <w:rFonts w:ascii="Palatino Linotype" w:hAnsi="Palatino Linotype"/>
          <w:i/>
          <w:sz w:val="20"/>
          <w:szCs w:val="20"/>
        </w:rPr>
        <w:t>p</w:t>
      </w:r>
      <w:r w:rsidRPr="00DE3EA0">
        <w:rPr>
          <w:rFonts w:ascii="Palatino Linotype" w:hAnsi="Palatino Linotype"/>
          <w:sz w:val="20"/>
          <w:szCs w:val="20"/>
        </w:rPr>
        <w:t xml:space="preserve"> &lt; 0.05 was considered statistically significance. For DEGs screening in cohort 2, R package “limma” was applied to select the DEGs by comparing 596 CRC samples and 51 normal colorectal mucosa samples. The cut-off criteria for screening DEGs was the false discovery rate (FDR) &lt; 0.05 and </w:t>
      </w:r>
      <w:bookmarkStart w:id="0" w:name="_GoBack"/>
      <w:bookmarkEnd w:id="0"/>
      <w:r w:rsidRPr="00DE3EA0">
        <w:rPr>
          <w:rFonts w:ascii="Palatino Linotype" w:hAnsi="Palatino Linotype"/>
          <w:sz w:val="20"/>
          <w:szCs w:val="20"/>
        </w:rPr>
        <w:t xml:space="preserve">|log2(fold </w:t>
      </w:r>
      <w:r w:rsidR="006D1C67" w:rsidRPr="00DE3EA0">
        <w:rPr>
          <w:rFonts w:ascii="Palatino Linotype" w:hAnsi="Palatino Linotype"/>
          <w:sz w:val="20"/>
          <w:szCs w:val="20"/>
        </w:rPr>
        <w:t>change) |</w:t>
      </w:r>
      <w:r w:rsidRPr="00DE3EA0">
        <w:rPr>
          <w:rFonts w:ascii="Palatino Linotype" w:hAnsi="Palatino Linotype"/>
          <w:sz w:val="20"/>
          <w:szCs w:val="20"/>
        </w:rPr>
        <w:t xml:space="preserve"> &gt;1.</w:t>
      </w:r>
    </w:p>
    <w:p w:rsidR="000A2E35" w:rsidRPr="00DE3EA0" w:rsidRDefault="000A2E35" w:rsidP="000A2E35">
      <w:pPr>
        <w:spacing w:line="360" w:lineRule="auto"/>
        <w:rPr>
          <w:rFonts w:ascii="Palatino Linotype" w:hAnsi="Palatino Linotype"/>
          <w:sz w:val="20"/>
          <w:szCs w:val="20"/>
        </w:rPr>
      </w:pPr>
    </w:p>
    <w:p w:rsidR="00682866" w:rsidRPr="00DE3EA0" w:rsidRDefault="00682866" w:rsidP="000A2E35">
      <w:pPr>
        <w:spacing w:line="360" w:lineRule="auto"/>
        <w:rPr>
          <w:rFonts w:ascii="Palatino Linotype" w:hAnsi="Palatino Linotype"/>
          <w:b/>
          <w:sz w:val="20"/>
          <w:szCs w:val="20"/>
        </w:rPr>
      </w:pPr>
      <w:r w:rsidRPr="00DE3EA0">
        <w:rPr>
          <w:rFonts w:ascii="Palatino Linotype" w:hAnsi="Palatino Linotype"/>
          <w:b/>
          <w:sz w:val="20"/>
          <w:szCs w:val="20"/>
        </w:rPr>
        <w:t>Supplementary references</w:t>
      </w:r>
    </w:p>
    <w:p w:rsidR="00C8103D" w:rsidRPr="00C8103D" w:rsidRDefault="00682866" w:rsidP="00C8103D">
      <w:pPr>
        <w:pStyle w:val="EndNoteBibliography"/>
      </w:pPr>
      <w:r w:rsidRPr="00DE3EA0">
        <w:rPr>
          <w:rFonts w:ascii="Palatino Linotype" w:hAnsi="Palatino Linotype"/>
          <w:szCs w:val="20"/>
        </w:rPr>
        <w:fldChar w:fldCharType="begin"/>
      </w:r>
      <w:r w:rsidRPr="00DE3EA0">
        <w:rPr>
          <w:rFonts w:ascii="Palatino Linotype" w:hAnsi="Palatino Linotype"/>
          <w:szCs w:val="20"/>
        </w:rPr>
        <w:instrText xml:space="preserve"> ADDIN EN.REFLIST </w:instrText>
      </w:r>
      <w:r w:rsidRPr="00DE3EA0">
        <w:rPr>
          <w:rFonts w:ascii="Palatino Linotype" w:hAnsi="Palatino Linotype"/>
          <w:szCs w:val="20"/>
        </w:rPr>
        <w:fldChar w:fldCharType="separate"/>
      </w:r>
      <w:r w:rsidR="00C8103D" w:rsidRPr="00C8103D">
        <w:t>1.</w:t>
      </w:r>
      <w:r w:rsidR="00C8103D" w:rsidRPr="00C8103D">
        <w:tab/>
        <w:t xml:space="preserve">Gao JF, Arbman G, Wadhra TI, Zhang H, Sun XF. Relationships of tumor inflammatory infiltration and necrosis with microsatellite instability in colorectal cancers. </w:t>
      </w:r>
      <w:r w:rsidR="00C8103D" w:rsidRPr="00C8103D">
        <w:rPr>
          <w:i/>
        </w:rPr>
        <w:t>World J Gastroenterol</w:t>
      </w:r>
      <w:r w:rsidR="00C8103D" w:rsidRPr="00C8103D">
        <w:t xml:space="preserve"> (2005) 11(14):2179-83. PubMed PMID: 15810089; PubMed Central PMCID: PMC4305792.</w:t>
      </w:r>
    </w:p>
    <w:p w:rsidR="00C8103D" w:rsidRPr="00C8103D" w:rsidRDefault="00C8103D" w:rsidP="00C8103D">
      <w:pPr>
        <w:pStyle w:val="EndNoteBibliography"/>
      </w:pPr>
      <w:r w:rsidRPr="00C8103D">
        <w:t>2.</w:t>
      </w:r>
      <w:r w:rsidRPr="00C8103D">
        <w:tab/>
        <w:t xml:space="preserve">Gao J, Zhang H, Arbman G, Sun XF. RAD50/MRE11/NBS1 proteins in relation to tumour development and prognosis in patients with microsatellite stable colorectal cancer. </w:t>
      </w:r>
      <w:r w:rsidRPr="00C8103D">
        <w:rPr>
          <w:i/>
        </w:rPr>
        <w:t>Histol Histopathol</w:t>
      </w:r>
      <w:r w:rsidRPr="00C8103D">
        <w:t xml:space="preserve"> (2008) 23(12):1495-502. doi: 10.14670/HH-23.1495. PubMed PMID: 18830935.</w:t>
      </w:r>
    </w:p>
    <w:p w:rsidR="00C8103D" w:rsidRPr="00C8103D" w:rsidRDefault="00C8103D" w:rsidP="00C8103D">
      <w:pPr>
        <w:pStyle w:val="EndNoteBibliography"/>
      </w:pPr>
      <w:r w:rsidRPr="00C8103D">
        <w:t>3.</w:t>
      </w:r>
      <w:r w:rsidRPr="00C8103D">
        <w:tab/>
        <w:t xml:space="preserve">Langfelder P, Horvath S. WGCNA: an R package for weighted correlation network analysis. </w:t>
      </w:r>
      <w:r w:rsidRPr="00C8103D">
        <w:rPr>
          <w:i/>
        </w:rPr>
        <w:t xml:space="preserve">Bmc </w:t>
      </w:r>
      <w:r w:rsidRPr="00C8103D">
        <w:rPr>
          <w:i/>
        </w:rPr>
        <w:lastRenderedPageBreak/>
        <w:t>Bioinformatics</w:t>
      </w:r>
      <w:r w:rsidRPr="00C8103D">
        <w:t xml:space="preserve"> (2008) 9:559. doi: 10.1186/1471-2105-9-559. PubMed PMID: 19114008; PubMed Central PMCID: PMC2631488.</w:t>
      </w:r>
    </w:p>
    <w:p w:rsidR="00C8103D" w:rsidRPr="00C8103D" w:rsidRDefault="00C8103D" w:rsidP="00C8103D">
      <w:pPr>
        <w:pStyle w:val="EndNoteBibliography"/>
      </w:pPr>
      <w:r w:rsidRPr="00C8103D">
        <w:t>4.</w:t>
      </w:r>
      <w:r w:rsidRPr="00C8103D">
        <w:tab/>
        <w:t xml:space="preserve">Mlecnik B, Bindea G, Angell HK, Maby P, Angelova M, Tougeron D, et al. Integrative Analyses of Colorectal Cancer Show Immunoscore Is a Stronger Predictor of Patient Survival Than Microsatellite Instability. </w:t>
      </w:r>
      <w:r w:rsidRPr="00C8103D">
        <w:rPr>
          <w:i/>
        </w:rPr>
        <w:t>Immunity</w:t>
      </w:r>
      <w:r w:rsidRPr="00C8103D">
        <w:t xml:space="preserve"> (2016) 44(3):698-711. doi: 10.1016/j.immuni.2016.02.025. PubMed PMID: 26982367.</w:t>
      </w:r>
    </w:p>
    <w:p w:rsidR="00682866" w:rsidRPr="00DE3EA0" w:rsidRDefault="00682866" w:rsidP="00682866">
      <w:pPr>
        <w:rPr>
          <w:rFonts w:ascii="Palatino Linotype" w:hAnsi="Palatino Linotype"/>
          <w:b/>
          <w:sz w:val="20"/>
          <w:szCs w:val="20"/>
        </w:rPr>
      </w:pPr>
      <w:r w:rsidRPr="00DE3EA0">
        <w:rPr>
          <w:rFonts w:ascii="Palatino Linotype" w:hAnsi="Palatino Linotype"/>
          <w:sz w:val="20"/>
          <w:szCs w:val="20"/>
        </w:rPr>
        <w:fldChar w:fldCharType="end"/>
      </w:r>
    </w:p>
    <w:p w:rsidR="002A12C1" w:rsidRPr="00DE3EA0" w:rsidRDefault="002A12C1">
      <w:pPr>
        <w:rPr>
          <w:rFonts w:ascii="Palatino Linotype" w:hAnsi="Palatino Linotype"/>
          <w:sz w:val="20"/>
          <w:szCs w:val="20"/>
        </w:rPr>
      </w:pPr>
    </w:p>
    <w:sectPr w:rsidR="002A12C1" w:rsidRPr="00DE3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74E" w:rsidRDefault="0040774E" w:rsidP="006B0EAF">
      <w:r>
        <w:separator/>
      </w:r>
    </w:p>
  </w:endnote>
  <w:endnote w:type="continuationSeparator" w:id="0">
    <w:p w:rsidR="0040774E" w:rsidRDefault="0040774E" w:rsidP="006B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utigerLTStd-Roman">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74E" w:rsidRDefault="0040774E" w:rsidP="006B0EAF">
      <w:r>
        <w:separator/>
      </w:r>
    </w:p>
  </w:footnote>
  <w:footnote w:type="continuationSeparator" w:id="0">
    <w:p w:rsidR="0040774E" w:rsidRDefault="0040774E" w:rsidP="006B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384"/>
    <w:multiLevelType w:val="hybridMultilevel"/>
    <w:tmpl w:val="3FE6F006"/>
    <w:lvl w:ilvl="0" w:tplc="4D82E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4C462A9"/>
    <w:multiLevelType w:val="hybridMultilevel"/>
    <w:tmpl w:val="F3D0FAB6"/>
    <w:lvl w:ilvl="0" w:tplc="B0680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GwMDIzNDQ1NjcwNrBQ0lEKTi0uzszPAymwrAUAWevUpywAAAA="/>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dvefaz7st9aae5x5gvdrfzfrprzp90twpf&quot;&gt;My EndNote Library&lt;record-ids&gt;&lt;item&gt;18236&lt;/item&gt;&lt;item&gt;18252&lt;/item&gt;&lt;item&gt;18254&lt;/item&gt;&lt;item&gt;18258&lt;/item&gt;&lt;/record-ids&gt;&lt;/item&gt;&lt;/Libraries&gt;"/>
  </w:docVars>
  <w:rsids>
    <w:rsidRoot w:val="00CB009E"/>
    <w:rsid w:val="000A2E35"/>
    <w:rsid w:val="000B3C9F"/>
    <w:rsid w:val="000E6E3D"/>
    <w:rsid w:val="000E7B6A"/>
    <w:rsid w:val="00112AFA"/>
    <w:rsid w:val="00135C4D"/>
    <w:rsid w:val="00175713"/>
    <w:rsid w:val="001C4233"/>
    <w:rsid w:val="001E2C38"/>
    <w:rsid w:val="00286B34"/>
    <w:rsid w:val="002A12C1"/>
    <w:rsid w:val="002A60FA"/>
    <w:rsid w:val="002C7DB8"/>
    <w:rsid w:val="003124DA"/>
    <w:rsid w:val="003E375D"/>
    <w:rsid w:val="0040774E"/>
    <w:rsid w:val="004556AD"/>
    <w:rsid w:val="004E71CA"/>
    <w:rsid w:val="00620CD1"/>
    <w:rsid w:val="00637BE4"/>
    <w:rsid w:val="00682866"/>
    <w:rsid w:val="006B0EAF"/>
    <w:rsid w:val="006D1C67"/>
    <w:rsid w:val="00800DD0"/>
    <w:rsid w:val="008173BA"/>
    <w:rsid w:val="008666C3"/>
    <w:rsid w:val="00877041"/>
    <w:rsid w:val="008842AC"/>
    <w:rsid w:val="00894F12"/>
    <w:rsid w:val="00981D9C"/>
    <w:rsid w:val="009F3927"/>
    <w:rsid w:val="00A14FF6"/>
    <w:rsid w:val="00AA08BB"/>
    <w:rsid w:val="00B63E95"/>
    <w:rsid w:val="00B80409"/>
    <w:rsid w:val="00BA7A18"/>
    <w:rsid w:val="00C02A29"/>
    <w:rsid w:val="00C168D0"/>
    <w:rsid w:val="00C36584"/>
    <w:rsid w:val="00C8103D"/>
    <w:rsid w:val="00C8741C"/>
    <w:rsid w:val="00CB009E"/>
    <w:rsid w:val="00CD10DE"/>
    <w:rsid w:val="00DE3EA0"/>
    <w:rsid w:val="00DF7C2A"/>
    <w:rsid w:val="00EB01BA"/>
    <w:rsid w:val="00EC7CDE"/>
    <w:rsid w:val="00FF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E298"/>
  <w15:chartTrackingRefBased/>
  <w15:docId w15:val="{587D58DB-843D-4B35-A70D-867367F7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E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E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0EAF"/>
    <w:rPr>
      <w:sz w:val="18"/>
      <w:szCs w:val="18"/>
    </w:rPr>
  </w:style>
  <w:style w:type="paragraph" w:styleId="a5">
    <w:name w:val="footer"/>
    <w:basedOn w:val="a"/>
    <w:link w:val="a6"/>
    <w:uiPriority w:val="99"/>
    <w:unhideWhenUsed/>
    <w:rsid w:val="006B0E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0EAF"/>
    <w:rPr>
      <w:sz w:val="18"/>
      <w:szCs w:val="18"/>
    </w:rPr>
  </w:style>
  <w:style w:type="table" w:styleId="a7">
    <w:name w:val="Table Grid"/>
    <w:basedOn w:val="a1"/>
    <w:uiPriority w:val="39"/>
    <w:rsid w:val="0062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2A12C1"/>
    <w:rPr>
      <w:noProof/>
      <w:sz w:val="20"/>
    </w:rPr>
  </w:style>
  <w:style w:type="character" w:customStyle="1" w:styleId="EndNoteBibliographyChar">
    <w:name w:val="EndNote Bibliography Char"/>
    <w:link w:val="EndNoteBibliography"/>
    <w:rsid w:val="002A12C1"/>
    <w:rPr>
      <w:rFonts w:ascii="Times New Roman" w:eastAsia="宋体" w:hAnsi="Times New Roman" w:cs="Times New Roman"/>
      <w:noProof/>
      <w:sz w:val="20"/>
      <w:szCs w:val="24"/>
    </w:rPr>
  </w:style>
  <w:style w:type="paragraph" w:customStyle="1" w:styleId="EndNoteBibliographyTitle">
    <w:name w:val="EndNote Bibliography Title"/>
    <w:basedOn w:val="a"/>
    <w:link w:val="EndNoteBibliographyTitleChar"/>
    <w:rsid w:val="00894F12"/>
    <w:pPr>
      <w:jc w:val="center"/>
    </w:pPr>
    <w:rPr>
      <w:noProof/>
      <w:sz w:val="20"/>
    </w:rPr>
  </w:style>
  <w:style w:type="character" w:customStyle="1" w:styleId="EndNoteBibliographyTitleChar">
    <w:name w:val="EndNote Bibliography Title Char"/>
    <w:basedOn w:val="a0"/>
    <w:link w:val="EndNoteBibliographyTitle"/>
    <w:rsid w:val="00894F12"/>
    <w:rPr>
      <w:rFonts w:ascii="Times New Roman" w:eastAsia="宋体" w:hAnsi="Times New Roman" w:cs="Times New Roman"/>
      <w:noProof/>
      <w:sz w:val="20"/>
      <w:szCs w:val="24"/>
    </w:rPr>
  </w:style>
  <w:style w:type="paragraph" w:styleId="a8">
    <w:name w:val="List Paragraph"/>
    <w:basedOn w:val="a"/>
    <w:uiPriority w:val="34"/>
    <w:qFormat/>
    <w:rsid w:val="00C02A29"/>
    <w:pPr>
      <w:ind w:firstLineChars="200" w:firstLine="420"/>
    </w:pPr>
  </w:style>
  <w:style w:type="paragraph" w:styleId="a9">
    <w:name w:val="Balloon Text"/>
    <w:basedOn w:val="a"/>
    <w:link w:val="aa"/>
    <w:uiPriority w:val="99"/>
    <w:semiHidden/>
    <w:unhideWhenUsed/>
    <w:rsid w:val="00BA7A18"/>
    <w:rPr>
      <w:sz w:val="18"/>
      <w:szCs w:val="18"/>
    </w:rPr>
  </w:style>
  <w:style w:type="character" w:customStyle="1" w:styleId="aa">
    <w:name w:val="批注框文本 字符"/>
    <w:basedOn w:val="a0"/>
    <w:link w:val="a9"/>
    <w:uiPriority w:val="99"/>
    <w:semiHidden/>
    <w:rsid w:val="00BA7A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1678</TotalTime>
  <Pages>22</Pages>
  <Words>4901</Words>
  <Characters>27937</Characters>
  <Application>Microsoft Office Word</Application>
  <DocSecurity>0</DocSecurity>
  <Lines>232</Lines>
  <Paragraphs>65</Paragraphs>
  <ScaleCrop>false</ScaleCrop>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Chuanwen</dc:creator>
  <cp:keywords/>
  <dc:description/>
  <cp:lastModifiedBy>Chuanwen Fan</cp:lastModifiedBy>
  <cp:revision>29</cp:revision>
  <dcterms:created xsi:type="dcterms:W3CDTF">2018-10-24T19:23:00Z</dcterms:created>
  <dcterms:modified xsi:type="dcterms:W3CDTF">2019-12-14T20:35:00Z</dcterms:modified>
</cp:coreProperties>
</file>