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5BEA05" w14:textId="248631FC" w:rsidR="00FF78C9" w:rsidRDefault="00D335B8" w:rsidP="000279ED">
      <w:pPr>
        <w:jc w:val="center"/>
        <w:rPr>
          <w:rFonts w:ascii="Times New Roman" w:hAnsi="Times New Roman" w:cs="Times New Roman"/>
          <w:b/>
          <w:sz w:val="32"/>
          <w:szCs w:val="32"/>
        </w:rPr>
      </w:pPr>
      <w:r w:rsidRPr="0054396B">
        <w:rPr>
          <w:rFonts w:ascii="Times New Roman" w:hAnsi="Times New Roman" w:cs="Times New Roman"/>
          <w:b/>
          <w:sz w:val="32"/>
          <w:szCs w:val="32"/>
        </w:rPr>
        <w:t>Supplementary Material</w:t>
      </w:r>
    </w:p>
    <w:p w14:paraId="0871A322" w14:textId="77777777" w:rsidR="000279ED" w:rsidRPr="000279ED" w:rsidRDefault="000279ED" w:rsidP="000279ED">
      <w:pPr>
        <w:jc w:val="center"/>
        <w:rPr>
          <w:rFonts w:ascii="Times New Roman" w:hAnsi="Times New Roman" w:cs="Times New Roman"/>
          <w:b/>
          <w:sz w:val="12"/>
          <w:szCs w:val="12"/>
        </w:rPr>
      </w:pPr>
    </w:p>
    <w:p w14:paraId="11BD4DF3" w14:textId="37163F0B" w:rsidR="000279ED" w:rsidRPr="000279ED" w:rsidRDefault="000279ED" w:rsidP="000279ED">
      <w:pPr>
        <w:pStyle w:val="p1"/>
        <w:jc w:val="both"/>
        <w:rPr>
          <w:rFonts w:ascii="Times New Roman" w:hAnsi="Times New Roman"/>
          <w:sz w:val="28"/>
          <w:szCs w:val="28"/>
        </w:rPr>
      </w:pPr>
      <w:proofErr w:type="spellStart"/>
      <w:r w:rsidRPr="000279ED">
        <w:rPr>
          <w:rFonts w:ascii="Times New Roman" w:hAnsi="Times New Roman"/>
          <w:sz w:val="28"/>
          <w:szCs w:val="28"/>
        </w:rPr>
        <w:t>Ibañez</w:t>
      </w:r>
      <w:proofErr w:type="spellEnd"/>
      <w:r w:rsidRPr="000279ED">
        <w:rPr>
          <w:rFonts w:ascii="Times New Roman" w:hAnsi="Times New Roman"/>
          <w:sz w:val="28"/>
          <w:szCs w:val="28"/>
        </w:rPr>
        <w:t xml:space="preserve"> S, </w:t>
      </w:r>
      <w:proofErr w:type="spellStart"/>
      <w:r w:rsidRPr="000279ED">
        <w:rPr>
          <w:rFonts w:ascii="Times New Roman" w:hAnsi="Times New Roman"/>
          <w:sz w:val="28"/>
          <w:szCs w:val="28"/>
        </w:rPr>
        <w:t>Luebke</w:t>
      </w:r>
      <w:proofErr w:type="spellEnd"/>
      <w:r w:rsidRPr="000279ED">
        <w:rPr>
          <w:rFonts w:ascii="Times New Roman" w:hAnsi="Times New Roman"/>
          <w:sz w:val="28"/>
          <w:szCs w:val="28"/>
        </w:rPr>
        <w:t xml:space="preserve"> JI, Chang W,</w:t>
      </w:r>
      <w:r>
        <w:rPr>
          <w:rFonts w:ascii="Times New Roman" w:hAnsi="Times New Roman"/>
          <w:sz w:val="28"/>
          <w:szCs w:val="28"/>
        </w:rPr>
        <w:t xml:space="preserve"> </w:t>
      </w:r>
      <w:proofErr w:type="spellStart"/>
      <w:r w:rsidRPr="000279ED">
        <w:rPr>
          <w:rFonts w:ascii="Times New Roman" w:hAnsi="Times New Roman"/>
          <w:sz w:val="28"/>
          <w:szCs w:val="28"/>
        </w:rPr>
        <w:t>Dragulji</w:t>
      </w:r>
      <w:r>
        <w:rPr>
          <w:rFonts w:ascii="Times New Roman" w:hAnsi="Times New Roman"/>
          <w:sz w:val="28"/>
          <w:szCs w:val="28"/>
        </w:rPr>
        <w:t>ć</w:t>
      </w:r>
      <w:proofErr w:type="spellEnd"/>
      <w:r w:rsidRPr="000279ED">
        <w:rPr>
          <w:rFonts w:ascii="Times New Roman" w:hAnsi="Times New Roman"/>
          <w:sz w:val="28"/>
          <w:szCs w:val="28"/>
        </w:rPr>
        <w:t xml:space="preserve"> D and Weaver CM (2019)</w:t>
      </w:r>
      <w:r>
        <w:rPr>
          <w:rFonts w:ascii="Times New Roman" w:hAnsi="Times New Roman"/>
          <w:sz w:val="28"/>
          <w:szCs w:val="28"/>
        </w:rPr>
        <w:t xml:space="preserve">.  </w:t>
      </w:r>
      <w:r w:rsidRPr="000279ED">
        <w:rPr>
          <w:rFonts w:ascii="Times New Roman" w:hAnsi="Times New Roman"/>
          <w:sz w:val="28"/>
          <w:szCs w:val="28"/>
        </w:rPr>
        <w:t>Network Models Predict That</w:t>
      </w:r>
      <w:r>
        <w:rPr>
          <w:rFonts w:ascii="Times New Roman" w:hAnsi="Times New Roman"/>
          <w:sz w:val="28"/>
          <w:szCs w:val="28"/>
        </w:rPr>
        <w:t xml:space="preserve"> </w:t>
      </w:r>
      <w:r w:rsidRPr="000279ED">
        <w:rPr>
          <w:rFonts w:ascii="Times New Roman" w:hAnsi="Times New Roman"/>
          <w:sz w:val="28"/>
          <w:szCs w:val="28"/>
        </w:rPr>
        <w:t xml:space="preserve">Pyramidal Neuron </w:t>
      </w:r>
      <w:proofErr w:type="spellStart"/>
      <w:r w:rsidRPr="000279ED">
        <w:rPr>
          <w:rFonts w:ascii="Times New Roman" w:hAnsi="Times New Roman"/>
          <w:sz w:val="28"/>
          <w:szCs w:val="28"/>
        </w:rPr>
        <w:t>Hyperexcitability</w:t>
      </w:r>
      <w:proofErr w:type="spellEnd"/>
      <w:r>
        <w:rPr>
          <w:rFonts w:ascii="Times New Roman" w:hAnsi="Times New Roman"/>
          <w:sz w:val="28"/>
          <w:szCs w:val="28"/>
        </w:rPr>
        <w:t xml:space="preserve"> </w:t>
      </w:r>
      <w:r w:rsidRPr="000279ED">
        <w:rPr>
          <w:rFonts w:ascii="Times New Roman" w:hAnsi="Times New Roman"/>
          <w:sz w:val="28"/>
          <w:szCs w:val="28"/>
        </w:rPr>
        <w:t>and Sy</w:t>
      </w:r>
      <w:bookmarkStart w:id="0" w:name="_GoBack"/>
      <w:bookmarkEnd w:id="0"/>
      <w:r w:rsidRPr="000279ED">
        <w:rPr>
          <w:rFonts w:ascii="Times New Roman" w:hAnsi="Times New Roman"/>
          <w:sz w:val="28"/>
          <w:szCs w:val="28"/>
        </w:rPr>
        <w:t xml:space="preserve">napse Loss in the </w:t>
      </w:r>
      <w:proofErr w:type="spellStart"/>
      <w:r w:rsidRPr="000279ED">
        <w:rPr>
          <w:rFonts w:ascii="Times New Roman" w:hAnsi="Times New Roman"/>
          <w:sz w:val="28"/>
          <w:szCs w:val="28"/>
        </w:rPr>
        <w:t>dlPFC</w:t>
      </w:r>
      <w:proofErr w:type="spellEnd"/>
      <w:r w:rsidRPr="000279ED">
        <w:rPr>
          <w:rFonts w:ascii="Times New Roman" w:hAnsi="Times New Roman"/>
          <w:sz w:val="28"/>
          <w:szCs w:val="28"/>
        </w:rPr>
        <w:t xml:space="preserve"> Lead</w:t>
      </w:r>
      <w:r>
        <w:rPr>
          <w:rFonts w:ascii="Times New Roman" w:hAnsi="Times New Roman"/>
          <w:sz w:val="28"/>
          <w:szCs w:val="28"/>
        </w:rPr>
        <w:t xml:space="preserve"> </w:t>
      </w:r>
      <w:r w:rsidRPr="000279ED">
        <w:rPr>
          <w:rFonts w:ascii="Times New Roman" w:hAnsi="Times New Roman"/>
          <w:sz w:val="28"/>
          <w:szCs w:val="28"/>
        </w:rPr>
        <w:t>to Age-Related Spatial Working</w:t>
      </w:r>
      <w:r>
        <w:rPr>
          <w:rFonts w:ascii="Times New Roman" w:hAnsi="Times New Roman"/>
          <w:sz w:val="28"/>
          <w:szCs w:val="28"/>
        </w:rPr>
        <w:t xml:space="preserve"> </w:t>
      </w:r>
      <w:r w:rsidRPr="000279ED">
        <w:rPr>
          <w:rFonts w:ascii="Times New Roman" w:hAnsi="Times New Roman"/>
          <w:sz w:val="28"/>
          <w:szCs w:val="28"/>
        </w:rPr>
        <w:t>Memory Impairment in Rhesus</w:t>
      </w:r>
      <w:r>
        <w:rPr>
          <w:rFonts w:ascii="Times New Roman" w:hAnsi="Times New Roman"/>
          <w:sz w:val="28"/>
          <w:szCs w:val="28"/>
        </w:rPr>
        <w:t xml:space="preserve"> </w:t>
      </w:r>
      <w:r w:rsidRPr="000279ED">
        <w:rPr>
          <w:rFonts w:ascii="Times New Roman" w:hAnsi="Times New Roman"/>
          <w:sz w:val="28"/>
          <w:szCs w:val="28"/>
        </w:rPr>
        <w:t>Monkeys.</w:t>
      </w:r>
      <w:r>
        <w:rPr>
          <w:rFonts w:ascii="Times New Roman" w:hAnsi="Times New Roman"/>
          <w:sz w:val="28"/>
          <w:szCs w:val="28"/>
        </w:rPr>
        <w:t xml:space="preserve">  </w:t>
      </w:r>
      <w:r w:rsidRPr="000279ED">
        <w:rPr>
          <w:rFonts w:ascii="Times New Roman" w:hAnsi="Times New Roman"/>
          <w:i/>
          <w:sz w:val="28"/>
          <w:szCs w:val="28"/>
        </w:rPr>
        <w:t xml:space="preserve">Front. </w:t>
      </w:r>
      <w:proofErr w:type="spellStart"/>
      <w:r w:rsidRPr="000279ED">
        <w:rPr>
          <w:rFonts w:ascii="Times New Roman" w:hAnsi="Times New Roman"/>
          <w:i/>
          <w:sz w:val="28"/>
          <w:szCs w:val="28"/>
        </w:rPr>
        <w:t>Comput</w:t>
      </w:r>
      <w:proofErr w:type="spellEnd"/>
      <w:r w:rsidRPr="000279ED">
        <w:rPr>
          <w:rFonts w:ascii="Times New Roman" w:hAnsi="Times New Roman"/>
          <w:i/>
          <w:sz w:val="28"/>
          <w:szCs w:val="28"/>
        </w:rPr>
        <w:t xml:space="preserve">. </w:t>
      </w:r>
      <w:proofErr w:type="spellStart"/>
      <w:r w:rsidRPr="000279ED">
        <w:rPr>
          <w:rFonts w:ascii="Times New Roman" w:hAnsi="Times New Roman"/>
          <w:i/>
          <w:sz w:val="28"/>
          <w:szCs w:val="28"/>
        </w:rPr>
        <w:t>Neurosci</w:t>
      </w:r>
      <w:proofErr w:type="spellEnd"/>
      <w:r w:rsidRPr="000279ED">
        <w:rPr>
          <w:rFonts w:ascii="Times New Roman" w:hAnsi="Times New Roman"/>
          <w:sz w:val="28"/>
          <w:szCs w:val="28"/>
        </w:rPr>
        <w:t>. 13:89.</w:t>
      </w:r>
      <w:r>
        <w:rPr>
          <w:rFonts w:ascii="Times New Roman" w:hAnsi="Times New Roman"/>
          <w:sz w:val="28"/>
          <w:szCs w:val="28"/>
        </w:rPr>
        <w:t xml:space="preserve"> </w:t>
      </w:r>
      <w:proofErr w:type="spellStart"/>
      <w:r w:rsidRPr="000279ED">
        <w:rPr>
          <w:rFonts w:ascii="Times New Roman" w:hAnsi="Times New Roman"/>
          <w:sz w:val="28"/>
          <w:szCs w:val="28"/>
        </w:rPr>
        <w:t>doi</w:t>
      </w:r>
      <w:proofErr w:type="spellEnd"/>
      <w:r w:rsidRPr="000279ED">
        <w:rPr>
          <w:rFonts w:ascii="Times New Roman" w:hAnsi="Times New Roman"/>
          <w:sz w:val="28"/>
          <w:szCs w:val="28"/>
        </w:rPr>
        <w:t>: 10.3389/fncom.2019.00089</w:t>
      </w:r>
    </w:p>
    <w:p w14:paraId="2F9361A5" w14:textId="77777777" w:rsidR="000279ED" w:rsidRPr="0054396B" w:rsidRDefault="000279ED" w:rsidP="00E65906">
      <w:pPr>
        <w:spacing w:line="480" w:lineRule="auto"/>
        <w:jc w:val="center"/>
        <w:rPr>
          <w:rFonts w:ascii="Times New Roman" w:hAnsi="Times New Roman" w:cs="Times New Roman"/>
        </w:rPr>
      </w:pPr>
    </w:p>
    <w:p w14:paraId="132D9C8F" w14:textId="0B115DB2" w:rsidR="00FF78C9" w:rsidRDefault="003528F2" w:rsidP="00C13521">
      <w:pPr>
        <w:pStyle w:val="NormalWeb"/>
        <w:numPr>
          <w:ilvl w:val="0"/>
          <w:numId w:val="2"/>
        </w:numPr>
        <w:jc w:val="both"/>
        <w:outlineLvl w:val="0"/>
        <w:rPr>
          <w:b/>
          <w:color w:val="000000"/>
        </w:rPr>
      </w:pPr>
      <w:r>
        <w:rPr>
          <w:b/>
          <w:color w:val="000000"/>
        </w:rPr>
        <w:t xml:space="preserve">DRT </w:t>
      </w:r>
      <w:r w:rsidR="00D335B8">
        <w:rPr>
          <w:b/>
          <w:color w:val="000000"/>
        </w:rPr>
        <w:t>MODEL SIMULATIONS WITH A</w:t>
      </w:r>
      <w:r w:rsidR="00983279">
        <w:rPr>
          <w:b/>
          <w:color w:val="000000"/>
        </w:rPr>
        <w:t xml:space="preserve"> LESS EXCITABLE </w:t>
      </w:r>
      <w:r w:rsidR="00D335B8" w:rsidRPr="00FF78C9">
        <w:rPr>
          <w:b/>
          <w:i/>
          <w:color w:val="000000"/>
        </w:rPr>
        <w:t>F</w:t>
      </w:r>
      <w:r w:rsidR="00D335B8">
        <w:rPr>
          <w:b/>
          <w:color w:val="000000"/>
        </w:rPr>
        <w:t>-I CURVE</w:t>
      </w:r>
    </w:p>
    <w:p w14:paraId="57DBCC26" w14:textId="4ECB310F" w:rsidR="006D4360" w:rsidRDefault="00775158" w:rsidP="00C13521">
      <w:pPr>
        <w:pStyle w:val="NormalWeb"/>
        <w:jc w:val="both"/>
        <w:outlineLvl w:val="0"/>
        <w:rPr>
          <w:b/>
          <w:color w:val="000000"/>
        </w:rPr>
      </w:pPr>
      <w:r w:rsidRPr="00775158">
        <w:rPr>
          <w:color w:val="000000"/>
        </w:rPr>
        <w:t xml:space="preserve">We </w:t>
      </w:r>
      <w:r w:rsidR="002A51F5">
        <w:rPr>
          <w:color w:val="000000"/>
        </w:rPr>
        <w:t xml:space="preserve">compared LHS results for an alternative, continuous </w:t>
      </w:r>
      <w:r w:rsidR="00FD6817">
        <w:rPr>
          <w:color w:val="000000"/>
        </w:rPr>
        <w:t xml:space="preserve">activation </w:t>
      </w:r>
      <w:r>
        <w:rPr>
          <w:color w:val="000000"/>
        </w:rPr>
        <w:t>function that</w:t>
      </w:r>
      <w:r w:rsidR="006D4360">
        <w:rPr>
          <w:color w:val="000000"/>
        </w:rPr>
        <w:t xml:space="preserve"> satisfies the physiological requirements (see Brunel 2003) but is less excitable:</w:t>
      </w:r>
    </w:p>
    <w:p w14:paraId="2633C278" w14:textId="6425FC17" w:rsidR="00FF78C9" w:rsidRDefault="003541CB" w:rsidP="00C13521">
      <w:pPr>
        <w:pStyle w:val="NormalWeb"/>
        <w:jc w:val="center"/>
        <w:outlineLvl w:val="0"/>
        <w:rPr>
          <w:rFonts w:eastAsiaTheme="minorEastAsia"/>
          <w:color w:val="000000"/>
        </w:rPr>
      </w:pPr>
      <m:oMath>
        <m:sSub>
          <m:sSubPr>
            <m:ctrlPr>
              <w:rPr>
                <w:rFonts w:ascii="Cambria Math" w:hAnsi="Cambria Math"/>
                <w:i/>
                <w:iCs/>
                <w:color w:val="000000"/>
              </w:rPr>
            </m:ctrlPr>
          </m:sSubPr>
          <m:e>
            <m:r>
              <w:rPr>
                <w:rFonts w:ascii="Cambria Math" w:hAnsi="Cambria Math"/>
                <w:color w:val="000000"/>
              </w:rPr>
              <m:t>f</m:t>
            </m:r>
          </m:e>
          <m:sub>
            <m:r>
              <w:rPr>
                <w:rFonts w:ascii="Cambria Math" w:hAnsi="Cambria Math"/>
                <w:color w:val="000000"/>
              </w:rPr>
              <m:t>g</m:t>
            </m:r>
          </m:sub>
        </m:sSub>
        <m:d>
          <m:dPr>
            <m:ctrlPr>
              <w:rPr>
                <w:rFonts w:ascii="Cambria Math" w:hAnsi="Cambria Math"/>
                <w:i/>
                <w:color w:val="000000"/>
              </w:rPr>
            </m:ctrlPr>
          </m:dPr>
          <m:e>
            <m:r>
              <w:rPr>
                <w:rFonts w:ascii="Cambria Math" w:hAnsi="Cambria Math"/>
                <w:color w:val="000000"/>
              </w:rPr>
              <m:t>I</m:t>
            </m:r>
          </m:e>
        </m:d>
        <m:r>
          <w:rPr>
            <w:rFonts w:ascii="Cambria Math" w:hAnsi="Cambria Math"/>
            <w:color w:val="000000"/>
          </w:rPr>
          <m:t>=</m:t>
        </m:r>
        <m:d>
          <m:dPr>
            <m:begChr m:val="{"/>
            <m:endChr m:val=""/>
            <m:ctrlPr>
              <w:rPr>
                <w:rFonts w:ascii="Cambria Math" w:hAnsi="Cambria Math"/>
                <w:i/>
                <w:color w:val="000000"/>
              </w:rPr>
            </m:ctrlPr>
          </m:dPr>
          <m:e>
            <m:m>
              <m:mPr>
                <m:mcs>
                  <m:mc>
                    <m:mcPr>
                      <m:count m:val="2"/>
                      <m:mcJc m:val="center"/>
                    </m:mcPr>
                  </m:mc>
                </m:mcs>
                <m:ctrlPr>
                  <w:rPr>
                    <w:rFonts w:ascii="Cambria Math" w:hAnsi="Cambria Math"/>
                    <w:i/>
                    <w:color w:val="000000"/>
                  </w:rPr>
                </m:ctrlPr>
              </m:mPr>
              <m:mr>
                <m:e>
                  <m:r>
                    <w:rPr>
                      <w:rFonts w:ascii="Cambria Math" w:hAnsi="Cambria Math"/>
                      <w:color w:val="000000"/>
                    </w:rPr>
                    <m:t>0</m:t>
                  </m:r>
                </m:e>
                <m:e>
                  <m:r>
                    <w:rPr>
                      <w:rFonts w:ascii="Cambria Math" w:hAnsi="Cambria Math"/>
                      <w:color w:val="000000"/>
                    </w:rPr>
                    <m:t>I≤0</m:t>
                  </m:r>
                </m:e>
              </m:mr>
              <m:mr>
                <m:e>
                  <m:sSub>
                    <m:sSubPr>
                      <m:ctrlPr>
                        <w:rPr>
                          <w:rFonts w:ascii="Cambria Math" w:hAnsi="Cambria Math"/>
                          <w:i/>
                          <w:color w:val="000000"/>
                        </w:rPr>
                      </m:ctrlPr>
                    </m:sSubPr>
                    <m:e>
                      <m:r>
                        <w:rPr>
                          <w:rFonts w:ascii="Cambria Math" w:hAnsi="Cambria Math"/>
                          <w:color w:val="000000"/>
                        </w:rPr>
                        <m:t>ν</m:t>
                      </m:r>
                    </m:e>
                    <m:sub>
                      <m:r>
                        <w:rPr>
                          <w:rFonts w:ascii="Cambria Math" w:hAnsi="Cambria Math"/>
                          <w:color w:val="000000"/>
                        </w:rPr>
                        <m:t>c</m:t>
                      </m:r>
                    </m:sub>
                  </m:sSub>
                  <m:sSup>
                    <m:sSupPr>
                      <m:ctrlPr>
                        <w:rPr>
                          <w:rFonts w:ascii="Cambria Math" w:hAnsi="Cambria Math"/>
                          <w:i/>
                          <w:color w:val="000000"/>
                        </w:rPr>
                      </m:ctrlPr>
                    </m:sSupPr>
                    <m:e>
                      <m:d>
                        <m:dPr>
                          <m:ctrlPr>
                            <w:rPr>
                              <w:rFonts w:ascii="Cambria Math" w:hAnsi="Cambria Math"/>
                              <w:i/>
                              <w:color w:val="000000"/>
                            </w:rPr>
                          </m:ctrlPr>
                        </m:dPr>
                        <m:e>
                          <m:f>
                            <m:fPr>
                              <m:ctrlPr>
                                <w:rPr>
                                  <w:rFonts w:ascii="Cambria Math" w:hAnsi="Cambria Math"/>
                                  <w:i/>
                                  <w:color w:val="000000"/>
                                </w:rPr>
                              </m:ctrlPr>
                            </m:fPr>
                            <m:num>
                              <m:r>
                                <w:rPr>
                                  <w:rFonts w:ascii="Cambria Math" w:hAnsi="Cambria Math"/>
                                  <w:color w:val="000000"/>
                                </w:rPr>
                                <m:t>I</m:t>
                              </m:r>
                            </m:num>
                            <m:den>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c</m:t>
                                  </m:r>
                                </m:sub>
                              </m:sSub>
                            </m:den>
                          </m:f>
                        </m:e>
                      </m:d>
                    </m:e>
                    <m:sup>
                      <m:r>
                        <w:rPr>
                          <w:rFonts w:ascii="Cambria Math" w:hAnsi="Cambria Math"/>
                          <w:color w:val="000000"/>
                        </w:rPr>
                        <m:t>p</m:t>
                      </m:r>
                    </m:sup>
                  </m:sSup>
                </m:e>
                <m:e>
                  <m:r>
                    <w:rPr>
                      <w:rFonts w:ascii="Cambria Math" w:hAnsi="Cambria Math"/>
                      <w:color w:val="000000"/>
                    </w:rPr>
                    <m:t>0&lt;I&lt;</m:t>
                  </m:r>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c</m:t>
                      </m:r>
                    </m:sub>
                  </m:sSub>
                </m:e>
              </m:mr>
              <m:mr>
                <m:e>
                  <m:r>
                    <w:rPr>
                      <w:rFonts w:ascii="Cambria Math" w:hAnsi="Cambria Math"/>
                      <w:color w:val="000000"/>
                    </w:rPr>
                    <m:t>p</m:t>
                  </m:r>
                  <m:sSub>
                    <m:sSubPr>
                      <m:ctrlPr>
                        <w:rPr>
                          <w:rFonts w:ascii="Cambria Math" w:hAnsi="Cambria Math"/>
                          <w:i/>
                          <w:color w:val="000000"/>
                        </w:rPr>
                      </m:ctrlPr>
                    </m:sSubPr>
                    <m:e>
                      <m:r>
                        <w:rPr>
                          <w:rFonts w:ascii="Cambria Math" w:hAnsi="Cambria Math"/>
                          <w:color w:val="000000"/>
                        </w:rPr>
                        <m:t>∙ν</m:t>
                      </m:r>
                    </m:e>
                    <m:sub>
                      <m:r>
                        <w:rPr>
                          <w:rFonts w:ascii="Cambria Math" w:hAnsi="Cambria Math"/>
                          <w:color w:val="000000"/>
                        </w:rPr>
                        <m:t>c</m:t>
                      </m:r>
                    </m:sub>
                  </m:sSub>
                  <m:sSup>
                    <m:sSupPr>
                      <m:ctrlPr>
                        <w:rPr>
                          <w:rFonts w:ascii="Cambria Math" w:hAnsi="Cambria Math"/>
                          <w:i/>
                          <w:color w:val="000000"/>
                        </w:rPr>
                      </m:ctrlPr>
                    </m:sSupPr>
                    <m:e>
                      <m:d>
                        <m:dPr>
                          <m:ctrlPr>
                            <w:rPr>
                              <w:rFonts w:ascii="Cambria Math" w:hAnsi="Cambria Math"/>
                              <w:i/>
                              <w:color w:val="000000"/>
                            </w:rPr>
                          </m:ctrlPr>
                        </m:dPr>
                        <m:e>
                          <m:f>
                            <m:fPr>
                              <m:ctrlPr>
                                <w:rPr>
                                  <w:rFonts w:ascii="Cambria Math" w:hAnsi="Cambria Math"/>
                                  <w:i/>
                                  <w:color w:val="000000"/>
                                </w:rPr>
                              </m:ctrlPr>
                            </m:fPr>
                            <m:num>
                              <m:r>
                                <w:rPr>
                                  <w:rFonts w:ascii="Cambria Math" w:hAnsi="Cambria Math"/>
                                  <w:color w:val="000000"/>
                                </w:rPr>
                                <m:t>I</m:t>
                              </m:r>
                            </m:num>
                            <m:den>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c</m:t>
                                  </m:r>
                                </m:sub>
                              </m:sSub>
                            </m:den>
                          </m:f>
                          <m:r>
                            <w:rPr>
                              <w:rFonts w:ascii="Cambria Math" w:hAnsi="Cambria Math"/>
                              <w:color w:val="000000"/>
                            </w:rPr>
                            <m:t>-</m:t>
                          </m:r>
                          <m:f>
                            <m:fPr>
                              <m:ctrlPr>
                                <w:rPr>
                                  <w:rFonts w:ascii="Cambria Math" w:hAnsi="Cambria Math"/>
                                  <w:i/>
                                  <w:color w:val="000000"/>
                                </w:rPr>
                              </m:ctrlPr>
                            </m:fPr>
                            <m:num>
                              <m:sSup>
                                <m:sSupPr>
                                  <m:ctrlPr>
                                    <w:rPr>
                                      <w:rFonts w:ascii="Cambria Math" w:hAnsi="Cambria Math"/>
                                      <w:i/>
                                      <w:color w:val="000000"/>
                                    </w:rPr>
                                  </m:ctrlPr>
                                </m:sSupPr>
                                <m:e>
                                  <m:r>
                                    <w:rPr>
                                      <w:rFonts w:ascii="Cambria Math" w:hAnsi="Cambria Math"/>
                                      <w:color w:val="000000"/>
                                    </w:rPr>
                                    <m:t>p</m:t>
                                  </m:r>
                                </m:e>
                                <m:sup>
                                  <m:r>
                                    <w:rPr>
                                      <w:rFonts w:ascii="Cambria Math" w:hAnsi="Cambria Math"/>
                                      <w:color w:val="000000"/>
                                    </w:rPr>
                                    <m:t>p</m:t>
                                  </m:r>
                                </m:sup>
                              </m:sSup>
                              <m:r>
                                <w:rPr>
                                  <w:rFonts w:ascii="Cambria Math" w:hAnsi="Cambria Math"/>
                                  <w:color w:val="000000"/>
                                </w:rPr>
                                <m:t>-1</m:t>
                              </m:r>
                            </m:num>
                            <m:den>
                              <m:sSup>
                                <m:sSupPr>
                                  <m:ctrlPr>
                                    <w:rPr>
                                      <w:rFonts w:ascii="Cambria Math" w:hAnsi="Cambria Math"/>
                                      <w:i/>
                                      <w:color w:val="000000"/>
                                    </w:rPr>
                                  </m:ctrlPr>
                                </m:sSupPr>
                                <m:e>
                                  <m:r>
                                    <w:rPr>
                                      <w:rFonts w:ascii="Cambria Math" w:hAnsi="Cambria Math"/>
                                      <w:color w:val="000000"/>
                                    </w:rPr>
                                    <m:t>p</m:t>
                                  </m:r>
                                </m:e>
                                <m:sup>
                                  <m:r>
                                    <w:rPr>
                                      <w:rFonts w:ascii="Cambria Math" w:hAnsi="Cambria Math"/>
                                      <w:color w:val="000000"/>
                                    </w:rPr>
                                    <m:t>p</m:t>
                                  </m:r>
                                </m:sup>
                              </m:sSup>
                            </m:den>
                          </m:f>
                        </m:e>
                      </m:d>
                    </m:e>
                    <m:sup>
                      <m:r>
                        <w:rPr>
                          <w:rFonts w:ascii="Cambria Math" w:hAnsi="Cambria Math"/>
                          <w:color w:val="000000"/>
                        </w:rPr>
                        <m:t>1/p</m:t>
                      </m:r>
                    </m:sup>
                  </m:sSup>
                </m:e>
                <m:e>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c</m:t>
                      </m:r>
                    </m:sub>
                  </m:sSub>
                  <m:r>
                    <w:rPr>
                      <w:rFonts w:ascii="Cambria Math" w:hAnsi="Cambria Math"/>
                      <w:color w:val="000000"/>
                    </w:rPr>
                    <m:t>≤I</m:t>
                  </m:r>
                </m:e>
              </m:mr>
            </m:m>
          </m:e>
        </m:d>
      </m:oMath>
      <w:r w:rsidR="00FF78C9" w:rsidRPr="00FF78C9">
        <w:rPr>
          <w:rFonts w:eastAsiaTheme="minorEastAsia"/>
          <w:color w:val="000000"/>
        </w:rPr>
        <w:t xml:space="preserve">  .</w:t>
      </w:r>
    </w:p>
    <w:p w14:paraId="18FA8DAB" w14:textId="29E374D5" w:rsidR="00725F95" w:rsidRPr="00F9239B" w:rsidRDefault="006D4360" w:rsidP="00C13521">
      <w:pPr>
        <w:pStyle w:val="NormalWeb"/>
        <w:jc w:val="both"/>
        <w:outlineLvl w:val="0"/>
        <w:rPr>
          <w:color w:val="000000"/>
        </w:rPr>
      </w:pPr>
      <w:r>
        <w:rPr>
          <w:color w:val="000000"/>
        </w:rPr>
        <w:t xml:space="preserve">This function generalizes the </w:t>
      </w:r>
      <w:proofErr w:type="spellStart"/>
      <w:r>
        <w:rPr>
          <w:color w:val="000000"/>
        </w:rPr>
        <w:t>sup</w:t>
      </w:r>
      <w:r w:rsidR="006B6B4E">
        <w:rPr>
          <w:color w:val="000000"/>
        </w:rPr>
        <w:t>ra</w:t>
      </w:r>
      <w:r>
        <w:rPr>
          <w:color w:val="000000"/>
        </w:rPr>
        <w:t>threshold</w:t>
      </w:r>
      <w:proofErr w:type="spellEnd"/>
      <w:r>
        <w:rPr>
          <w:color w:val="000000"/>
        </w:rPr>
        <w:t xml:space="preserve"> regime (when </w:t>
      </w:r>
      <w:proofErr w:type="spellStart"/>
      <w:r w:rsidRPr="0075038D">
        <w:rPr>
          <w:color w:val="000000"/>
        </w:rPr>
        <w:t>I</w:t>
      </w:r>
      <w:r w:rsidRPr="0075038D">
        <w:rPr>
          <w:color w:val="000000"/>
          <w:vertAlign w:val="subscript"/>
        </w:rPr>
        <w:t>c</w:t>
      </w:r>
      <w:proofErr w:type="spellEnd"/>
      <w:r>
        <w:rPr>
          <w:color w:val="000000"/>
          <w:vertAlign w:val="subscript"/>
        </w:rPr>
        <w:t xml:space="preserve"> </w:t>
      </w:r>
      <m:oMath>
        <m:r>
          <w:rPr>
            <w:rFonts w:ascii="Cambria Math" w:hAnsi="Cambria Math"/>
            <w:color w:val="000000"/>
            <w:vertAlign w:val="subscript"/>
          </w:rPr>
          <m:t xml:space="preserve">≤ </m:t>
        </m:r>
      </m:oMath>
      <w:r>
        <w:rPr>
          <w:color w:val="000000"/>
        </w:rPr>
        <w:t xml:space="preserve">I), </w:t>
      </w:r>
      <w:r w:rsidR="006B6B4E">
        <w:rPr>
          <w:color w:val="000000"/>
        </w:rPr>
        <w:t xml:space="preserve">still </w:t>
      </w:r>
      <w:r>
        <w:rPr>
          <w:color w:val="000000"/>
        </w:rPr>
        <w:t>with a concave shape</w:t>
      </w:r>
      <w:r w:rsidR="00725F95">
        <w:rPr>
          <w:color w:val="000000"/>
        </w:rPr>
        <w:t xml:space="preserve"> and </w:t>
      </w:r>
    </w:p>
    <w:p w14:paraId="5F198CD2" w14:textId="57442CB7" w:rsidR="00725F95" w:rsidRDefault="00725F95" w:rsidP="00C13521">
      <w:pPr>
        <w:pStyle w:val="NormalWeb"/>
        <w:ind w:left="360"/>
        <w:jc w:val="center"/>
        <w:outlineLvl w:val="0"/>
        <w:rPr>
          <w:rFonts w:eastAsiaTheme="minorEastAsia"/>
          <w:color w:val="000000"/>
        </w:rPr>
      </w:pPr>
      <m:oMathPara>
        <m:oMath>
          <m:r>
            <w:rPr>
              <w:rFonts w:ascii="Cambria Math" w:hAnsi="Cambria Math"/>
              <w:color w:val="000000"/>
            </w:rPr>
            <m:t>p</m:t>
          </m:r>
          <m:sSub>
            <m:sSubPr>
              <m:ctrlPr>
                <w:rPr>
                  <w:rFonts w:ascii="Cambria Math" w:hAnsi="Cambria Math"/>
                  <w:i/>
                  <w:color w:val="000000"/>
                </w:rPr>
              </m:ctrlPr>
            </m:sSubPr>
            <m:e>
              <m:r>
                <w:rPr>
                  <w:rFonts w:ascii="Cambria Math" w:hAnsi="Cambria Math"/>
                  <w:color w:val="000000"/>
                </w:rPr>
                <m:t>∙ν</m:t>
              </m:r>
            </m:e>
            <m:sub>
              <m:r>
                <w:rPr>
                  <w:rFonts w:ascii="Cambria Math" w:hAnsi="Cambria Math"/>
                  <w:color w:val="000000"/>
                </w:rPr>
                <m:t>c</m:t>
              </m:r>
            </m:sub>
          </m:sSub>
          <m:sSup>
            <m:sSupPr>
              <m:ctrlPr>
                <w:rPr>
                  <w:rFonts w:ascii="Cambria Math" w:hAnsi="Cambria Math"/>
                  <w:i/>
                  <w:color w:val="000000"/>
                </w:rPr>
              </m:ctrlPr>
            </m:sSupPr>
            <m:e>
              <m:d>
                <m:dPr>
                  <m:ctrlPr>
                    <w:rPr>
                      <w:rFonts w:ascii="Cambria Math" w:hAnsi="Cambria Math"/>
                      <w:i/>
                      <w:color w:val="000000"/>
                    </w:rPr>
                  </m:ctrlPr>
                </m:dPr>
                <m:e>
                  <m:f>
                    <m:fPr>
                      <m:ctrlPr>
                        <w:rPr>
                          <w:rFonts w:ascii="Cambria Math" w:hAnsi="Cambria Math"/>
                          <w:i/>
                          <w:color w:val="000000"/>
                        </w:rPr>
                      </m:ctrlPr>
                    </m:fPr>
                    <m:num>
                      <m:r>
                        <w:rPr>
                          <w:rFonts w:ascii="Cambria Math" w:hAnsi="Cambria Math"/>
                          <w:color w:val="000000"/>
                        </w:rPr>
                        <m:t>I</m:t>
                      </m:r>
                    </m:num>
                    <m:den>
                      <m:sSub>
                        <m:sSubPr>
                          <m:ctrlPr>
                            <w:rPr>
                              <w:rFonts w:ascii="Cambria Math" w:hAnsi="Cambria Math"/>
                              <w:i/>
                              <w:color w:val="000000"/>
                            </w:rPr>
                          </m:ctrlPr>
                        </m:sSubPr>
                        <m:e>
                          <m:r>
                            <w:rPr>
                              <w:rFonts w:ascii="Cambria Math" w:hAnsi="Cambria Math"/>
                              <w:color w:val="000000"/>
                            </w:rPr>
                            <m:t>I</m:t>
                          </m:r>
                        </m:e>
                        <m:sub>
                          <m:r>
                            <w:rPr>
                              <w:rFonts w:ascii="Cambria Math" w:hAnsi="Cambria Math"/>
                              <w:color w:val="000000"/>
                            </w:rPr>
                            <m:t>c</m:t>
                          </m:r>
                        </m:sub>
                      </m:sSub>
                    </m:den>
                  </m:f>
                  <m:r>
                    <w:rPr>
                      <w:rFonts w:ascii="Cambria Math" w:hAnsi="Cambria Math"/>
                      <w:color w:val="000000"/>
                    </w:rPr>
                    <m:t>-</m:t>
                  </m:r>
                  <m:f>
                    <m:fPr>
                      <m:ctrlPr>
                        <w:rPr>
                          <w:rFonts w:ascii="Cambria Math" w:hAnsi="Cambria Math"/>
                          <w:i/>
                          <w:color w:val="000000"/>
                        </w:rPr>
                      </m:ctrlPr>
                    </m:fPr>
                    <m:num>
                      <m:sSup>
                        <m:sSupPr>
                          <m:ctrlPr>
                            <w:rPr>
                              <w:rFonts w:ascii="Cambria Math" w:hAnsi="Cambria Math"/>
                              <w:i/>
                              <w:color w:val="000000"/>
                            </w:rPr>
                          </m:ctrlPr>
                        </m:sSupPr>
                        <m:e>
                          <m:r>
                            <w:rPr>
                              <w:rFonts w:ascii="Cambria Math" w:hAnsi="Cambria Math"/>
                              <w:color w:val="000000"/>
                            </w:rPr>
                            <m:t>p</m:t>
                          </m:r>
                        </m:e>
                        <m:sup>
                          <m:r>
                            <w:rPr>
                              <w:rFonts w:ascii="Cambria Math" w:hAnsi="Cambria Math"/>
                              <w:color w:val="000000"/>
                            </w:rPr>
                            <m:t>p</m:t>
                          </m:r>
                        </m:sup>
                      </m:sSup>
                      <m:r>
                        <w:rPr>
                          <w:rFonts w:ascii="Cambria Math" w:hAnsi="Cambria Math"/>
                          <w:color w:val="000000"/>
                        </w:rPr>
                        <m:t>-1</m:t>
                      </m:r>
                    </m:num>
                    <m:den>
                      <m:sSup>
                        <m:sSupPr>
                          <m:ctrlPr>
                            <w:rPr>
                              <w:rFonts w:ascii="Cambria Math" w:hAnsi="Cambria Math"/>
                              <w:i/>
                              <w:color w:val="000000"/>
                            </w:rPr>
                          </m:ctrlPr>
                        </m:sSupPr>
                        <m:e>
                          <m:r>
                            <w:rPr>
                              <w:rFonts w:ascii="Cambria Math" w:hAnsi="Cambria Math"/>
                              <w:color w:val="000000"/>
                            </w:rPr>
                            <m:t>p</m:t>
                          </m:r>
                        </m:e>
                        <m:sup>
                          <m:r>
                            <w:rPr>
                              <w:rFonts w:ascii="Cambria Math" w:hAnsi="Cambria Math"/>
                              <w:color w:val="000000"/>
                            </w:rPr>
                            <m:t>p</m:t>
                          </m:r>
                        </m:sup>
                      </m:sSup>
                    </m:den>
                  </m:f>
                </m:e>
              </m:d>
            </m:e>
            <m:sup>
              <m:r>
                <w:rPr>
                  <w:rFonts w:ascii="Cambria Math" w:hAnsi="Cambria Math"/>
                  <w:color w:val="000000"/>
                </w:rPr>
                <m:t>1/p</m:t>
              </m:r>
            </m:sup>
          </m:sSup>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ν</m:t>
              </m:r>
            </m:e>
            <m:sub>
              <m:r>
                <w:rPr>
                  <w:rFonts w:ascii="Cambria Math" w:hAnsi="Cambria Math"/>
                  <w:color w:val="000000"/>
                </w:rPr>
                <m:t>c</m:t>
              </m:r>
            </m:sub>
          </m:sSub>
        </m:oMath>
      </m:oMathPara>
    </w:p>
    <w:p w14:paraId="7ABB1347" w14:textId="4BD6F3F3" w:rsidR="006D4360" w:rsidRDefault="00725F95" w:rsidP="00C13521">
      <w:pPr>
        <w:pStyle w:val="NormalWeb"/>
        <w:jc w:val="both"/>
        <w:outlineLvl w:val="0"/>
        <w:rPr>
          <w:rFonts w:eastAsiaTheme="minorEastAsia"/>
          <w:color w:val="000000"/>
        </w:rPr>
      </w:pPr>
      <w:r>
        <w:rPr>
          <w:color w:val="000000"/>
        </w:rPr>
        <w:t>when I =</w:t>
      </w:r>
      <w:r w:rsidRPr="00F9239B">
        <w:rPr>
          <w:color w:val="000000"/>
        </w:rPr>
        <w:t xml:space="preserve"> </w:t>
      </w:r>
      <w:proofErr w:type="spellStart"/>
      <w:r w:rsidRPr="0075038D">
        <w:rPr>
          <w:color w:val="000000"/>
        </w:rPr>
        <w:t>I</w:t>
      </w:r>
      <w:r w:rsidRPr="0075038D">
        <w:rPr>
          <w:color w:val="000000"/>
          <w:vertAlign w:val="subscript"/>
        </w:rPr>
        <w:t>c</w:t>
      </w:r>
      <w:proofErr w:type="spellEnd"/>
      <w:r>
        <w:rPr>
          <w:color w:val="000000"/>
        </w:rPr>
        <w:t xml:space="preserve">, </w:t>
      </w:r>
      <w:r w:rsidR="006D4360">
        <w:rPr>
          <w:color w:val="000000"/>
        </w:rPr>
        <w:t>but given by a root function of general order instead of a square root.</w:t>
      </w:r>
    </w:p>
    <w:p w14:paraId="70E1BCF9" w14:textId="0F2C9F6D" w:rsidR="0006671C" w:rsidRDefault="003528F2" w:rsidP="00C13521">
      <w:pPr>
        <w:pStyle w:val="NormalWeb"/>
        <w:jc w:val="both"/>
        <w:outlineLvl w:val="0"/>
        <w:rPr>
          <w:color w:val="000000"/>
        </w:rPr>
      </w:pPr>
      <w:r>
        <w:rPr>
          <w:color w:val="000000"/>
        </w:rPr>
        <w:t xml:space="preserve">The DRT model simulations were repeated using </w:t>
      </w:r>
      <m:oMath>
        <m:sSub>
          <m:sSubPr>
            <m:ctrlPr>
              <w:rPr>
                <w:rFonts w:ascii="Cambria Math" w:hAnsi="Cambria Math"/>
                <w:i/>
                <w:iCs/>
                <w:color w:val="000000"/>
              </w:rPr>
            </m:ctrlPr>
          </m:sSubPr>
          <m:e>
            <m:r>
              <w:rPr>
                <w:rFonts w:ascii="Cambria Math" w:hAnsi="Cambria Math"/>
                <w:color w:val="000000"/>
              </w:rPr>
              <m:t>f</m:t>
            </m:r>
          </m:e>
          <m:sub>
            <m:r>
              <w:rPr>
                <w:rFonts w:ascii="Cambria Math" w:hAnsi="Cambria Math"/>
                <w:color w:val="000000"/>
              </w:rPr>
              <m:t>g</m:t>
            </m:r>
          </m:sub>
        </m:sSub>
        <m:d>
          <m:dPr>
            <m:ctrlPr>
              <w:rPr>
                <w:rFonts w:ascii="Cambria Math" w:hAnsi="Cambria Math"/>
                <w:i/>
                <w:color w:val="000000"/>
              </w:rPr>
            </m:ctrlPr>
          </m:dPr>
          <m:e>
            <m:r>
              <w:rPr>
                <w:rFonts w:ascii="Cambria Math" w:hAnsi="Cambria Math"/>
                <w:color w:val="000000"/>
              </w:rPr>
              <m:t>I</m:t>
            </m:r>
          </m:e>
        </m:d>
      </m:oMath>
      <w:r>
        <w:rPr>
          <w:rFonts w:eastAsiaTheme="minorEastAsia"/>
          <w:color w:val="000000"/>
        </w:rPr>
        <w:t xml:space="preserve"> </w:t>
      </w:r>
      <w:r w:rsidR="00725F95">
        <w:rPr>
          <w:rFonts w:eastAsiaTheme="minorEastAsia"/>
          <w:color w:val="000000"/>
        </w:rPr>
        <w:t xml:space="preserve">for the LHS regime in Table 2 in the main document </w:t>
      </w:r>
      <w:r>
        <w:rPr>
          <w:rFonts w:eastAsiaTheme="minorEastAsia"/>
          <w:color w:val="000000"/>
        </w:rPr>
        <w:t>(</w:t>
      </w:r>
      <w:r w:rsidR="00723A88">
        <w:rPr>
          <w:rFonts w:eastAsiaTheme="minorEastAsia"/>
          <w:color w:val="000000"/>
        </w:rPr>
        <w:t xml:space="preserve">Supp. </w:t>
      </w:r>
      <w:r>
        <w:rPr>
          <w:rFonts w:eastAsiaTheme="minorEastAsia"/>
          <w:color w:val="000000"/>
        </w:rPr>
        <w:t xml:space="preserve">Fig. 1). </w:t>
      </w:r>
      <w:r>
        <w:rPr>
          <w:color w:val="000000"/>
        </w:rPr>
        <w:t xml:space="preserve">We found good fits for the empirical data of the young, middle-aged and aged groups of subjects for </w:t>
      </w:r>
      <w:r w:rsidRPr="0075038D">
        <w:rPr>
          <w:color w:val="000000"/>
        </w:rPr>
        <w:sym w:font="Symbol" w:char="F06E"/>
      </w:r>
      <w:proofErr w:type="spellStart"/>
      <w:r w:rsidRPr="0075038D">
        <w:rPr>
          <w:color w:val="000000"/>
          <w:vertAlign w:val="subscript"/>
        </w:rPr>
        <w:t>ce</w:t>
      </w:r>
      <w:proofErr w:type="spellEnd"/>
      <w:r>
        <w:rPr>
          <w:color w:val="000000"/>
          <w:vertAlign w:val="subscript"/>
        </w:rPr>
        <w:t xml:space="preserve"> </w:t>
      </w:r>
      <w:r>
        <w:rPr>
          <w:color w:val="000000"/>
        </w:rPr>
        <w:t>= 2.</w:t>
      </w:r>
      <w:r w:rsidR="00723A88">
        <w:rPr>
          <w:color w:val="000000"/>
        </w:rPr>
        <w:t xml:space="preserve">63 </w:t>
      </w:r>
      <w:r>
        <w:rPr>
          <w:color w:val="000000"/>
        </w:rPr>
        <w:t xml:space="preserve">Hz, </w:t>
      </w:r>
      <w:r w:rsidRPr="0075038D">
        <w:rPr>
          <w:color w:val="000000"/>
        </w:rPr>
        <w:t>I</w:t>
      </w:r>
      <w:r w:rsidRPr="0075038D">
        <w:rPr>
          <w:color w:val="000000"/>
          <w:vertAlign w:val="subscript"/>
        </w:rPr>
        <w:t>c</w:t>
      </w:r>
      <w:r>
        <w:rPr>
          <w:color w:val="000000"/>
          <w:vertAlign w:val="subscript"/>
        </w:rPr>
        <w:t xml:space="preserve">e </w:t>
      </w:r>
      <w:r>
        <w:rPr>
          <w:color w:val="000000"/>
        </w:rPr>
        <w:t xml:space="preserve">= 122 </w:t>
      </w:r>
      <w:proofErr w:type="spellStart"/>
      <w:r>
        <w:rPr>
          <w:color w:val="000000"/>
        </w:rPr>
        <w:t>pA</w:t>
      </w:r>
      <w:proofErr w:type="spellEnd"/>
      <w:r>
        <w:rPr>
          <w:color w:val="000000"/>
        </w:rPr>
        <w:t xml:space="preserve">, and </w:t>
      </w:r>
      <w:proofErr w:type="spellStart"/>
      <w:r>
        <w:rPr>
          <w:color w:val="000000"/>
        </w:rPr>
        <w:t>p</w:t>
      </w:r>
      <w:r>
        <w:rPr>
          <w:color w:val="000000"/>
          <w:vertAlign w:val="subscript"/>
        </w:rPr>
        <w:t>e</w:t>
      </w:r>
      <w:proofErr w:type="spellEnd"/>
      <w:r>
        <w:rPr>
          <w:color w:val="000000"/>
        </w:rPr>
        <w:t xml:space="preserve"> = 4.9, 6.14, and 7.11, respectively</w:t>
      </w:r>
      <w:r w:rsidR="00725F95">
        <w:rPr>
          <w:color w:val="000000"/>
        </w:rPr>
        <w:t xml:space="preserve"> (</w:t>
      </w:r>
      <w:r w:rsidR="00723A88">
        <w:rPr>
          <w:color w:val="000000"/>
        </w:rPr>
        <w:t xml:space="preserve">Supp. </w:t>
      </w:r>
      <w:r w:rsidR="00725F95">
        <w:rPr>
          <w:rFonts w:eastAsiaTheme="minorEastAsia"/>
          <w:color w:val="000000"/>
        </w:rPr>
        <w:t>Fig. 1a</w:t>
      </w:r>
      <w:r w:rsidR="00725F95">
        <w:rPr>
          <w:color w:val="000000"/>
        </w:rPr>
        <w:t>)</w:t>
      </w:r>
      <w:r>
        <w:rPr>
          <w:color w:val="000000"/>
        </w:rPr>
        <w:t xml:space="preserve">. </w:t>
      </w:r>
      <w:r w:rsidR="00725F95">
        <w:rPr>
          <w:color w:val="000000"/>
        </w:rPr>
        <w:t xml:space="preserve">Therefore, </w:t>
      </w:r>
      <w:r w:rsidR="00ED6283">
        <w:rPr>
          <w:color w:val="000000"/>
        </w:rPr>
        <w:t xml:space="preserve">with this activation function, </w:t>
      </w:r>
      <w:r w:rsidR="00725F95">
        <w:rPr>
          <w:color w:val="000000"/>
        </w:rPr>
        <w:t xml:space="preserve">varying </w:t>
      </w:r>
      <w:proofErr w:type="spellStart"/>
      <w:r w:rsidR="00725F95">
        <w:rPr>
          <w:color w:val="000000"/>
        </w:rPr>
        <w:t>p</w:t>
      </w:r>
      <w:r w:rsidR="00725F95">
        <w:rPr>
          <w:color w:val="000000"/>
          <w:vertAlign w:val="subscript"/>
        </w:rPr>
        <w:t>e</w:t>
      </w:r>
      <w:proofErr w:type="spellEnd"/>
      <w:r w:rsidR="00725F95">
        <w:rPr>
          <w:color w:val="000000"/>
        </w:rPr>
        <w:t xml:space="preserve"> was </w:t>
      </w:r>
      <w:r w:rsidR="00723A88">
        <w:rPr>
          <w:color w:val="000000"/>
        </w:rPr>
        <w:t>sufficient</w:t>
      </w:r>
      <w:r w:rsidR="00725F95">
        <w:rPr>
          <w:color w:val="000000"/>
        </w:rPr>
        <w:t xml:space="preserve"> to fit the empirical </w:t>
      </w:r>
      <w:r w:rsidR="00725F95" w:rsidRPr="00725F95">
        <w:rPr>
          <w:i/>
          <w:color w:val="000000"/>
        </w:rPr>
        <w:t>f</w:t>
      </w:r>
      <w:r w:rsidR="00725F95">
        <w:rPr>
          <w:color w:val="000000"/>
        </w:rPr>
        <w:t>-I curves of the three age groups</w:t>
      </w:r>
      <w:r w:rsidR="00ED6283">
        <w:rPr>
          <w:color w:val="000000"/>
        </w:rPr>
        <w:t>.</w:t>
      </w:r>
      <w:r w:rsidR="009E67E3">
        <w:rPr>
          <w:color w:val="000000"/>
        </w:rPr>
        <w:t xml:space="preserve"> S</w:t>
      </w:r>
      <w:r>
        <w:rPr>
          <w:color w:val="000000"/>
        </w:rPr>
        <w:t>et</w:t>
      </w:r>
      <w:r w:rsidR="009E67E3">
        <w:rPr>
          <w:color w:val="000000"/>
        </w:rPr>
        <w:t>ting</w:t>
      </w:r>
      <w:r>
        <w:rPr>
          <w:color w:val="000000"/>
        </w:rPr>
        <w:t xml:space="preserve"> </w:t>
      </w:r>
      <w:r w:rsidRPr="0075038D">
        <w:rPr>
          <w:color w:val="000000"/>
        </w:rPr>
        <w:sym w:font="Symbol" w:char="F06E"/>
      </w:r>
      <w:r w:rsidRPr="0075038D">
        <w:rPr>
          <w:color w:val="000000"/>
          <w:vertAlign w:val="subscript"/>
        </w:rPr>
        <w:t>c</w:t>
      </w:r>
      <w:r>
        <w:rPr>
          <w:color w:val="000000"/>
          <w:vertAlign w:val="subscript"/>
        </w:rPr>
        <w:t xml:space="preserve">i </w:t>
      </w:r>
      <w:r>
        <w:rPr>
          <w:color w:val="000000"/>
        </w:rPr>
        <w:t>= 2.</w:t>
      </w:r>
      <w:r w:rsidR="00723A88">
        <w:rPr>
          <w:color w:val="000000"/>
        </w:rPr>
        <w:t xml:space="preserve">63 </w:t>
      </w:r>
      <w:r>
        <w:rPr>
          <w:color w:val="000000"/>
        </w:rPr>
        <w:t xml:space="preserve">Hz, </w:t>
      </w:r>
      <w:proofErr w:type="spellStart"/>
      <w:r w:rsidRPr="0075038D">
        <w:rPr>
          <w:color w:val="000000"/>
        </w:rPr>
        <w:t>I</w:t>
      </w:r>
      <w:r w:rsidRPr="0075038D">
        <w:rPr>
          <w:color w:val="000000"/>
          <w:vertAlign w:val="subscript"/>
        </w:rPr>
        <w:t>c</w:t>
      </w:r>
      <w:r>
        <w:rPr>
          <w:color w:val="000000"/>
          <w:vertAlign w:val="subscript"/>
        </w:rPr>
        <w:t>i</w:t>
      </w:r>
      <w:proofErr w:type="spellEnd"/>
      <w:r>
        <w:rPr>
          <w:color w:val="000000"/>
          <w:vertAlign w:val="subscript"/>
        </w:rPr>
        <w:t xml:space="preserve"> </w:t>
      </w:r>
      <w:r>
        <w:rPr>
          <w:color w:val="000000"/>
        </w:rPr>
        <w:t xml:space="preserve">= 118 </w:t>
      </w:r>
      <w:proofErr w:type="spellStart"/>
      <w:r>
        <w:rPr>
          <w:color w:val="000000"/>
        </w:rPr>
        <w:t>pA</w:t>
      </w:r>
      <w:proofErr w:type="spellEnd"/>
      <w:r>
        <w:rPr>
          <w:color w:val="000000"/>
        </w:rPr>
        <w:t>, and p</w:t>
      </w:r>
      <w:r>
        <w:rPr>
          <w:color w:val="000000"/>
          <w:vertAlign w:val="subscript"/>
        </w:rPr>
        <w:t>i</w:t>
      </w:r>
      <w:r>
        <w:rPr>
          <w:color w:val="000000"/>
        </w:rPr>
        <w:t xml:space="preserve"> = 50 for the network inhibitory neuron</w:t>
      </w:r>
      <w:r w:rsidR="009E67E3">
        <w:rPr>
          <w:color w:val="000000"/>
        </w:rPr>
        <w:t xml:space="preserve">s, we repeated the DRT simulations at each of the 4200 points in the LHS for </w:t>
      </w:r>
      <w:proofErr w:type="spellStart"/>
      <w:r w:rsidR="009E67E3">
        <w:rPr>
          <w:color w:val="000000"/>
        </w:rPr>
        <w:t>p</w:t>
      </w:r>
      <w:r w:rsidR="009E67E3">
        <w:rPr>
          <w:color w:val="000000"/>
          <w:vertAlign w:val="subscript"/>
        </w:rPr>
        <w:t>e</w:t>
      </w:r>
      <w:proofErr w:type="spellEnd"/>
      <w:r w:rsidR="009E67E3">
        <w:rPr>
          <w:color w:val="000000"/>
        </w:rPr>
        <w:t xml:space="preserve"> = 3, 4, 5, 6, 7, and 8.</w:t>
      </w:r>
      <w:r w:rsidR="00723A88">
        <w:rPr>
          <w:color w:val="000000"/>
        </w:rPr>
        <w:t xml:space="preserve">  As when </w:t>
      </w:r>
      <w:r w:rsidR="00723A88" w:rsidRPr="0075038D">
        <w:rPr>
          <w:color w:val="000000"/>
        </w:rPr>
        <w:sym w:font="Symbol" w:char="F06E"/>
      </w:r>
      <w:proofErr w:type="spellStart"/>
      <w:r w:rsidR="00723A88" w:rsidRPr="0075038D">
        <w:rPr>
          <w:color w:val="000000"/>
          <w:vertAlign w:val="subscript"/>
        </w:rPr>
        <w:t>ce</w:t>
      </w:r>
      <w:proofErr w:type="spellEnd"/>
      <w:r w:rsidR="00723A88">
        <w:rPr>
          <w:color w:val="000000"/>
        </w:rPr>
        <w:t xml:space="preserve"> increased in the classical (but more excitable) </w:t>
      </w:r>
      <w:r w:rsidR="00723A88" w:rsidRPr="00973287">
        <w:rPr>
          <w:i/>
          <w:color w:val="000000"/>
        </w:rPr>
        <w:t>f</w:t>
      </w:r>
      <w:r w:rsidR="00723A88">
        <w:rPr>
          <w:color w:val="000000"/>
        </w:rPr>
        <w:t xml:space="preserve">-I curve in the main text, the number of points maintaining TPA-S decreased as </w:t>
      </w:r>
      <w:proofErr w:type="spellStart"/>
      <w:r w:rsidR="00723A88">
        <w:rPr>
          <w:color w:val="000000"/>
        </w:rPr>
        <w:t>p</w:t>
      </w:r>
      <w:r w:rsidR="00723A88">
        <w:rPr>
          <w:color w:val="000000"/>
          <w:vertAlign w:val="subscript"/>
        </w:rPr>
        <w:t>e</w:t>
      </w:r>
      <w:proofErr w:type="spellEnd"/>
      <w:r w:rsidR="00723A88">
        <w:rPr>
          <w:color w:val="000000"/>
        </w:rPr>
        <w:t xml:space="preserve"> increased.  </w:t>
      </w:r>
      <w:r w:rsidR="0066411A">
        <w:rPr>
          <w:color w:val="000000"/>
        </w:rPr>
        <w:t xml:space="preserve">Overall, </w:t>
      </w:r>
      <w:r w:rsidR="00723A88">
        <w:rPr>
          <w:color w:val="000000"/>
        </w:rPr>
        <w:t>points</w:t>
      </w:r>
      <w:r w:rsidR="0066411A">
        <w:rPr>
          <w:color w:val="000000"/>
        </w:rPr>
        <w:t xml:space="preserve"> sampled in the regime became more excitable:  Supplemental Figure 1d shows fewer under-excited and more over-excited cases as </w:t>
      </w:r>
      <w:proofErr w:type="spellStart"/>
      <w:r w:rsidR="0066411A">
        <w:rPr>
          <w:color w:val="000000"/>
        </w:rPr>
        <w:t>p</w:t>
      </w:r>
      <w:r w:rsidR="0066411A">
        <w:rPr>
          <w:color w:val="000000"/>
          <w:vertAlign w:val="subscript"/>
        </w:rPr>
        <w:t>e</w:t>
      </w:r>
      <w:proofErr w:type="spellEnd"/>
      <w:r w:rsidR="0066411A">
        <w:rPr>
          <w:color w:val="000000"/>
        </w:rPr>
        <w:t xml:space="preserve"> increased (blue vs. red dots).</w:t>
      </w:r>
      <w:r w:rsidR="00E339F0">
        <w:rPr>
          <w:color w:val="000000"/>
        </w:rPr>
        <w:t xml:space="preserve">  Most synaptic weight trends reported in the main text were also maintained here, suggesting that our results are robust to variations in the f-I curve formulation.</w:t>
      </w:r>
    </w:p>
    <w:p w14:paraId="3DECCE66" w14:textId="77777777" w:rsidR="003422DE" w:rsidRDefault="003422DE" w:rsidP="00C13521">
      <w:pPr>
        <w:pStyle w:val="NormalWeb"/>
        <w:jc w:val="both"/>
        <w:outlineLvl w:val="0"/>
        <w:rPr>
          <w:color w:val="000000"/>
        </w:rPr>
      </w:pPr>
    </w:p>
    <w:p w14:paraId="0C423BE4" w14:textId="2575E27C" w:rsidR="002477BC" w:rsidRPr="00723A88" w:rsidRDefault="006B0F2E" w:rsidP="006B0F2E">
      <w:pPr>
        <w:pStyle w:val="NormalWeb"/>
        <w:jc w:val="center"/>
        <w:outlineLvl w:val="0"/>
        <w:rPr>
          <w:color w:val="000000"/>
        </w:rPr>
      </w:pPr>
      <w:r>
        <w:rPr>
          <w:noProof/>
          <w:color w:val="000000"/>
        </w:rPr>
        <w:lastRenderedPageBreak/>
        <w:drawing>
          <wp:inline distT="0" distB="0" distL="0" distR="0" wp14:anchorId="367E82D1" wp14:editId="43B14022">
            <wp:extent cx="5943600" cy="32365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3sup.eps"/>
                    <pic:cNvPicPr/>
                  </pic:nvPicPr>
                  <pic:blipFill>
                    <a:blip r:embed="rId7">
                      <a:extLst>
                        <a:ext uri="{28A0092B-C50C-407E-A947-70E740481C1C}">
                          <a14:useLocalDpi xmlns:a14="http://schemas.microsoft.com/office/drawing/2010/main" val="0"/>
                        </a:ext>
                      </a:extLst>
                    </a:blip>
                    <a:stretch>
                      <a:fillRect/>
                    </a:stretch>
                  </pic:blipFill>
                  <pic:spPr>
                    <a:xfrm>
                      <a:off x="0" y="0"/>
                      <a:ext cx="5943600" cy="3236595"/>
                    </a:xfrm>
                    <a:prstGeom prst="rect">
                      <a:avLst/>
                    </a:prstGeom>
                  </pic:spPr>
                </pic:pic>
              </a:graphicData>
            </a:graphic>
          </wp:inline>
        </w:drawing>
      </w:r>
    </w:p>
    <w:p w14:paraId="6F61E24E" w14:textId="4CD03DA4" w:rsidR="000A5585" w:rsidRDefault="00685BB2" w:rsidP="006B0F2E">
      <w:pPr>
        <w:widowControl w:val="0"/>
        <w:autoSpaceDE w:val="0"/>
        <w:autoSpaceDN w:val="0"/>
        <w:adjustRightInd w:val="0"/>
        <w:spacing w:after="240"/>
        <w:jc w:val="both"/>
        <w:rPr>
          <w:rFonts w:ascii="Times New Roman" w:hAnsi="Times New Roman" w:cs="Times New Roman"/>
          <w:color w:val="000000"/>
        </w:rPr>
      </w:pPr>
      <w:r>
        <w:rPr>
          <w:rFonts w:ascii="Times New Roman" w:hAnsi="Times New Roman" w:cs="Times New Roman"/>
          <w:b/>
          <w:color w:val="000000"/>
        </w:rPr>
        <w:t>Supplementa</w:t>
      </w:r>
      <w:r w:rsidR="00494A1F">
        <w:rPr>
          <w:rFonts w:ascii="Times New Roman" w:hAnsi="Times New Roman" w:cs="Times New Roman"/>
          <w:b/>
          <w:color w:val="000000"/>
        </w:rPr>
        <w:t>ry</w:t>
      </w:r>
      <w:r>
        <w:rPr>
          <w:rFonts w:ascii="Times New Roman" w:hAnsi="Times New Roman" w:cs="Times New Roman"/>
          <w:b/>
          <w:color w:val="000000"/>
        </w:rPr>
        <w:t xml:space="preserve"> </w:t>
      </w:r>
      <w:r w:rsidR="00494A1F">
        <w:rPr>
          <w:rFonts w:ascii="Times New Roman" w:hAnsi="Times New Roman" w:cs="Times New Roman"/>
          <w:b/>
          <w:color w:val="000000"/>
        </w:rPr>
        <w:t>f</w:t>
      </w:r>
      <w:r w:rsidR="008F1C1A" w:rsidRPr="00A1749F">
        <w:rPr>
          <w:rFonts w:ascii="Times New Roman" w:hAnsi="Times New Roman" w:cs="Times New Roman"/>
          <w:b/>
          <w:color w:val="000000"/>
        </w:rPr>
        <w:t xml:space="preserve">igure 1: DRT model output with </w:t>
      </w:r>
      <m:oMath>
        <m:sSub>
          <m:sSubPr>
            <m:ctrlPr>
              <w:rPr>
                <w:rFonts w:ascii="Cambria Math" w:hAnsi="Cambria Math" w:cs="Times New Roman"/>
                <w:b/>
                <w:i/>
                <w:iCs/>
                <w:color w:val="000000"/>
              </w:rPr>
            </m:ctrlPr>
          </m:sSubPr>
          <m:e>
            <m:r>
              <m:rPr>
                <m:sty m:val="bi"/>
              </m:rPr>
              <w:rPr>
                <w:rFonts w:ascii="Cambria Math" w:hAnsi="Cambria Math" w:cs="Times New Roman"/>
                <w:color w:val="000000"/>
              </w:rPr>
              <m:t>f</m:t>
            </m:r>
          </m:e>
          <m:sub>
            <m:r>
              <m:rPr>
                <m:sty m:val="bi"/>
              </m:rPr>
              <w:rPr>
                <w:rFonts w:ascii="Cambria Math" w:hAnsi="Cambria Math" w:cs="Times New Roman"/>
                <w:color w:val="000000"/>
              </w:rPr>
              <m:t>g</m:t>
            </m:r>
          </m:sub>
        </m:sSub>
        <m:d>
          <m:dPr>
            <m:ctrlPr>
              <w:rPr>
                <w:rFonts w:ascii="Cambria Math" w:hAnsi="Cambria Math" w:cs="Times New Roman"/>
                <w:b/>
                <w:i/>
                <w:color w:val="000000"/>
              </w:rPr>
            </m:ctrlPr>
          </m:dPr>
          <m:e>
            <m:r>
              <m:rPr>
                <m:sty m:val="bi"/>
              </m:rPr>
              <w:rPr>
                <w:rFonts w:ascii="Cambria Math" w:hAnsi="Cambria Math" w:cs="Times New Roman"/>
                <w:color w:val="000000"/>
              </w:rPr>
              <m:t>I</m:t>
            </m:r>
          </m:e>
        </m:d>
      </m:oMath>
      <w:r w:rsidR="008F1C1A" w:rsidRPr="00A1749F">
        <w:rPr>
          <w:rFonts w:ascii="Times New Roman" w:hAnsi="Times New Roman" w:cs="Times New Roman"/>
          <w:b/>
          <w:color w:val="000000"/>
        </w:rPr>
        <w:t xml:space="preserve"> varied across the parameter space.</w:t>
      </w:r>
      <w:r w:rsidR="008F1C1A" w:rsidRPr="00A1749F">
        <w:rPr>
          <w:rFonts w:ascii="Times New Roman" w:hAnsi="Times New Roman" w:cs="Times New Roman"/>
          <w:color w:val="000000"/>
        </w:rPr>
        <w:t xml:space="preserve"> a) </w:t>
      </w:r>
      <m:oMath>
        <m:sSub>
          <m:sSubPr>
            <m:ctrlPr>
              <w:rPr>
                <w:rFonts w:ascii="Cambria Math" w:hAnsi="Cambria Math" w:cs="Times New Roman"/>
                <w:i/>
                <w:iCs/>
                <w:color w:val="000000"/>
              </w:rPr>
            </m:ctrlPr>
          </m:sSubPr>
          <m:e>
            <m:r>
              <w:rPr>
                <w:rFonts w:ascii="Cambria Math" w:hAnsi="Cambria Math" w:cs="Times New Roman"/>
                <w:color w:val="000000"/>
              </w:rPr>
              <m:t>f</m:t>
            </m:r>
          </m:e>
          <m:sub>
            <m:r>
              <w:rPr>
                <w:rFonts w:ascii="Cambria Math" w:hAnsi="Cambria Math" w:cs="Times New Roman"/>
                <w:color w:val="000000"/>
              </w:rPr>
              <m:t>g</m:t>
            </m:r>
          </m:sub>
        </m:sSub>
        <m:d>
          <m:dPr>
            <m:ctrlPr>
              <w:rPr>
                <w:rFonts w:ascii="Cambria Math" w:hAnsi="Cambria Math" w:cs="Times New Roman"/>
                <w:i/>
                <w:color w:val="000000"/>
              </w:rPr>
            </m:ctrlPr>
          </m:dPr>
          <m:e>
            <m:r>
              <w:rPr>
                <w:rFonts w:ascii="Cambria Math" w:hAnsi="Cambria Math" w:cs="Times New Roman"/>
                <w:color w:val="000000"/>
              </w:rPr>
              <m:t>I</m:t>
            </m:r>
          </m:e>
        </m:d>
      </m:oMath>
      <w:r w:rsidR="00A1749F" w:rsidRPr="00A1749F">
        <w:rPr>
          <w:rFonts w:ascii="Times New Roman" w:hAnsi="Times New Roman" w:cs="Times New Roman"/>
          <w:b/>
          <w:color w:val="000000"/>
        </w:rPr>
        <w:t xml:space="preserve"> </w:t>
      </w:r>
      <w:r w:rsidR="008F1C1A" w:rsidRPr="00A1749F">
        <w:rPr>
          <w:rFonts w:ascii="Times New Roman" w:hAnsi="Times New Roman" w:cs="Times New Roman"/>
          <w:color w:val="000000"/>
        </w:rPr>
        <w:t xml:space="preserve">fit (solid lines) to empirical AP firing rates of pyramidal neurons of young, middle-aged and aged subjects, averaged for each age group (black, blue, and red respectively, shown as mean </w:t>
      </w:r>
      <m:oMath>
        <m:r>
          <w:rPr>
            <w:rFonts w:ascii="Cambria Math" w:hAnsi="Cambria Math" w:cs="Times New Roman"/>
            <w:color w:val="222222"/>
          </w:rPr>
          <m:t>±</m:t>
        </m:r>
      </m:oMath>
      <w:r w:rsidR="008F1C1A" w:rsidRPr="00A1749F">
        <w:rPr>
          <w:rFonts w:ascii="Times New Roman" w:hAnsi="Times New Roman" w:cs="Times New Roman"/>
          <w:color w:val="222222"/>
        </w:rPr>
        <w:t xml:space="preserve"> SEM at each injection level</w:t>
      </w:r>
      <w:r w:rsidR="008F1C1A" w:rsidRPr="00A1749F">
        <w:rPr>
          <w:rFonts w:ascii="Times New Roman" w:hAnsi="Times New Roman" w:cs="Times New Roman"/>
          <w:color w:val="000000"/>
        </w:rPr>
        <w:t xml:space="preserve">). b) Number of points in each LHS maintaining TPA-S as </w:t>
      </w:r>
      <w:proofErr w:type="spellStart"/>
      <w:r w:rsidR="008F1C1A" w:rsidRPr="00A1749F">
        <w:rPr>
          <w:rFonts w:ascii="Times New Roman" w:hAnsi="Times New Roman" w:cs="Times New Roman"/>
          <w:color w:val="000000"/>
        </w:rPr>
        <w:t>p</w:t>
      </w:r>
      <w:r w:rsidR="008F1C1A" w:rsidRPr="00A1749F">
        <w:rPr>
          <w:rFonts w:ascii="Times New Roman" w:hAnsi="Times New Roman" w:cs="Times New Roman"/>
          <w:color w:val="000000"/>
          <w:vertAlign w:val="subscript"/>
        </w:rPr>
        <w:t>e</w:t>
      </w:r>
      <w:proofErr w:type="spellEnd"/>
      <w:r w:rsidR="008F1C1A" w:rsidRPr="00A1749F">
        <w:rPr>
          <w:rFonts w:ascii="Times New Roman" w:hAnsi="Times New Roman" w:cs="Times New Roman"/>
          <w:color w:val="000000"/>
          <w:position w:val="-3"/>
        </w:rPr>
        <w:t xml:space="preserve"> </w:t>
      </w:r>
      <w:r w:rsidR="00A1749F">
        <w:rPr>
          <w:rFonts w:ascii="Times New Roman" w:hAnsi="Times New Roman" w:cs="Times New Roman"/>
          <w:color w:val="000000"/>
        </w:rPr>
        <w:t>increased. c</w:t>
      </w:r>
      <w:r w:rsidR="008F1C1A" w:rsidRPr="00A1749F">
        <w:rPr>
          <w:rFonts w:ascii="Times New Roman" w:hAnsi="Times New Roman" w:cs="Times New Roman"/>
          <w:color w:val="000000"/>
        </w:rPr>
        <w:t>) Mean synaptic weights (</w:t>
      </w:r>
      <w:proofErr w:type="spellStart"/>
      <w:r w:rsidR="008F1C1A" w:rsidRPr="00A1749F">
        <w:rPr>
          <w:rFonts w:ascii="Times New Roman" w:hAnsi="Times New Roman" w:cs="Times New Roman"/>
          <w:color w:val="000000"/>
        </w:rPr>
        <w:t>G</w:t>
      </w:r>
      <w:r w:rsidR="008F1C1A" w:rsidRPr="00A1749F">
        <w:rPr>
          <w:rFonts w:ascii="Times New Roman" w:hAnsi="Times New Roman" w:cs="Times New Roman"/>
          <w:color w:val="000000"/>
          <w:vertAlign w:val="subscript"/>
        </w:rPr>
        <w:t>EEa</w:t>
      </w:r>
      <w:proofErr w:type="spellEnd"/>
      <w:r w:rsidR="008F1C1A" w:rsidRPr="00A1749F">
        <w:rPr>
          <w:rFonts w:ascii="Times New Roman" w:hAnsi="Times New Roman" w:cs="Times New Roman"/>
          <w:color w:val="000000"/>
        </w:rPr>
        <w:t xml:space="preserve">, </w:t>
      </w:r>
      <w:proofErr w:type="spellStart"/>
      <w:r w:rsidR="008F1C1A" w:rsidRPr="00A1749F">
        <w:rPr>
          <w:rFonts w:ascii="Times New Roman" w:hAnsi="Times New Roman" w:cs="Times New Roman"/>
          <w:color w:val="000000"/>
        </w:rPr>
        <w:t>G</w:t>
      </w:r>
      <w:r w:rsidR="008F1C1A" w:rsidRPr="00A1749F">
        <w:rPr>
          <w:rFonts w:ascii="Times New Roman" w:hAnsi="Times New Roman" w:cs="Times New Roman"/>
          <w:color w:val="000000"/>
          <w:vertAlign w:val="subscript"/>
        </w:rPr>
        <w:t>EEn</w:t>
      </w:r>
      <w:proofErr w:type="spellEnd"/>
      <w:r w:rsidR="008F1C1A" w:rsidRPr="00A1749F">
        <w:rPr>
          <w:rFonts w:ascii="Times New Roman" w:hAnsi="Times New Roman" w:cs="Times New Roman"/>
          <w:color w:val="000000"/>
        </w:rPr>
        <w:t>, G</w:t>
      </w:r>
      <w:r w:rsidR="008F1C1A" w:rsidRPr="00A1749F">
        <w:rPr>
          <w:rFonts w:ascii="Times New Roman" w:hAnsi="Times New Roman" w:cs="Times New Roman"/>
          <w:color w:val="000000"/>
          <w:vertAlign w:val="subscript"/>
        </w:rPr>
        <w:t>IE</w:t>
      </w:r>
      <w:r w:rsidR="008F1C1A" w:rsidRPr="00A1749F">
        <w:rPr>
          <w:rFonts w:ascii="Times New Roman" w:hAnsi="Times New Roman" w:cs="Times New Roman"/>
          <w:color w:val="000000"/>
        </w:rPr>
        <w:t xml:space="preserve">, </w:t>
      </w:r>
      <w:proofErr w:type="spellStart"/>
      <w:r w:rsidR="008F1C1A" w:rsidRPr="00A1749F">
        <w:rPr>
          <w:rFonts w:ascii="Times New Roman" w:hAnsi="Times New Roman" w:cs="Times New Roman"/>
          <w:color w:val="000000"/>
        </w:rPr>
        <w:t>G</w:t>
      </w:r>
      <w:r w:rsidR="008F1C1A" w:rsidRPr="00A1749F">
        <w:rPr>
          <w:rFonts w:ascii="Times New Roman" w:hAnsi="Times New Roman" w:cs="Times New Roman"/>
          <w:color w:val="000000"/>
          <w:vertAlign w:val="subscript"/>
        </w:rPr>
        <w:t>EIa</w:t>
      </w:r>
      <w:proofErr w:type="spellEnd"/>
      <w:r w:rsidR="008F1C1A" w:rsidRPr="00A1749F">
        <w:rPr>
          <w:rFonts w:ascii="Times New Roman" w:hAnsi="Times New Roman" w:cs="Times New Roman"/>
          <w:color w:val="000000"/>
        </w:rPr>
        <w:t xml:space="preserve">, </w:t>
      </w:r>
      <w:proofErr w:type="spellStart"/>
      <w:r w:rsidR="008F1C1A" w:rsidRPr="00A1749F">
        <w:rPr>
          <w:rFonts w:ascii="Times New Roman" w:hAnsi="Times New Roman" w:cs="Times New Roman"/>
          <w:color w:val="000000"/>
        </w:rPr>
        <w:t>G</w:t>
      </w:r>
      <w:r w:rsidR="008F1C1A" w:rsidRPr="00A1749F">
        <w:rPr>
          <w:rFonts w:ascii="Times New Roman" w:hAnsi="Times New Roman" w:cs="Times New Roman"/>
          <w:color w:val="000000"/>
          <w:vertAlign w:val="subscript"/>
        </w:rPr>
        <w:t>EIn</w:t>
      </w:r>
      <w:proofErr w:type="spellEnd"/>
      <w:r w:rsidR="008F1C1A" w:rsidRPr="00A1749F">
        <w:rPr>
          <w:rFonts w:ascii="Times New Roman" w:hAnsi="Times New Roman" w:cs="Times New Roman"/>
          <w:color w:val="000000"/>
        </w:rPr>
        <w:t>, and G</w:t>
      </w:r>
      <w:r w:rsidR="008F1C1A" w:rsidRPr="00A1749F">
        <w:rPr>
          <w:rFonts w:ascii="Times New Roman" w:hAnsi="Times New Roman" w:cs="Times New Roman"/>
          <w:color w:val="000000"/>
          <w:vertAlign w:val="subscript"/>
        </w:rPr>
        <w:t>II</w:t>
      </w:r>
      <w:r w:rsidR="008F1C1A" w:rsidRPr="00A1749F">
        <w:rPr>
          <w:rFonts w:ascii="Times New Roman" w:hAnsi="Times New Roman" w:cs="Times New Roman"/>
          <w:color w:val="000000"/>
        </w:rPr>
        <w:t>) for all points maintaining TPA-</w:t>
      </w:r>
      <w:r w:rsidR="003F6B23">
        <w:rPr>
          <w:rFonts w:ascii="Times New Roman" w:hAnsi="Times New Roman" w:cs="Times New Roman"/>
          <w:color w:val="000000"/>
        </w:rPr>
        <w:t xml:space="preserve">S </w:t>
      </w:r>
      <w:r w:rsidR="003F6B23" w:rsidRPr="00A1749F">
        <w:rPr>
          <w:rFonts w:ascii="Times New Roman" w:hAnsi="Times New Roman" w:cs="Times New Roman"/>
          <w:color w:val="000000"/>
        </w:rPr>
        <w:t xml:space="preserve">as </w:t>
      </w:r>
      <w:proofErr w:type="spellStart"/>
      <w:r w:rsidR="003F6B23" w:rsidRPr="00A1749F">
        <w:rPr>
          <w:rFonts w:ascii="Times New Roman" w:hAnsi="Times New Roman" w:cs="Times New Roman"/>
          <w:color w:val="000000"/>
        </w:rPr>
        <w:t>p</w:t>
      </w:r>
      <w:r w:rsidR="003F6B23" w:rsidRPr="00A1749F">
        <w:rPr>
          <w:rFonts w:ascii="Times New Roman" w:hAnsi="Times New Roman" w:cs="Times New Roman"/>
          <w:color w:val="000000"/>
          <w:vertAlign w:val="subscript"/>
        </w:rPr>
        <w:t>e</w:t>
      </w:r>
      <w:proofErr w:type="spellEnd"/>
      <w:r w:rsidR="003F6B23" w:rsidRPr="00A1749F">
        <w:rPr>
          <w:rFonts w:ascii="Times New Roman" w:hAnsi="Times New Roman" w:cs="Times New Roman"/>
          <w:color w:val="000000"/>
        </w:rPr>
        <w:t xml:space="preserve"> </w:t>
      </w:r>
      <w:r w:rsidR="003F6B23">
        <w:rPr>
          <w:rFonts w:ascii="Times New Roman" w:hAnsi="Times New Roman" w:cs="Times New Roman"/>
          <w:color w:val="000000"/>
        </w:rPr>
        <w:t>in</w:t>
      </w:r>
      <w:r w:rsidR="005D6E1C" w:rsidRPr="005D6E1C">
        <w:rPr>
          <w:rFonts w:ascii="Times New Roman" w:hAnsi="Times New Roman" w:cs="Times New Roman"/>
          <w:color w:val="000000"/>
        </w:rPr>
        <w:t xml:space="preserve">creased. </w:t>
      </w:r>
      <w:proofErr w:type="spellStart"/>
      <w:r w:rsidR="005D6E1C" w:rsidRPr="005D6E1C">
        <w:rPr>
          <w:rFonts w:ascii="Times New Roman" w:hAnsi="Times New Roman" w:cs="Times New Roman"/>
          <w:color w:val="000000"/>
        </w:rPr>
        <w:t>G</w:t>
      </w:r>
      <w:r w:rsidR="005D6E1C" w:rsidRPr="005D6E1C">
        <w:rPr>
          <w:rFonts w:ascii="Times New Roman" w:hAnsi="Times New Roman" w:cs="Times New Roman"/>
          <w:color w:val="000000"/>
          <w:vertAlign w:val="subscript"/>
        </w:rPr>
        <w:t>EEa</w:t>
      </w:r>
      <w:proofErr w:type="spellEnd"/>
      <w:r w:rsidR="005D6E1C" w:rsidRPr="005D6E1C">
        <w:rPr>
          <w:rFonts w:ascii="Times New Roman" w:hAnsi="Times New Roman" w:cs="Times New Roman"/>
          <w:color w:val="000000"/>
        </w:rPr>
        <w:t xml:space="preserve">, </w:t>
      </w:r>
      <w:proofErr w:type="spellStart"/>
      <w:r w:rsidR="005D6E1C" w:rsidRPr="005D6E1C">
        <w:rPr>
          <w:rFonts w:ascii="Times New Roman" w:hAnsi="Times New Roman" w:cs="Times New Roman"/>
          <w:color w:val="000000"/>
        </w:rPr>
        <w:t>G</w:t>
      </w:r>
      <w:r w:rsidR="005D6E1C" w:rsidRPr="005D6E1C">
        <w:rPr>
          <w:rFonts w:ascii="Times New Roman" w:hAnsi="Times New Roman" w:cs="Times New Roman"/>
          <w:color w:val="000000"/>
          <w:vertAlign w:val="subscript"/>
        </w:rPr>
        <w:t>EEn</w:t>
      </w:r>
      <w:proofErr w:type="spellEnd"/>
      <w:r w:rsidR="005D6E1C" w:rsidRPr="005D6E1C">
        <w:rPr>
          <w:rFonts w:ascii="Times New Roman" w:hAnsi="Times New Roman" w:cs="Times New Roman"/>
          <w:color w:val="000000"/>
        </w:rPr>
        <w:t>, and G</w:t>
      </w:r>
      <w:r w:rsidR="005D6E1C" w:rsidRPr="005D6E1C">
        <w:rPr>
          <w:rFonts w:ascii="Times New Roman" w:hAnsi="Times New Roman" w:cs="Times New Roman"/>
          <w:color w:val="000000"/>
          <w:vertAlign w:val="subscript"/>
        </w:rPr>
        <w:t xml:space="preserve">IE </w:t>
      </w:r>
      <w:r w:rsidR="005D6E1C" w:rsidRPr="005D6E1C">
        <w:rPr>
          <w:rFonts w:ascii="Times New Roman" w:hAnsi="Times New Roman" w:cs="Times New Roman"/>
          <w:color w:val="000000"/>
        </w:rPr>
        <w:t xml:space="preserve">values shown as purple, pink, and red open circles respectively; </w:t>
      </w:r>
      <w:proofErr w:type="spellStart"/>
      <w:r w:rsidR="005D6E1C" w:rsidRPr="005D6E1C">
        <w:rPr>
          <w:rFonts w:ascii="Times New Roman" w:hAnsi="Times New Roman" w:cs="Times New Roman"/>
          <w:color w:val="000000"/>
        </w:rPr>
        <w:t>G</w:t>
      </w:r>
      <w:r w:rsidR="005D6E1C" w:rsidRPr="005D6E1C">
        <w:rPr>
          <w:rFonts w:ascii="Times New Roman" w:hAnsi="Times New Roman" w:cs="Times New Roman"/>
          <w:color w:val="000000"/>
          <w:vertAlign w:val="subscript"/>
        </w:rPr>
        <w:t>EIa</w:t>
      </w:r>
      <w:proofErr w:type="spellEnd"/>
      <w:r w:rsidR="005D6E1C" w:rsidRPr="005D6E1C">
        <w:rPr>
          <w:rFonts w:ascii="Times New Roman" w:hAnsi="Times New Roman" w:cs="Times New Roman"/>
          <w:color w:val="000000"/>
        </w:rPr>
        <w:t xml:space="preserve">, </w:t>
      </w:r>
      <w:proofErr w:type="spellStart"/>
      <w:r w:rsidR="005D6E1C" w:rsidRPr="005D6E1C">
        <w:rPr>
          <w:rFonts w:ascii="Times New Roman" w:hAnsi="Times New Roman" w:cs="Times New Roman"/>
          <w:color w:val="000000"/>
        </w:rPr>
        <w:t>G</w:t>
      </w:r>
      <w:r w:rsidR="005D6E1C" w:rsidRPr="005D6E1C">
        <w:rPr>
          <w:rFonts w:ascii="Times New Roman" w:hAnsi="Times New Roman" w:cs="Times New Roman"/>
          <w:color w:val="000000"/>
          <w:vertAlign w:val="subscript"/>
        </w:rPr>
        <w:t>EIn</w:t>
      </w:r>
      <w:proofErr w:type="spellEnd"/>
      <w:r w:rsidR="005D6E1C" w:rsidRPr="005D6E1C">
        <w:rPr>
          <w:rFonts w:ascii="Times New Roman" w:hAnsi="Times New Roman" w:cs="Times New Roman"/>
          <w:color w:val="000000"/>
        </w:rPr>
        <w:t>, and G</w:t>
      </w:r>
      <w:r w:rsidR="005D6E1C" w:rsidRPr="005D6E1C">
        <w:rPr>
          <w:rFonts w:ascii="Times New Roman" w:hAnsi="Times New Roman" w:cs="Times New Roman"/>
          <w:color w:val="000000"/>
          <w:vertAlign w:val="subscript"/>
        </w:rPr>
        <w:t>II</w:t>
      </w:r>
      <w:r w:rsidR="005D6E1C" w:rsidRPr="005D6E1C">
        <w:rPr>
          <w:rFonts w:ascii="Times New Roman" w:hAnsi="Times New Roman" w:cs="Times New Roman"/>
          <w:color w:val="000000"/>
        </w:rPr>
        <w:t xml:space="preserve"> values shown as dark green, light green and open triangles respectively. S.E.M. bars lie beneath the symbols. d) DRT model output for 4200 points of the parameter space LHS, shown in 3D projections across the subspace of the excitatory (</w:t>
      </w:r>
      <w:proofErr w:type="spellStart"/>
      <w:r w:rsidR="005D6E1C" w:rsidRPr="005D6E1C">
        <w:rPr>
          <w:rFonts w:ascii="Times New Roman" w:hAnsi="Times New Roman" w:cs="Times New Roman"/>
          <w:color w:val="000000"/>
        </w:rPr>
        <w:t>G</w:t>
      </w:r>
      <w:r w:rsidR="005D6E1C" w:rsidRPr="005D6E1C">
        <w:rPr>
          <w:rFonts w:ascii="Times New Roman" w:hAnsi="Times New Roman" w:cs="Times New Roman"/>
          <w:color w:val="000000"/>
          <w:vertAlign w:val="subscript"/>
        </w:rPr>
        <w:t>EEa</w:t>
      </w:r>
      <w:proofErr w:type="spellEnd"/>
      <w:r w:rsidR="005D6E1C" w:rsidRPr="005D6E1C">
        <w:rPr>
          <w:rFonts w:ascii="Times New Roman" w:hAnsi="Times New Roman" w:cs="Times New Roman"/>
          <w:color w:val="000000"/>
        </w:rPr>
        <w:t xml:space="preserve"> and </w:t>
      </w:r>
      <w:proofErr w:type="spellStart"/>
      <w:r w:rsidR="005D6E1C" w:rsidRPr="005D6E1C">
        <w:rPr>
          <w:rFonts w:ascii="Times New Roman" w:hAnsi="Times New Roman" w:cs="Times New Roman"/>
          <w:color w:val="000000"/>
        </w:rPr>
        <w:t>G</w:t>
      </w:r>
      <w:r w:rsidR="005D6E1C" w:rsidRPr="005D6E1C">
        <w:rPr>
          <w:rFonts w:ascii="Times New Roman" w:hAnsi="Times New Roman" w:cs="Times New Roman"/>
          <w:color w:val="000000"/>
          <w:vertAlign w:val="subscript"/>
        </w:rPr>
        <w:t>EEn</w:t>
      </w:r>
      <w:proofErr w:type="spellEnd"/>
      <w:r w:rsidR="005D6E1C" w:rsidRPr="005D6E1C">
        <w:rPr>
          <w:rFonts w:ascii="Times New Roman" w:hAnsi="Times New Roman" w:cs="Times New Roman"/>
          <w:color w:val="000000"/>
        </w:rPr>
        <w:t>) and the inhibitory (G</w:t>
      </w:r>
      <w:r w:rsidR="005D6E1C" w:rsidRPr="005D6E1C">
        <w:rPr>
          <w:rFonts w:ascii="Times New Roman" w:hAnsi="Times New Roman" w:cs="Times New Roman"/>
          <w:color w:val="000000"/>
          <w:vertAlign w:val="subscript"/>
        </w:rPr>
        <w:t>IE</w:t>
      </w:r>
      <w:r w:rsidR="005D6E1C" w:rsidRPr="005D6E1C">
        <w:rPr>
          <w:rFonts w:ascii="Times New Roman" w:hAnsi="Times New Roman" w:cs="Times New Roman"/>
          <w:color w:val="000000"/>
        </w:rPr>
        <w:t>) synaptic weights of pyramidal neurons as their excitability increased (</w:t>
      </w:r>
      <w:proofErr w:type="spellStart"/>
      <w:r w:rsidR="005D6E1C" w:rsidRPr="005D6E1C">
        <w:rPr>
          <w:rFonts w:ascii="Times New Roman" w:hAnsi="Times New Roman" w:cs="Times New Roman"/>
          <w:color w:val="000000"/>
        </w:rPr>
        <w:t>p</w:t>
      </w:r>
      <w:r w:rsidR="005D6E1C" w:rsidRPr="005D6E1C">
        <w:rPr>
          <w:rFonts w:ascii="Times New Roman" w:hAnsi="Times New Roman" w:cs="Times New Roman"/>
          <w:color w:val="000000"/>
          <w:vertAlign w:val="subscript"/>
        </w:rPr>
        <w:t>e</w:t>
      </w:r>
      <w:proofErr w:type="spellEnd"/>
      <w:r w:rsidR="005D6E1C" w:rsidRPr="005D6E1C">
        <w:rPr>
          <w:rFonts w:ascii="Times New Roman" w:hAnsi="Times New Roman" w:cs="Times New Roman"/>
          <w:color w:val="000000"/>
        </w:rPr>
        <w:t xml:space="preserve"> = 4, 5, 6, and 7). Blue, green, yellow, and red dots represent under-excited networks, networks maintaining TPA-S, and partially and completely over-excited networks respectively.</w:t>
      </w:r>
    </w:p>
    <w:p w14:paraId="4975FB7C" w14:textId="7F332F92" w:rsidR="0054396B" w:rsidRDefault="0054396B" w:rsidP="00C13521">
      <w:pPr>
        <w:widowControl w:val="0"/>
        <w:autoSpaceDE w:val="0"/>
        <w:autoSpaceDN w:val="0"/>
        <w:adjustRightInd w:val="0"/>
        <w:spacing w:after="240"/>
        <w:jc w:val="both"/>
      </w:pPr>
    </w:p>
    <w:p w14:paraId="69B4E375" w14:textId="0A89E6BC" w:rsidR="0054396B" w:rsidRDefault="0054396B" w:rsidP="00C13521">
      <w:pPr>
        <w:widowControl w:val="0"/>
        <w:autoSpaceDE w:val="0"/>
        <w:autoSpaceDN w:val="0"/>
        <w:adjustRightInd w:val="0"/>
        <w:spacing w:after="240"/>
        <w:jc w:val="both"/>
      </w:pPr>
    </w:p>
    <w:p w14:paraId="6765629B" w14:textId="51F1EC32" w:rsidR="0054396B" w:rsidRDefault="0054396B" w:rsidP="00C13521">
      <w:pPr>
        <w:widowControl w:val="0"/>
        <w:autoSpaceDE w:val="0"/>
        <w:autoSpaceDN w:val="0"/>
        <w:adjustRightInd w:val="0"/>
        <w:spacing w:after="240"/>
        <w:jc w:val="both"/>
      </w:pPr>
    </w:p>
    <w:p w14:paraId="48FF1354" w14:textId="13053AD4" w:rsidR="0054396B" w:rsidRDefault="0054396B" w:rsidP="00C13521">
      <w:pPr>
        <w:widowControl w:val="0"/>
        <w:autoSpaceDE w:val="0"/>
        <w:autoSpaceDN w:val="0"/>
        <w:adjustRightInd w:val="0"/>
        <w:spacing w:after="240"/>
        <w:jc w:val="both"/>
      </w:pPr>
    </w:p>
    <w:p w14:paraId="4AAEA205" w14:textId="1BB8C447" w:rsidR="0054396B" w:rsidRDefault="0054396B" w:rsidP="00C13521">
      <w:pPr>
        <w:widowControl w:val="0"/>
        <w:autoSpaceDE w:val="0"/>
        <w:autoSpaceDN w:val="0"/>
        <w:adjustRightInd w:val="0"/>
        <w:spacing w:after="240"/>
        <w:jc w:val="both"/>
      </w:pPr>
    </w:p>
    <w:p w14:paraId="1A4E9F0D" w14:textId="6600AD5C" w:rsidR="0054396B" w:rsidRDefault="0054396B" w:rsidP="00C13521">
      <w:pPr>
        <w:widowControl w:val="0"/>
        <w:autoSpaceDE w:val="0"/>
        <w:autoSpaceDN w:val="0"/>
        <w:adjustRightInd w:val="0"/>
        <w:spacing w:after="240"/>
        <w:jc w:val="both"/>
      </w:pPr>
    </w:p>
    <w:p w14:paraId="43078481" w14:textId="77777777" w:rsidR="003F60A4" w:rsidRDefault="003F60A4" w:rsidP="00C13521">
      <w:pPr>
        <w:widowControl w:val="0"/>
        <w:autoSpaceDE w:val="0"/>
        <w:autoSpaceDN w:val="0"/>
        <w:adjustRightInd w:val="0"/>
        <w:spacing w:after="240"/>
        <w:jc w:val="both"/>
      </w:pPr>
    </w:p>
    <w:p w14:paraId="0C6D820E" w14:textId="5C176E15" w:rsidR="00316825" w:rsidRDefault="00D752C1" w:rsidP="00316825">
      <w:pPr>
        <w:pStyle w:val="NormalWeb"/>
        <w:numPr>
          <w:ilvl w:val="0"/>
          <w:numId w:val="2"/>
        </w:numPr>
        <w:jc w:val="both"/>
        <w:outlineLvl w:val="0"/>
        <w:rPr>
          <w:b/>
          <w:color w:val="000000"/>
        </w:rPr>
      </w:pPr>
      <w:r>
        <w:rPr>
          <w:b/>
          <w:color w:val="000000"/>
        </w:rPr>
        <w:lastRenderedPageBreak/>
        <w:t>DRT YOUNG MODEL COHORT SIMULATIONS</w:t>
      </w:r>
      <w:r w:rsidR="00983279">
        <w:rPr>
          <w:b/>
          <w:color w:val="000000"/>
        </w:rPr>
        <w:t>: ADDING</w:t>
      </w:r>
      <w:r>
        <w:rPr>
          <w:b/>
          <w:color w:val="000000"/>
        </w:rPr>
        <w:t xml:space="preserve"> THE STIMULUS CURRENT </w:t>
      </w:r>
      <w:r w:rsidR="00983279">
        <w:rPr>
          <w:b/>
          <w:color w:val="000000"/>
        </w:rPr>
        <w:t>REDUCTION</w:t>
      </w:r>
    </w:p>
    <w:p w14:paraId="2991E992" w14:textId="77777777" w:rsidR="003F60A4" w:rsidRDefault="003F60A4" w:rsidP="003F60A4">
      <w:pPr>
        <w:pStyle w:val="NormalWeb"/>
        <w:ind w:left="360"/>
        <w:jc w:val="both"/>
        <w:outlineLvl w:val="0"/>
        <w:rPr>
          <w:b/>
          <w:color w:val="000000"/>
        </w:rPr>
      </w:pPr>
    </w:p>
    <w:p w14:paraId="0971D8A6" w14:textId="31B2DAC1" w:rsidR="00316825" w:rsidRPr="00316825" w:rsidRDefault="003F60A4" w:rsidP="00D33332">
      <w:pPr>
        <w:pStyle w:val="NormalWeb"/>
        <w:ind w:left="360"/>
        <w:jc w:val="center"/>
        <w:outlineLvl w:val="0"/>
        <w:rPr>
          <w:b/>
          <w:color w:val="000000"/>
        </w:rPr>
      </w:pPr>
      <w:r>
        <w:rPr>
          <w:b/>
          <w:noProof/>
          <w:color w:val="000000"/>
        </w:rPr>
        <w:drawing>
          <wp:inline distT="0" distB="0" distL="0" distR="0" wp14:anchorId="357ED9C2" wp14:editId="7CB04A6B">
            <wp:extent cx="4313267" cy="4366517"/>
            <wp:effectExtent l="0" t="0" r="508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4_sup-cw.eps"/>
                    <pic:cNvPicPr/>
                  </pic:nvPicPr>
                  <pic:blipFill>
                    <a:blip r:embed="rId8">
                      <a:extLst>
                        <a:ext uri="{28A0092B-C50C-407E-A947-70E740481C1C}">
                          <a14:useLocalDpi xmlns:a14="http://schemas.microsoft.com/office/drawing/2010/main" val="0"/>
                        </a:ext>
                      </a:extLst>
                    </a:blip>
                    <a:stretch>
                      <a:fillRect/>
                    </a:stretch>
                  </pic:blipFill>
                  <pic:spPr>
                    <a:xfrm>
                      <a:off x="0" y="0"/>
                      <a:ext cx="4319045" cy="4372367"/>
                    </a:xfrm>
                    <a:prstGeom prst="rect">
                      <a:avLst/>
                    </a:prstGeom>
                  </pic:spPr>
                </pic:pic>
              </a:graphicData>
            </a:graphic>
          </wp:inline>
        </w:drawing>
      </w:r>
    </w:p>
    <w:p w14:paraId="330D4F26" w14:textId="5C826E48" w:rsidR="0054396B" w:rsidRPr="0054396B" w:rsidRDefault="00BB37B2" w:rsidP="00316825">
      <w:pPr>
        <w:pStyle w:val="NormalWeb"/>
        <w:jc w:val="both"/>
        <w:outlineLvl w:val="0"/>
      </w:pPr>
      <w:r>
        <w:rPr>
          <w:b/>
          <w:color w:val="000000"/>
        </w:rPr>
        <w:t xml:space="preserve">Supplementary </w:t>
      </w:r>
      <w:r>
        <w:rPr>
          <w:b/>
        </w:rPr>
        <w:t>f</w:t>
      </w:r>
      <w:r w:rsidR="0054396B" w:rsidRPr="0054396B">
        <w:rPr>
          <w:b/>
        </w:rPr>
        <w:t xml:space="preserve">igure </w:t>
      </w:r>
      <w:r>
        <w:rPr>
          <w:b/>
        </w:rPr>
        <w:t>2</w:t>
      </w:r>
      <w:r w:rsidR="0054396B" w:rsidRPr="0054396B">
        <w:rPr>
          <w:b/>
        </w:rPr>
        <w:t>: Perturbing the DRT young model cohort</w:t>
      </w:r>
      <w:r w:rsidR="00983279">
        <w:rPr>
          <w:b/>
        </w:rPr>
        <w:t>, with reduction of input stimulus</w:t>
      </w:r>
      <w:r w:rsidR="0054396B" w:rsidRPr="0054396B">
        <w:rPr>
          <w:b/>
        </w:rPr>
        <w:t>.</w:t>
      </w:r>
      <w:r w:rsidR="0054396B" w:rsidRPr="0054396B">
        <w:t xml:space="preserve">  </w:t>
      </w:r>
      <w:r w:rsidR="00983279">
        <w:t>As in Fig. 4, the y</w:t>
      </w:r>
      <w:r w:rsidR="00983279" w:rsidRPr="0054396B">
        <w:t xml:space="preserve">oung </w:t>
      </w:r>
      <w:r w:rsidR="0054396B" w:rsidRPr="0054396B">
        <w:t xml:space="preserve">cohort </w:t>
      </w:r>
      <w:r w:rsidR="00983279">
        <w:t xml:space="preserve">was </w:t>
      </w:r>
      <w:r w:rsidR="0054396B" w:rsidRPr="0054396B">
        <w:t xml:space="preserve">defined as networks from the LHS maintaining TPA-S when </w:t>
      </w:r>
      <w:proofErr w:type="spellStart"/>
      <w:r w:rsidR="0054396B" w:rsidRPr="0054396B">
        <w:t>ν</w:t>
      </w:r>
      <w:r w:rsidR="0054396B" w:rsidRPr="0054396B">
        <w:rPr>
          <w:vertAlign w:val="subscript"/>
        </w:rPr>
        <w:t>ce</w:t>
      </w:r>
      <w:proofErr w:type="spellEnd"/>
      <w:r w:rsidR="0054396B" w:rsidRPr="0054396B">
        <w:t xml:space="preserve"> = 5 Hz (dark gray bar in Fig. 3d, and bar for young simulations in all panels in this figure). For middle-aged and aged simulations</w:t>
      </w:r>
      <w:r w:rsidR="00E829AB">
        <w:t>.</w:t>
      </w:r>
      <w:r w:rsidR="00316825">
        <w:t xml:space="preserve"> </w:t>
      </w:r>
      <w:r w:rsidR="00316825">
        <w:rPr>
          <w:color w:val="000000" w:themeColor="text1"/>
        </w:rPr>
        <w:t>w</w:t>
      </w:r>
      <w:r w:rsidR="00316825" w:rsidRPr="00316825">
        <w:rPr>
          <w:color w:val="000000" w:themeColor="text1"/>
        </w:rPr>
        <w:t xml:space="preserve">e reduced the stimulus scaling factor, </w:t>
      </w:r>
      <w:proofErr w:type="spellStart"/>
      <w:r w:rsidR="00316825" w:rsidRPr="00316825">
        <w:rPr>
          <w:color w:val="000000" w:themeColor="text1"/>
        </w:rPr>
        <w:t>I</w:t>
      </w:r>
      <w:r w:rsidR="00316825" w:rsidRPr="00316825">
        <w:rPr>
          <w:color w:val="000000" w:themeColor="text1"/>
          <w:vertAlign w:val="subscript"/>
        </w:rPr>
        <w:t>st</w:t>
      </w:r>
      <w:proofErr w:type="spellEnd"/>
      <w:r w:rsidR="00316825" w:rsidRPr="00316825">
        <w:rPr>
          <w:color w:val="000000" w:themeColor="text1"/>
        </w:rPr>
        <w:t>, by 10% and 30%</w:t>
      </w:r>
      <w:r w:rsidR="00316825">
        <w:rPr>
          <w:color w:val="000000" w:themeColor="text1"/>
        </w:rPr>
        <w:t xml:space="preserve"> respectively, </w:t>
      </w:r>
      <w:r w:rsidR="00983279">
        <w:rPr>
          <w:color w:val="000000" w:themeColor="text1"/>
        </w:rPr>
        <w:t>in addition to</w:t>
      </w:r>
      <w:r w:rsidR="0054396B" w:rsidRPr="0054396B">
        <w:t>: (a) Applied the synapse condition to young cohort, holding the excitability parameters constant. (</w:t>
      </w:r>
      <w:r w:rsidR="00316825">
        <w:t>b</w:t>
      </w:r>
      <w:r w:rsidR="0054396B" w:rsidRPr="0054396B">
        <w:t>) Applied both observed data conditions simultaneously (excitability and synapse conditions). (</w:t>
      </w:r>
      <w:r w:rsidR="00316825">
        <w:t>c) and (d</w:t>
      </w:r>
      <w:r w:rsidR="0054396B" w:rsidRPr="0054396B">
        <w:t>): Analogous perturbations as in (</w:t>
      </w:r>
      <w:r w:rsidR="00316825">
        <w:t>a</w:t>
      </w:r>
      <w:r w:rsidR="0054396B" w:rsidRPr="0054396B">
        <w:t>)</w:t>
      </w:r>
      <w:r w:rsidR="00316825">
        <w:t xml:space="preserve"> and (b)</w:t>
      </w:r>
      <w:r w:rsidR="0054396B" w:rsidRPr="0054396B">
        <w:t>, after adding synaptic facilitation to each network</w:t>
      </w:r>
      <w:r w:rsidR="0054396B" w:rsidRPr="00603E5B">
        <w:t>.</w:t>
      </w:r>
    </w:p>
    <w:p w14:paraId="0FF8D858" w14:textId="77777777" w:rsidR="0054396B" w:rsidRDefault="0054396B" w:rsidP="0054396B">
      <w:pPr>
        <w:widowControl w:val="0"/>
        <w:autoSpaceDE w:val="0"/>
        <w:autoSpaceDN w:val="0"/>
        <w:adjustRightInd w:val="0"/>
        <w:spacing w:after="240"/>
        <w:jc w:val="center"/>
      </w:pPr>
    </w:p>
    <w:sectPr w:rsidR="0054396B" w:rsidSect="00D7449E">
      <w:footerReference w:type="even"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89E5DE" w14:textId="77777777" w:rsidR="003541CB" w:rsidRDefault="003541CB" w:rsidP="00D335B8">
      <w:r>
        <w:separator/>
      </w:r>
    </w:p>
  </w:endnote>
  <w:endnote w:type="continuationSeparator" w:id="0">
    <w:p w14:paraId="5DEEBA72" w14:textId="77777777" w:rsidR="003541CB" w:rsidRDefault="003541CB" w:rsidP="00D335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Cambria Math">
    <w:panose1 w:val="02040503050406030204"/>
    <w:charset w:val="00"/>
    <w:family w:val="auto"/>
    <w:pitch w:val="variable"/>
    <w:sig w:usb0="E00002FF" w:usb1="420024FF" w:usb2="00000000" w:usb3="00000000" w:csb0="0000019F"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997062748"/>
      <w:docPartObj>
        <w:docPartGallery w:val="Page Numbers (Bottom of Page)"/>
        <w:docPartUnique/>
      </w:docPartObj>
    </w:sdtPr>
    <w:sdtEndPr>
      <w:rPr>
        <w:rStyle w:val="PageNumber"/>
      </w:rPr>
    </w:sdtEndPr>
    <w:sdtContent>
      <w:p w14:paraId="3A2C21C8" w14:textId="1D7C405F" w:rsidR="00D335B8" w:rsidRDefault="00D335B8" w:rsidP="00E6590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49B056E" w14:textId="77777777" w:rsidR="00D335B8" w:rsidRDefault="00D335B8" w:rsidP="00E65906">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307355725"/>
      <w:docPartObj>
        <w:docPartGallery w:val="Page Numbers (Bottom of Page)"/>
        <w:docPartUnique/>
      </w:docPartObj>
    </w:sdtPr>
    <w:sdtEndPr>
      <w:rPr>
        <w:rStyle w:val="PageNumber"/>
      </w:rPr>
    </w:sdtEndPr>
    <w:sdtContent>
      <w:p w14:paraId="6389BEF1" w14:textId="4401DED0" w:rsidR="00D335B8" w:rsidRDefault="00D335B8" w:rsidP="00E6590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0279ED">
          <w:rPr>
            <w:rStyle w:val="PageNumber"/>
            <w:noProof/>
          </w:rPr>
          <w:t>1</w:t>
        </w:r>
        <w:r>
          <w:rPr>
            <w:rStyle w:val="PageNumber"/>
          </w:rPr>
          <w:fldChar w:fldCharType="end"/>
        </w:r>
      </w:p>
    </w:sdtContent>
  </w:sdt>
  <w:p w14:paraId="1716DF85" w14:textId="77777777" w:rsidR="00D335B8" w:rsidRDefault="00D335B8" w:rsidP="00E65906">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889FB6" w14:textId="77777777" w:rsidR="003541CB" w:rsidRDefault="003541CB" w:rsidP="00D335B8">
      <w:r>
        <w:separator/>
      </w:r>
    </w:p>
  </w:footnote>
  <w:footnote w:type="continuationSeparator" w:id="0">
    <w:p w14:paraId="28FDAC0C" w14:textId="77777777" w:rsidR="003541CB" w:rsidRDefault="003541CB" w:rsidP="00D335B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F204FA"/>
    <w:multiLevelType w:val="hybridMultilevel"/>
    <w:tmpl w:val="05388B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3B8103B8"/>
    <w:multiLevelType w:val="multilevel"/>
    <w:tmpl w:val="9D703EDE"/>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8C9"/>
    <w:rsid w:val="0001470D"/>
    <w:rsid w:val="000279ED"/>
    <w:rsid w:val="0006671C"/>
    <w:rsid w:val="000E3407"/>
    <w:rsid w:val="000F4E94"/>
    <w:rsid w:val="0011668D"/>
    <w:rsid w:val="00125BB1"/>
    <w:rsid w:val="00126259"/>
    <w:rsid w:val="001B1609"/>
    <w:rsid w:val="00214CE0"/>
    <w:rsid w:val="002477BC"/>
    <w:rsid w:val="002939E5"/>
    <w:rsid w:val="002949B0"/>
    <w:rsid w:val="002A51F5"/>
    <w:rsid w:val="00316825"/>
    <w:rsid w:val="00342142"/>
    <w:rsid w:val="003422DE"/>
    <w:rsid w:val="003528F2"/>
    <w:rsid w:val="003541CB"/>
    <w:rsid w:val="00356B5C"/>
    <w:rsid w:val="003F60A4"/>
    <w:rsid w:val="003F6B23"/>
    <w:rsid w:val="00467E8E"/>
    <w:rsid w:val="00494A1F"/>
    <w:rsid w:val="004A0E04"/>
    <w:rsid w:val="004C6A1E"/>
    <w:rsid w:val="004D3871"/>
    <w:rsid w:val="0054396B"/>
    <w:rsid w:val="00546F21"/>
    <w:rsid w:val="005D6E1C"/>
    <w:rsid w:val="00603E5B"/>
    <w:rsid w:val="0066411A"/>
    <w:rsid w:val="00681D26"/>
    <w:rsid w:val="00685BB2"/>
    <w:rsid w:val="006B0F2E"/>
    <w:rsid w:val="006B2FEA"/>
    <w:rsid w:val="006B6B4E"/>
    <w:rsid w:val="006D4360"/>
    <w:rsid w:val="00712C9B"/>
    <w:rsid w:val="00723A88"/>
    <w:rsid w:val="00725F95"/>
    <w:rsid w:val="0072679C"/>
    <w:rsid w:val="00775158"/>
    <w:rsid w:val="007935F1"/>
    <w:rsid w:val="007D30E4"/>
    <w:rsid w:val="008468F6"/>
    <w:rsid w:val="008B3235"/>
    <w:rsid w:val="008B416D"/>
    <w:rsid w:val="008B43BC"/>
    <w:rsid w:val="008E72AC"/>
    <w:rsid w:val="008F1C1A"/>
    <w:rsid w:val="00973287"/>
    <w:rsid w:val="00983279"/>
    <w:rsid w:val="0098544A"/>
    <w:rsid w:val="009E67E3"/>
    <w:rsid w:val="00A11D56"/>
    <w:rsid w:val="00A1749F"/>
    <w:rsid w:val="00AF72B6"/>
    <w:rsid w:val="00BA5978"/>
    <w:rsid w:val="00BB37B2"/>
    <w:rsid w:val="00C07386"/>
    <w:rsid w:val="00C13521"/>
    <w:rsid w:val="00D33332"/>
    <w:rsid w:val="00D335B8"/>
    <w:rsid w:val="00D33FAB"/>
    <w:rsid w:val="00D7449E"/>
    <w:rsid w:val="00D752C1"/>
    <w:rsid w:val="00DB4570"/>
    <w:rsid w:val="00DD5028"/>
    <w:rsid w:val="00E339F0"/>
    <w:rsid w:val="00E65906"/>
    <w:rsid w:val="00E7561F"/>
    <w:rsid w:val="00E829AB"/>
    <w:rsid w:val="00ED6283"/>
    <w:rsid w:val="00EF42F3"/>
    <w:rsid w:val="00F60F7E"/>
    <w:rsid w:val="00F7111F"/>
    <w:rsid w:val="00F9239B"/>
    <w:rsid w:val="00FA3517"/>
    <w:rsid w:val="00FB5995"/>
    <w:rsid w:val="00FD13AE"/>
    <w:rsid w:val="00FD6817"/>
    <w:rsid w:val="00FE2917"/>
    <w:rsid w:val="00FF78C9"/>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4801A70A"/>
  <w14:defaultImageDpi w14:val="32767"/>
  <w15:chartTrackingRefBased/>
  <w15:docId w15:val="{0599C431-7ECA-2843-9AE9-D8EFF2F8F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F78C9"/>
    <w:pPr>
      <w:spacing w:before="100" w:beforeAutospacing="1" w:after="100" w:afterAutospacing="1"/>
    </w:pPr>
    <w:rPr>
      <w:rFonts w:ascii="Times New Roman" w:hAnsi="Times New Roman" w:cs="Times New Roman"/>
    </w:rPr>
  </w:style>
  <w:style w:type="paragraph" w:styleId="ListParagraph">
    <w:name w:val="List Paragraph"/>
    <w:basedOn w:val="Normal"/>
    <w:uiPriority w:val="34"/>
    <w:qFormat/>
    <w:rsid w:val="00FF78C9"/>
    <w:pPr>
      <w:ind w:left="720"/>
      <w:contextualSpacing/>
    </w:pPr>
  </w:style>
  <w:style w:type="character" w:styleId="CommentReference">
    <w:name w:val="annotation reference"/>
    <w:basedOn w:val="DefaultParagraphFont"/>
    <w:uiPriority w:val="99"/>
    <w:semiHidden/>
    <w:unhideWhenUsed/>
    <w:rsid w:val="00F9239B"/>
    <w:rPr>
      <w:sz w:val="16"/>
      <w:szCs w:val="16"/>
    </w:rPr>
  </w:style>
  <w:style w:type="paragraph" w:styleId="CommentText">
    <w:name w:val="annotation text"/>
    <w:basedOn w:val="Normal"/>
    <w:link w:val="CommentTextChar"/>
    <w:uiPriority w:val="99"/>
    <w:unhideWhenUsed/>
    <w:rsid w:val="00F9239B"/>
    <w:rPr>
      <w:sz w:val="20"/>
      <w:szCs w:val="20"/>
    </w:rPr>
  </w:style>
  <w:style w:type="character" w:customStyle="1" w:styleId="CommentTextChar">
    <w:name w:val="Comment Text Char"/>
    <w:basedOn w:val="DefaultParagraphFont"/>
    <w:link w:val="CommentText"/>
    <w:uiPriority w:val="99"/>
    <w:rsid w:val="00F9239B"/>
    <w:rPr>
      <w:sz w:val="20"/>
      <w:szCs w:val="20"/>
    </w:rPr>
  </w:style>
  <w:style w:type="paragraph" w:styleId="CommentSubject">
    <w:name w:val="annotation subject"/>
    <w:basedOn w:val="CommentText"/>
    <w:next w:val="CommentText"/>
    <w:link w:val="CommentSubjectChar"/>
    <w:uiPriority w:val="99"/>
    <w:semiHidden/>
    <w:unhideWhenUsed/>
    <w:rsid w:val="00F9239B"/>
    <w:rPr>
      <w:b/>
      <w:bCs/>
    </w:rPr>
  </w:style>
  <w:style w:type="character" w:customStyle="1" w:styleId="CommentSubjectChar">
    <w:name w:val="Comment Subject Char"/>
    <w:basedOn w:val="CommentTextChar"/>
    <w:link w:val="CommentSubject"/>
    <w:uiPriority w:val="99"/>
    <w:semiHidden/>
    <w:rsid w:val="00F9239B"/>
    <w:rPr>
      <w:b/>
      <w:bCs/>
      <w:sz w:val="20"/>
      <w:szCs w:val="20"/>
    </w:rPr>
  </w:style>
  <w:style w:type="paragraph" w:styleId="BalloonText">
    <w:name w:val="Balloon Text"/>
    <w:basedOn w:val="Normal"/>
    <w:link w:val="BalloonTextChar"/>
    <w:uiPriority w:val="99"/>
    <w:semiHidden/>
    <w:unhideWhenUsed/>
    <w:rsid w:val="00F9239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9239B"/>
    <w:rPr>
      <w:rFonts w:ascii="Times New Roman" w:hAnsi="Times New Roman" w:cs="Times New Roman"/>
      <w:sz w:val="18"/>
      <w:szCs w:val="18"/>
    </w:rPr>
  </w:style>
  <w:style w:type="character" w:styleId="PlaceholderText">
    <w:name w:val="Placeholder Text"/>
    <w:basedOn w:val="DefaultParagraphFont"/>
    <w:uiPriority w:val="99"/>
    <w:semiHidden/>
    <w:rsid w:val="006D4360"/>
    <w:rPr>
      <w:color w:val="808080"/>
    </w:rPr>
  </w:style>
  <w:style w:type="paragraph" w:styleId="Footer">
    <w:name w:val="footer"/>
    <w:basedOn w:val="Normal"/>
    <w:link w:val="FooterChar"/>
    <w:uiPriority w:val="99"/>
    <w:unhideWhenUsed/>
    <w:rsid w:val="00D335B8"/>
    <w:pPr>
      <w:tabs>
        <w:tab w:val="center" w:pos="4680"/>
        <w:tab w:val="right" w:pos="9360"/>
      </w:tabs>
    </w:pPr>
  </w:style>
  <w:style w:type="character" w:customStyle="1" w:styleId="FooterChar">
    <w:name w:val="Footer Char"/>
    <w:basedOn w:val="DefaultParagraphFont"/>
    <w:link w:val="Footer"/>
    <w:uiPriority w:val="99"/>
    <w:rsid w:val="00D335B8"/>
  </w:style>
  <w:style w:type="character" w:styleId="PageNumber">
    <w:name w:val="page number"/>
    <w:basedOn w:val="DefaultParagraphFont"/>
    <w:uiPriority w:val="99"/>
    <w:semiHidden/>
    <w:unhideWhenUsed/>
    <w:rsid w:val="00D335B8"/>
  </w:style>
  <w:style w:type="character" w:styleId="LineNumber">
    <w:name w:val="line number"/>
    <w:basedOn w:val="DefaultParagraphFont"/>
    <w:uiPriority w:val="99"/>
    <w:semiHidden/>
    <w:unhideWhenUsed/>
    <w:rsid w:val="00C13521"/>
  </w:style>
  <w:style w:type="paragraph" w:customStyle="1" w:styleId="p1">
    <w:name w:val="p1"/>
    <w:basedOn w:val="Normal"/>
    <w:rsid w:val="000279ED"/>
    <w:rPr>
      <w:rFonts w:ascii="Helvetica" w:hAnsi="Helvetica" w:cs="Times New Roman"/>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8652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footer" Target="footer1.xml"/><Relationship Id="rId1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593</Words>
  <Characters>3386</Characters>
  <Application>Microsoft Macintosh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Christina Weaver</cp:lastModifiedBy>
  <cp:revision>11</cp:revision>
  <dcterms:created xsi:type="dcterms:W3CDTF">2019-12-06T14:02:00Z</dcterms:created>
  <dcterms:modified xsi:type="dcterms:W3CDTF">2019-12-26T11:09:00Z</dcterms:modified>
</cp:coreProperties>
</file>