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A" w:rsidRPr="00C92AA7" w:rsidRDefault="00620ACA" w:rsidP="00620ACA">
      <w:pPr>
        <w:rPr>
          <w:rFonts w:ascii="Helvetica" w:hAnsi="Helvetica"/>
          <w:b/>
        </w:rPr>
      </w:pPr>
    </w:p>
    <w:tbl>
      <w:tblPr>
        <w:tblpPr w:leftFromText="180" w:rightFromText="180" w:vertAnchor="page" w:horzAnchor="page" w:tblpX="469" w:tblpY="2074"/>
        <w:tblW w:w="15701" w:type="dxa"/>
        <w:tblLayout w:type="fixed"/>
        <w:tblLook w:val="04A0" w:firstRow="1" w:lastRow="0" w:firstColumn="1" w:lastColumn="0" w:noHBand="0" w:noVBand="1"/>
      </w:tblPr>
      <w:tblGrid>
        <w:gridCol w:w="3035"/>
        <w:gridCol w:w="1565"/>
        <w:gridCol w:w="1565"/>
        <w:gridCol w:w="997"/>
        <w:gridCol w:w="1565"/>
        <w:gridCol w:w="1609"/>
        <w:gridCol w:w="976"/>
        <w:gridCol w:w="1684"/>
        <w:gridCol w:w="1708"/>
        <w:gridCol w:w="997"/>
      </w:tblGrid>
      <w:tr w:rsidR="00620ACA" w:rsidRPr="00C92AA7" w:rsidTr="00620ACA">
        <w:trPr>
          <w:trHeight w:val="240"/>
        </w:trPr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IPD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No IPD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gramStart"/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EPC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No EPC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gramStart"/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CRP ≥60 mg/l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CRP &lt;60 mg/l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gramStart"/>
            <w:r w:rsidRPr="00C92AA7">
              <w:rPr>
                <w:rFonts w:ascii="Helvetica" w:eastAsia="Times New Roman" w:hAnsi="Helvetica" w:cs="Times New Roman"/>
                <w:b/>
                <w:bCs/>
                <w:color w:val="000000"/>
              </w:rPr>
              <w:t>p</w:t>
            </w:r>
            <w:proofErr w:type="gramEnd"/>
          </w:p>
        </w:tc>
      </w:tr>
      <w:tr w:rsidR="00620ACA" w:rsidRPr="00C92AA7" w:rsidTr="00620ACA">
        <w:trPr>
          <w:trHeight w:val="24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gramStart"/>
            <w:r w:rsidRPr="00C92AA7">
              <w:rPr>
                <w:rFonts w:ascii="Helvetica" w:eastAsia="Times New Roman" w:hAnsi="Helvetica" w:cs="Times New Roman"/>
                <w:color w:val="000000"/>
              </w:rPr>
              <w:t>n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122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24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Age (years; median, IQR)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5.6 (4.2–8.1)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1.3 (0.6–2.6)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2.4 (0.9–5.1)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1.1 (0.6–2.1)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4.4 (1.9–6.8)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1.1 (0.6–2.1)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1</w:t>
            </w:r>
          </w:p>
        </w:tc>
      </w:tr>
      <w:tr w:rsidR="00620ACA" w:rsidRPr="00C92AA7" w:rsidTr="00620ACA">
        <w:trPr>
          <w:trHeight w:val="24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ind w:firstLineChars="100" w:firstLine="220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2–11 months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136 (40%)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34 (28%)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102 (46%)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10 (13%)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126 (47%)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24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ind w:firstLineChars="100" w:firstLine="220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1–&lt;2 years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82 (24%)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20 (17%)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62 (28%)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11 (14%)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71 (26%)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24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ind w:firstLineChars="100" w:firstLine="220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≥2–&lt;5 years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(38%)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83 (25%)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35 (29%)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51 (23%)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31 (40%)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55 (21%)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369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ind w:firstLineChars="100" w:firstLine="220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≥5–14 years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 (62%)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36 (11%)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32 (26%)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9 (4.0%)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25 (32%)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16 (6.0%)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431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Female sex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 (13%)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139 (41%)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0.15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55 (45%)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85 (38%)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0.21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29 (37%)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111 (41%)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0.62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</w:tr>
      <w:tr w:rsidR="00620ACA" w:rsidRPr="00C92AA7" w:rsidTr="00620ACA">
        <w:trPr>
          <w:trHeight w:val="70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Length of illness (days; median, IQR)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2.5 (2–3)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 (3–6)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0.03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 (3–7)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 (3–5)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 (2.3–6)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 (3–6)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0.61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1</w:t>
            </w:r>
          </w:p>
        </w:tc>
      </w:tr>
      <w:tr w:rsidR="00620ACA" w:rsidRPr="00C92AA7" w:rsidTr="00620ACA">
        <w:trPr>
          <w:trHeight w:val="433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Prior antibiotic use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6 (75%)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156 (46%)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0.27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64 (52%)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98 (43%)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0.16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38 (49%)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124 (46%)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0.87</w:t>
            </w:r>
          </w:p>
        </w:tc>
      </w:tr>
      <w:tr w:rsidR="00620ACA" w:rsidRPr="00C92AA7" w:rsidTr="00620ACA">
        <w:trPr>
          <w:trHeight w:val="27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NP pneumococcal carriage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 (25%)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101 (30%)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39 (32%)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64 (28%)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0.56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30 (38%)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73 (27%)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0.07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</w:tr>
      <w:tr w:rsidR="00620ACA" w:rsidRPr="00C92AA7" w:rsidTr="00620ACA">
        <w:trPr>
          <w:trHeight w:val="728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NP pneumococcal carriage (serotype 1)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 (13%)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 (1.5%)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0.13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 (3.3%)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 (0.9%)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0.23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 (6.4%)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 (0.3%)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0.003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</w:tr>
      <w:tr w:rsidR="00620ACA" w:rsidRPr="00C92AA7" w:rsidTr="00620ACA">
        <w:trPr>
          <w:trHeight w:val="69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Invasive pneumococcal disease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–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 (6.5%)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 (6.4%)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(1.1%)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0.02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</w:tr>
      <w:tr w:rsidR="00620ACA" w:rsidRPr="00C92AA7" w:rsidTr="00620ACA">
        <w:trPr>
          <w:trHeight w:val="43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Other invasive disease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6 (1.7%)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–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(2.5%)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(1.3%)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0.42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(3.8%)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(1.1%)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0.13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</w:tr>
      <w:tr w:rsidR="00620ACA" w:rsidRPr="00C92AA7" w:rsidTr="00620ACA">
        <w:trPr>
          <w:trHeight w:val="48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Endpoint consolidation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8 (100%)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114 (34%)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122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58 (74%)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64 (24%)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</w:tr>
      <w:tr w:rsidR="00620ACA" w:rsidRPr="00C92AA7" w:rsidTr="00620ACA">
        <w:trPr>
          <w:trHeight w:val="221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CRP (mg/l; median, IQR)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141 (56–183)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16 (4.0–51)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56 (15–152)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10 (2.7–25.3)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&lt;0.001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118 (86, 184)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10 (2.7–22)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395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CRP ≥60 mg/l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(38%)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73 (21%)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58 (48%)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20 (8.8%)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620ACA" w:rsidRPr="00C92AA7" w:rsidTr="00620ACA">
        <w:trPr>
          <w:trHeight w:val="41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NP RSV carriage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3 (4.1%)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28 (11%)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0.07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</w:tr>
      <w:tr w:rsidR="00620ACA" w:rsidRPr="00C92AA7" w:rsidTr="00620ACA">
        <w:trPr>
          <w:trHeight w:val="240"/>
        </w:trPr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NP other viral carriage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4 (5.5%)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23 (9.4%)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ACA" w:rsidRPr="00C92AA7" w:rsidRDefault="00620ACA" w:rsidP="00620ACA">
            <w:pPr>
              <w:jc w:val="center"/>
              <w:rPr>
                <w:rFonts w:ascii="Helvetica" w:eastAsia="Times New Roman" w:hAnsi="Helvetica" w:cs="Times New Roman"/>
                <w:color w:val="000000"/>
                <w:vertAlign w:val="superscript"/>
              </w:rPr>
            </w:pPr>
            <w:r w:rsidRPr="00C92AA7">
              <w:rPr>
                <w:rFonts w:ascii="Helvetica" w:eastAsia="Times New Roman" w:hAnsi="Helvetica" w:cs="Times New Roman"/>
                <w:color w:val="000000"/>
              </w:rPr>
              <w:t>0.07</w:t>
            </w:r>
            <w:r w:rsidRPr="00C92AA7">
              <w:rPr>
                <w:rFonts w:ascii="Helvetica" w:eastAsia="Times New Roman" w:hAnsi="Helvetica" w:cs="Times New Roman"/>
                <w:color w:val="000000"/>
                <w:vertAlign w:val="superscript"/>
              </w:rPr>
              <w:t>6</w:t>
            </w:r>
          </w:p>
        </w:tc>
      </w:tr>
    </w:tbl>
    <w:p w:rsidR="00620ACA" w:rsidRPr="00620ACA" w:rsidRDefault="00620ACA" w:rsidP="00620ACA">
      <w:pPr>
        <w:spacing w:line="360" w:lineRule="auto"/>
        <w:ind w:left="-993"/>
        <w:rPr>
          <w:rFonts w:ascii="Helvetica" w:hAnsi="Helvetica"/>
        </w:rPr>
      </w:pPr>
      <w:r w:rsidRPr="00C92AA7">
        <w:rPr>
          <w:rFonts w:ascii="Helvetica" w:hAnsi="Helvetica"/>
          <w:b/>
        </w:rPr>
        <w:t>Table S1.</w:t>
      </w:r>
      <w:r w:rsidRPr="00C92AA7">
        <w:rPr>
          <w:rFonts w:ascii="Helvetica" w:hAnsi="Helvetica"/>
        </w:rPr>
        <w:t xml:space="preserve"> Clinical characteristics of children enrolled into the study by the key endpoints: invasive pneumococcal disease (IPD) status, radiographic endpoint consolidation, and plasma CRP concentration ≥60 mg/l.</w:t>
      </w:r>
    </w:p>
    <w:sectPr w:rsidR="00620ACA" w:rsidRPr="00620ACA" w:rsidSect="00620ACA">
      <w:pgSz w:w="16820" w:h="11900" w:orient="landscape"/>
      <w:pgMar w:top="993" w:right="66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A"/>
    <w:rsid w:val="001B6B99"/>
    <w:rsid w:val="00620ACA"/>
    <w:rsid w:val="00AD3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61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CA"/>
    <w:rPr>
      <w:rFonts w:ascii="FoundrySterling-Book" w:hAnsi="FoundrySterling-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CA"/>
    <w:rPr>
      <w:rFonts w:ascii="FoundrySterling-Book" w:hAnsi="FoundrySterling-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Company>University of Bristol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Carter</dc:creator>
  <cp:keywords/>
  <dc:description/>
  <cp:lastModifiedBy>Michael Carter</cp:lastModifiedBy>
  <cp:revision>1</cp:revision>
  <dcterms:created xsi:type="dcterms:W3CDTF">2019-06-13T22:51:00Z</dcterms:created>
  <dcterms:modified xsi:type="dcterms:W3CDTF">2019-06-13T22:53:00Z</dcterms:modified>
</cp:coreProperties>
</file>