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CD5" w:rsidRDefault="00D82940" w:rsidP="00D82940">
      <w:pPr>
        <w:spacing w:after="240"/>
      </w:pPr>
      <w:r w:rsidRPr="000921B8">
        <w:drawing>
          <wp:inline distT="0" distB="0" distL="0" distR="0" wp14:anchorId="6D384B50" wp14:editId="23AE2CD5">
            <wp:extent cx="7467600" cy="5387793"/>
            <wp:effectExtent l="0" t="0" r="0" b="381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0C7568-F3F7-4529-8878-04509A397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A0C7568-F3F7-4529-8878-04509A397B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498" cy="54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40" w:rsidRDefault="00D82940" w:rsidP="00D82940">
      <w:pPr>
        <w:pStyle w:val="Caption"/>
        <w:jc w:val="both"/>
        <w:rPr>
          <w:b w:val="0"/>
        </w:rPr>
      </w:pPr>
      <w:r w:rsidRPr="001715D6">
        <w:t>Supplementary Figure S1 |</w:t>
      </w:r>
      <w:r w:rsidRPr="001715D6">
        <w:rPr>
          <w:b w:val="0"/>
        </w:rPr>
        <w:t xml:space="preserve"> Pairwise comparisons between vancomycin-resistant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(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>) isolates from Cluster 3A, which measures the differences in unique SNPs on three differential scores: (</w:t>
      </w:r>
      <w:proofErr w:type="spellStart"/>
      <w:r w:rsidRPr="001715D6">
        <w:rPr>
          <w:b w:val="0"/>
        </w:rPr>
        <w:t>i</w:t>
      </w:r>
      <w:proofErr w:type="spellEnd"/>
      <w:r w:rsidRPr="001715D6">
        <w:rPr>
          <w:b w:val="0"/>
        </w:rPr>
        <w:t>) Total number of SNP differences; (ii) Number of SNPs determined inside homologous recombination regions, and (iii) Number of SNPs determined outside of homologous recombination regions.</w:t>
      </w:r>
      <w:r>
        <w:rPr>
          <w:b w:val="0"/>
        </w:rPr>
        <w:br w:type="page"/>
      </w:r>
    </w:p>
    <w:p w:rsidR="00D82940" w:rsidRDefault="00D82940" w:rsidP="00D82940">
      <w:pPr>
        <w:pStyle w:val="NoSpacing"/>
        <w:spacing w:after="240"/>
        <w:rPr>
          <w:lang w:val="en-US" w:eastAsia="en-US"/>
        </w:rPr>
      </w:pPr>
      <w:r w:rsidRPr="00F5125B">
        <w:lastRenderedPageBreak/>
        <w:drawing>
          <wp:inline distT="0" distB="0" distL="0" distR="0" wp14:anchorId="44D435ED">
            <wp:extent cx="8058150" cy="5482700"/>
            <wp:effectExtent l="0" t="0" r="0" b="381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DF9B1C5-F97F-4ABD-962F-C1BB9BFB5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DF9B1C5-F97F-4ABD-962F-C1BB9BFB5A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528" cy="5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40" w:rsidRPr="00E9588D" w:rsidRDefault="00D82940" w:rsidP="006C6C5F">
      <w:pPr>
        <w:pStyle w:val="NoSpacing"/>
        <w:spacing w:after="240"/>
        <w:jc w:val="both"/>
        <w:rPr>
          <w:sz w:val="24"/>
          <w:lang w:eastAsia="en-US"/>
        </w:rPr>
        <w:sectPr w:rsidR="00D82940" w:rsidRPr="00E9588D" w:rsidSect="00D82940">
          <w:headerReference w:type="default" r:id="rId8"/>
          <w:footerReference w:type="default" r:id="rId9"/>
          <w:pgSz w:w="16838" w:h="11906" w:orient="landscape"/>
          <w:pgMar w:top="1135" w:right="1440" w:bottom="993" w:left="1440" w:header="708" w:footer="204" w:gutter="0"/>
          <w:cols w:space="708"/>
          <w:docGrid w:linePitch="360"/>
        </w:sectPr>
      </w:pPr>
      <w:r w:rsidRPr="00E9588D">
        <w:rPr>
          <w:b/>
          <w:sz w:val="24"/>
          <w:lang w:eastAsia="en-US"/>
        </w:rPr>
        <w:t>Supplementary Figure S2</w:t>
      </w:r>
      <w:r w:rsidRPr="00E9588D">
        <w:rPr>
          <w:sz w:val="24"/>
          <w:lang w:eastAsia="en-US"/>
        </w:rPr>
        <w:t xml:space="preserve"> | Pairwise comparisons between vancomycin-resistant </w:t>
      </w:r>
      <w:r w:rsidRPr="00E9588D">
        <w:rPr>
          <w:i/>
          <w:sz w:val="24"/>
          <w:lang w:eastAsia="en-US"/>
        </w:rPr>
        <w:t>Enterococcus faecium</w:t>
      </w:r>
      <w:r w:rsidRPr="00E9588D">
        <w:rPr>
          <w:sz w:val="24"/>
          <w:lang w:eastAsia="en-US"/>
        </w:rPr>
        <w:t xml:space="preserve"> (VREfm) isolates from Cluster 3B, which measures the differences in unique SNPs on three differential scores: (i) Total number of SNP differences; (ii) Number of SNPs determined inside homologous recombination regions, and (iii) Number of SNPs determined outside of homologous recombination regions.</w:t>
      </w:r>
    </w:p>
    <w:p w:rsidR="00D82940" w:rsidRDefault="00D82940" w:rsidP="00F71FC5">
      <w:pPr>
        <w:pStyle w:val="NoSpacing"/>
        <w:tabs>
          <w:tab w:val="clear" w:pos="9026"/>
          <w:tab w:val="right" w:pos="9214"/>
        </w:tabs>
        <w:spacing w:after="240"/>
        <w:rPr>
          <w:lang w:eastAsia="en-US"/>
        </w:rPr>
      </w:pPr>
      <w:r w:rsidRPr="00F5125B">
        <w:rPr>
          <w:b/>
        </w:rPr>
        <w:lastRenderedPageBreak/>
        <w:drawing>
          <wp:inline distT="0" distB="0" distL="0" distR="0" wp14:anchorId="50F8902F" wp14:editId="6AC03F40">
            <wp:extent cx="5943600" cy="7558718"/>
            <wp:effectExtent l="0" t="0" r="0" b="4445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55A1404-2A19-4D96-9137-A51DAE78E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55A1404-2A19-4D96-9137-A51DAE78E4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173" cy="7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C5" w:rsidRDefault="00D82940" w:rsidP="00D82940">
      <w:pPr>
        <w:pStyle w:val="Caption"/>
        <w:jc w:val="both"/>
        <w:rPr>
          <w:b w:val="0"/>
        </w:rPr>
        <w:sectPr w:rsidR="00F71FC5" w:rsidSect="00F71FC5">
          <w:headerReference w:type="first" r:id="rId11"/>
          <w:footerReference w:type="first" r:id="rId12"/>
          <w:pgSz w:w="11906" w:h="16838" w:code="9"/>
          <w:pgMar w:top="1138" w:right="1181" w:bottom="1138" w:left="1282" w:header="426" w:footer="720" w:gutter="0"/>
          <w:cols w:space="720"/>
          <w:titlePg/>
          <w:docGrid w:linePitch="360"/>
        </w:sectPr>
      </w:pPr>
      <w:r w:rsidRPr="001715D6">
        <w:t>Supplementary Figure S3 |</w:t>
      </w:r>
      <w:r w:rsidRPr="001715D6">
        <w:rPr>
          <w:b w:val="0"/>
        </w:rPr>
        <w:t xml:space="preserve"> SNP-based phylogenetic analysis of vancomycin-resistant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(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>) isolates belonging to multi-locus sequence type ST80 (</w:t>
      </w:r>
      <w:r w:rsidRPr="001715D6">
        <w:rPr>
          <w:b w:val="0"/>
          <w:i/>
        </w:rPr>
        <w:t>n</w:t>
      </w:r>
      <w:r w:rsidRPr="001715D6">
        <w:rPr>
          <w:b w:val="0"/>
        </w:rPr>
        <w:t>=19). A maximum-likelihood (</w:t>
      </w:r>
      <w:proofErr w:type="spellStart"/>
      <w:r w:rsidRPr="001715D6">
        <w:rPr>
          <w:b w:val="0"/>
        </w:rPr>
        <w:t>PhyML</w:t>
      </w:r>
      <w:proofErr w:type="spellEnd"/>
      <w:r w:rsidRPr="001715D6">
        <w:rPr>
          <w:b w:val="0"/>
        </w:rPr>
        <w:t xml:space="preserve">) phylogenetic tree was generated with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DO (TX16_NC-017960) as the reference genome to root the tree.</w:t>
      </w:r>
    </w:p>
    <w:p w:rsidR="00F71FC5" w:rsidRDefault="00F71FC5" w:rsidP="00F71FC5">
      <w:pPr>
        <w:pStyle w:val="Caption"/>
        <w:jc w:val="both"/>
        <w:rPr>
          <w:b w:val="0"/>
        </w:rPr>
      </w:pPr>
      <w:r w:rsidRPr="0098084A">
        <w:rPr>
          <w:b w:val="0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04235F">
            <wp:simplePos x="723900" y="723900"/>
            <wp:positionH relativeFrom="margin">
              <wp:align>left</wp:align>
            </wp:positionH>
            <wp:positionV relativeFrom="paragraph">
              <wp:align>top</wp:align>
            </wp:positionV>
            <wp:extent cx="7452995" cy="5610225"/>
            <wp:effectExtent l="0" t="0" r="0" b="0"/>
            <wp:wrapSquare wrapText="bothSides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569EE77-FEFE-4759-A924-4708F0A5A5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569EE77-FEFE-4759-A924-4708F0A5A5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875" cy="5621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</w:rPr>
        <w:br w:type="textWrapping" w:clear="all"/>
      </w:r>
      <w:r w:rsidRPr="001715D6">
        <w:t>Supplementary Figure S4 |</w:t>
      </w:r>
      <w:r w:rsidRPr="001715D6">
        <w:rPr>
          <w:b w:val="0"/>
        </w:rPr>
        <w:t xml:space="preserve"> Pairwise comparisons between vancomycin-resistant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(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>) isolates from Cluster 3B, which measures the differences in unique SNPs on three differential scores: (</w:t>
      </w:r>
      <w:proofErr w:type="spellStart"/>
      <w:r w:rsidRPr="001715D6">
        <w:rPr>
          <w:b w:val="0"/>
        </w:rPr>
        <w:t>i</w:t>
      </w:r>
      <w:proofErr w:type="spellEnd"/>
      <w:r w:rsidRPr="001715D6">
        <w:rPr>
          <w:b w:val="0"/>
        </w:rPr>
        <w:t>) Total number of SNP differences; (ii) Number of SNPs determined inside homologous recombination regions, and (iii) Number of SNPs determined outside of homologous recombination regions.</w:t>
      </w:r>
      <w:r>
        <w:rPr>
          <w:b w:val="0"/>
        </w:rPr>
        <w:br w:type="page"/>
      </w:r>
    </w:p>
    <w:p w:rsidR="00F71FC5" w:rsidRDefault="00DC0BD9" w:rsidP="00F71FC5">
      <w:pPr>
        <w:pStyle w:val="Caption"/>
        <w:jc w:val="both"/>
        <w:rPr>
          <w:b w:val="0"/>
        </w:rPr>
      </w:pPr>
      <w:r w:rsidRPr="0098084A">
        <w:rPr>
          <w:noProof/>
        </w:rPr>
        <w:lastRenderedPageBreak/>
        <w:drawing>
          <wp:inline distT="0" distB="0" distL="0" distR="0" wp14:anchorId="4BCA425C" wp14:editId="29609DA3">
            <wp:extent cx="9029700" cy="4828478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403597F-4EE2-4187-974F-F4E2A3B0E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8403597F-4EE2-4187-974F-F4E2A3B0E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408" r="3120"/>
                    <a:stretch/>
                  </pic:blipFill>
                  <pic:spPr bwMode="auto">
                    <a:xfrm>
                      <a:off x="0" y="0"/>
                      <a:ext cx="9040894" cy="483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D9" w:rsidRDefault="00DC0BD9" w:rsidP="00DC0BD9">
      <w:pPr>
        <w:pStyle w:val="Caption"/>
        <w:jc w:val="both"/>
        <w:rPr>
          <w:b w:val="0"/>
        </w:rPr>
      </w:pPr>
      <w:r w:rsidRPr="001715D6">
        <w:t>Supplementary Figure S5 |</w:t>
      </w:r>
      <w:r w:rsidRPr="001715D6">
        <w:rPr>
          <w:b w:val="0"/>
        </w:rPr>
        <w:t xml:space="preserve"> SNP-based phylogenetic analysis of vancomycin-resistant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(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>) isolates belonging to multi-locus sequence type ST796 (</w:t>
      </w:r>
      <w:r w:rsidRPr="001715D6">
        <w:rPr>
          <w:b w:val="0"/>
          <w:i/>
        </w:rPr>
        <w:t>n</w:t>
      </w:r>
      <w:r w:rsidRPr="001715D6">
        <w:rPr>
          <w:b w:val="0"/>
        </w:rPr>
        <w:t>=227). A maximum-likelihood (</w:t>
      </w:r>
      <w:proofErr w:type="spellStart"/>
      <w:r w:rsidRPr="001715D6">
        <w:rPr>
          <w:b w:val="0"/>
        </w:rPr>
        <w:t>PhyML</w:t>
      </w:r>
      <w:proofErr w:type="spellEnd"/>
      <w:r w:rsidRPr="001715D6">
        <w:rPr>
          <w:b w:val="0"/>
        </w:rPr>
        <w:t xml:space="preserve">) phylogenetic tree was generated with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DO (TX16_NC-017960) as the reference genome to root the tree. For SNP-pairwise comparison, representative 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 xml:space="preserve"> ST796 isolates (highlighted in red boxes) from each clade in the phylogenetic tree were selected.</w:t>
      </w:r>
    </w:p>
    <w:p w:rsidR="00DC0BD9" w:rsidRDefault="00DC0BD9">
      <w:pPr>
        <w:tabs>
          <w:tab w:val="clear" w:pos="4513"/>
          <w:tab w:val="clear" w:pos="9026"/>
        </w:tabs>
        <w:spacing w:before="240" w:after="200"/>
        <w:rPr>
          <w:rFonts w:eastAsiaTheme="minorHAnsi"/>
          <w:bCs/>
          <w:noProof w:val="0"/>
          <w:sz w:val="24"/>
          <w:szCs w:val="24"/>
          <w:lang w:val="en-US" w:eastAsia="en-US"/>
        </w:rPr>
      </w:pPr>
      <w:r>
        <w:rPr>
          <w:b/>
        </w:rPr>
        <w:br w:type="page"/>
      </w:r>
    </w:p>
    <w:p w:rsidR="00DC0BD9" w:rsidRDefault="00DC0BD9" w:rsidP="00DC0BD9">
      <w:pPr>
        <w:pStyle w:val="Caption"/>
        <w:jc w:val="both"/>
        <w:rPr>
          <w:b w:val="0"/>
        </w:rPr>
      </w:pPr>
      <w:r w:rsidRPr="0098084A">
        <w:rPr>
          <w:b w:val="0"/>
          <w:noProof/>
        </w:rPr>
        <w:lastRenderedPageBreak/>
        <w:drawing>
          <wp:inline distT="0" distB="0" distL="0" distR="0" wp14:anchorId="27A2EDDC" wp14:editId="308BCCB7">
            <wp:extent cx="7296150" cy="5439257"/>
            <wp:effectExtent l="0" t="0" r="0" b="0"/>
            <wp:docPr id="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76D90F5-48C8-43D0-AB83-EF94CE51E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76D90F5-48C8-43D0-AB83-EF94CE51EF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802" cy="55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40" w:rsidRPr="00D82940" w:rsidRDefault="00DC0BD9" w:rsidP="00DC0BD9">
      <w:pPr>
        <w:pStyle w:val="Caption"/>
        <w:jc w:val="both"/>
        <w:rPr>
          <w:lang w:val="en-AU"/>
        </w:rPr>
      </w:pPr>
      <w:r w:rsidRPr="001715D6">
        <w:t>Supplementary Figure S6 |</w:t>
      </w:r>
      <w:r w:rsidRPr="001715D6">
        <w:rPr>
          <w:b w:val="0"/>
        </w:rPr>
        <w:t xml:space="preserve"> Pairwise comparisons between vancomycin-resistant </w:t>
      </w:r>
      <w:r w:rsidRPr="001715D6">
        <w:rPr>
          <w:b w:val="0"/>
          <w:i/>
        </w:rPr>
        <w:t>Enterococcus faecium</w:t>
      </w:r>
      <w:r w:rsidRPr="001715D6">
        <w:rPr>
          <w:b w:val="0"/>
        </w:rPr>
        <w:t xml:space="preserve"> (</w:t>
      </w:r>
      <w:proofErr w:type="spellStart"/>
      <w:r w:rsidRPr="001715D6">
        <w:rPr>
          <w:b w:val="0"/>
        </w:rPr>
        <w:t>VREfm</w:t>
      </w:r>
      <w:proofErr w:type="spellEnd"/>
      <w:r w:rsidRPr="001715D6">
        <w:rPr>
          <w:b w:val="0"/>
        </w:rPr>
        <w:t>) isolates belonging to ST796, which measures the differences in unique SNPs on th</w:t>
      </w:r>
      <w:bookmarkStart w:id="0" w:name="_GoBack"/>
      <w:bookmarkEnd w:id="0"/>
      <w:r w:rsidRPr="001715D6">
        <w:rPr>
          <w:b w:val="0"/>
        </w:rPr>
        <w:t>ree differential scores: (</w:t>
      </w:r>
      <w:proofErr w:type="spellStart"/>
      <w:r w:rsidRPr="001715D6">
        <w:rPr>
          <w:b w:val="0"/>
        </w:rPr>
        <w:t>i</w:t>
      </w:r>
      <w:proofErr w:type="spellEnd"/>
      <w:r w:rsidRPr="001715D6">
        <w:rPr>
          <w:b w:val="0"/>
        </w:rPr>
        <w:t>) Total number of SNP differences; (ii) Number of SNPs determined inside homologous recombination regions, and (iii) Number of SNPs determined outside of homologous recombination regions.</w:t>
      </w:r>
    </w:p>
    <w:sectPr w:rsidR="00D82940" w:rsidRPr="00D82940" w:rsidSect="00DC0BD9">
      <w:headerReference w:type="default" r:id="rId16"/>
      <w:pgSz w:w="16838" w:h="11906" w:orient="landscape"/>
      <w:pgMar w:top="1135" w:right="1128" w:bottom="993" w:left="1440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C7E" w:rsidRDefault="00F43C7E" w:rsidP="00D82940">
      <w:r>
        <w:separator/>
      </w:r>
    </w:p>
  </w:endnote>
  <w:endnote w:type="continuationSeparator" w:id="0">
    <w:p w:rsidR="00F43C7E" w:rsidRDefault="00F43C7E" w:rsidP="00D82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 w:val="0"/>
      </w:rPr>
      <w:id w:val="-4860241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2940" w:rsidRDefault="00D82940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:rsidR="00D82940" w:rsidRDefault="00D82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 w:val="0"/>
      </w:rPr>
      <w:id w:val="4082016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1FC5" w:rsidRDefault="00F71FC5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:rsidR="00F71FC5" w:rsidRDefault="00F71F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C7E" w:rsidRDefault="00F43C7E" w:rsidP="00D82940">
      <w:r>
        <w:separator/>
      </w:r>
    </w:p>
  </w:footnote>
  <w:footnote w:type="continuationSeparator" w:id="0">
    <w:p w:rsidR="00F43C7E" w:rsidRDefault="00F43C7E" w:rsidP="00D82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940" w:rsidRPr="00D82940" w:rsidRDefault="00D82940" w:rsidP="00D82940">
    <w:pPr>
      <w:rPr>
        <w:sz w:val="24"/>
      </w:rPr>
    </w:pPr>
    <w:r w:rsidRPr="00D82940">
      <w:rPr>
        <w:sz w:val="24"/>
      </w:rPr>
      <w:drawing>
        <wp:anchor distT="0" distB="0" distL="114300" distR="114300" simplePos="0" relativeHeight="251663360" behindDoc="0" locked="0" layoutInCell="1" allowOverlap="1" wp14:anchorId="150F29CA">
          <wp:simplePos x="0" y="0"/>
          <wp:positionH relativeFrom="margin">
            <wp:posOffset>0</wp:posOffset>
          </wp:positionH>
          <wp:positionV relativeFrom="page">
            <wp:posOffset>238125</wp:posOffset>
          </wp:positionV>
          <wp:extent cx="1659255" cy="4781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255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2940">
      <w:rPr>
        <w:sz w:val="24"/>
      </w:rPr>
      <w:tab/>
    </w:r>
    <w:r w:rsidRPr="00D82940">
      <w:rPr>
        <w:sz w:val="24"/>
      </w:rPr>
      <w:tab/>
    </w:r>
    <w:r w:rsidRPr="00D82940">
      <w:rPr>
        <w:sz w:val="24"/>
      </w:rPr>
      <w:tab/>
    </w:r>
    <w:r w:rsidRPr="00D82940">
      <w:rPr>
        <w:sz w:val="24"/>
      </w:rPr>
      <w:tab/>
    </w:r>
    <w:r w:rsidRPr="00D82940">
      <w:rPr>
        <w:sz w:val="24"/>
      </w:rPr>
      <w:tab/>
    </w:r>
    <w:r w:rsidRPr="00D82940">
      <w:rPr>
        <w:sz w:val="24"/>
      </w:rPr>
      <w:tab/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FC5" w:rsidRDefault="00F71FC5">
    <w:pPr>
      <w:pStyle w:val="Header"/>
      <w:rPr>
        <w:sz w:val="24"/>
      </w:rPr>
    </w:pPr>
    <w:r w:rsidRPr="00D82940">
      <w:rPr>
        <w:sz w:val="24"/>
      </w:rPr>
      <w:drawing>
        <wp:anchor distT="0" distB="0" distL="114300" distR="114300" simplePos="0" relativeHeight="251660288" behindDoc="0" locked="0" layoutInCell="1" allowOverlap="1" wp14:anchorId="46287547" wp14:editId="1927EDDA">
          <wp:simplePos x="0" y="0"/>
          <wp:positionH relativeFrom="margin">
            <wp:posOffset>-4445</wp:posOffset>
          </wp:positionH>
          <wp:positionV relativeFrom="page">
            <wp:posOffset>190500</wp:posOffset>
          </wp:positionV>
          <wp:extent cx="1659255" cy="478155"/>
          <wp:effectExtent l="0" t="0" r="0" b="0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255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w:tab/>
    </w:r>
    <w:r>
      <w:rPr>
        <w:sz w:val="24"/>
      </w:rPr>
      <w:tab/>
    </w:r>
  </w:p>
  <w:p w:rsidR="00F71FC5" w:rsidRDefault="00F71FC5" w:rsidP="00F71FC5">
    <w:pPr>
      <w:pStyle w:val="Header"/>
      <w:tabs>
        <w:tab w:val="clear" w:pos="9026"/>
        <w:tab w:val="left" w:pos="7020"/>
        <w:tab w:val="right" w:pos="9356"/>
      </w:tabs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 w:rsidRPr="00D82940">
      <w:rPr>
        <w:sz w:val="24"/>
      </w:rPr>
      <w:t>Supplementary Material</w:t>
    </w:r>
    <w:r w:rsidRPr="00D82940"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940" w:rsidRPr="00D82940" w:rsidRDefault="00DC0BD9" w:rsidP="00DC0BD9">
    <w:pPr>
      <w:tabs>
        <w:tab w:val="clear" w:pos="9026"/>
        <w:tab w:val="right" w:pos="14175"/>
      </w:tabs>
      <w:rPr>
        <w:sz w:val="24"/>
      </w:rPr>
    </w:pPr>
    <w:r w:rsidRPr="00D82940">
      <w:rPr>
        <w:sz w:val="24"/>
      </w:rPr>
      <w:drawing>
        <wp:anchor distT="0" distB="0" distL="114300" distR="114300" simplePos="0" relativeHeight="251665408" behindDoc="0" locked="0" layoutInCell="1" allowOverlap="1" wp14:anchorId="268FB629" wp14:editId="724C0282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659255" cy="47815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255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2940" w:rsidRPr="00D82940">
      <w:rPr>
        <w:sz w:val="24"/>
      </w:rPr>
      <w:tab/>
    </w:r>
    <w:r w:rsidR="00D82940" w:rsidRPr="00D82940">
      <w:rPr>
        <w:sz w:val="24"/>
      </w:rPr>
      <w:tab/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940"/>
    <w:rsid w:val="006C6C5F"/>
    <w:rsid w:val="009D7A80"/>
    <w:rsid w:val="00D82940"/>
    <w:rsid w:val="00DB4CD5"/>
    <w:rsid w:val="00DC0BD9"/>
    <w:rsid w:val="00E9588D"/>
    <w:rsid w:val="00F43C7E"/>
    <w:rsid w:val="00F7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FB621"/>
  <w15:chartTrackingRefBased/>
  <w15:docId w15:val="{DBF5BE5A-3EA5-4F57-A627-E251704C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before="240"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940"/>
    <w:pPr>
      <w:tabs>
        <w:tab w:val="center" w:pos="4513"/>
        <w:tab w:val="right" w:pos="9026"/>
      </w:tabs>
      <w:spacing w:before="0" w:after="0"/>
    </w:pPr>
    <w:rPr>
      <w:rFonts w:ascii="Times New Roman" w:hAnsi="Times New Roman" w:cs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40"/>
  </w:style>
  <w:style w:type="character" w:customStyle="1" w:styleId="HeaderChar">
    <w:name w:val="Header Char"/>
    <w:basedOn w:val="DefaultParagraphFont"/>
    <w:link w:val="Header"/>
    <w:uiPriority w:val="99"/>
    <w:rsid w:val="00D82940"/>
  </w:style>
  <w:style w:type="paragraph" w:styleId="Footer">
    <w:name w:val="footer"/>
    <w:basedOn w:val="Normal"/>
    <w:link w:val="FooterChar"/>
    <w:uiPriority w:val="99"/>
    <w:unhideWhenUsed/>
    <w:rsid w:val="00D82940"/>
  </w:style>
  <w:style w:type="character" w:customStyle="1" w:styleId="FooterChar">
    <w:name w:val="Footer Char"/>
    <w:basedOn w:val="DefaultParagraphFont"/>
    <w:link w:val="Footer"/>
    <w:uiPriority w:val="99"/>
    <w:rsid w:val="00D82940"/>
  </w:style>
  <w:style w:type="paragraph" w:styleId="Caption">
    <w:name w:val="caption"/>
    <w:basedOn w:val="Normal"/>
    <w:next w:val="NoSpacing"/>
    <w:uiPriority w:val="35"/>
    <w:unhideWhenUsed/>
    <w:qFormat/>
    <w:rsid w:val="00D82940"/>
    <w:pPr>
      <w:keepNext/>
      <w:tabs>
        <w:tab w:val="clear" w:pos="4513"/>
        <w:tab w:val="clear" w:pos="9026"/>
      </w:tabs>
      <w:spacing w:before="120" w:after="240"/>
    </w:pPr>
    <w:rPr>
      <w:rFonts w:eastAsiaTheme="minorHAnsi"/>
      <w:b/>
      <w:bCs/>
      <w:noProof w:val="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D82940"/>
    <w:pPr>
      <w:tabs>
        <w:tab w:val="center" w:pos="4513"/>
        <w:tab w:val="right" w:pos="9026"/>
      </w:tabs>
      <w:spacing w:before="0" w:after="0"/>
    </w:pPr>
    <w:rPr>
      <w:rFonts w:ascii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Leong</dc:creator>
  <cp:keywords/>
  <dc:description/>
  <cp:lastModifiedBy>Kelvin Leong</cp:lastModifiedBy>
  <cp:revision>3</cp:revision>
  <dcterms:created xsi:type="dcterms:W3CDTF">2019-12-23T14:48:00Z</dcterms:created>
  <dcterms:modified xsi:type="dcterms:W3CDTF">2019-12-23T15:20:00Z</dcterms:modified>
</cp:coreProperties>
</file>