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980F8" w14:textId="1B66A165" w:rsidR="00994A3D" w:rsidRPr="00473758" w:rsidRDefault="00654E8F" w:rsidP="00643038">
      <w:pPr>
        <w:pStyle w:val="SupplementaryMaterial"/>
        <w:rPr>
          <w:b w:val="0"/>
        </w:rPr>
      </w:pPr>
      <w:r w:rsidRPr="001549D3">
        <w:t>Supplementary Mater</w:t>
      </w:r>
      <w:r w:rsidRPr="00473758">
        <w:t>ial</w:t>
      </w:r>
    </w:p>
    <w:p w14:paraId="4D059444" w14:textId="77777777" w:rsidR="00994A3D" w:rsidRPr="00473758" w:rsidRDefault="00654E8F" w:rsidP="0001436A">
      <w:pPr>
        <w:pStyle w:val="Heading1"/>
      </w:pPr>
      <w:r w:rsidRPr="00473758">
        <w:t>Supplementary Figures and Tables</w:t>
      </w:r>
    </w:p>
    <w:p w14:paraId="0A8A8E3F" w14:textId="277019E2" w:rsidR="00643038" w:rsidRPr="00473758" w:rsidRDefault="00994A3D" w:rsidP="00643038">
      <w:pPr>
        <w:pStyle w:val="Heading2"/>
      </w:pPr>
      <w:r w:rsidRPr="00473758">
        <w:t>Su</w:t>
      </w:r>
      <w:r w:rsidR="00643038" w:rsidRPr="00473758">
        <w:t>p</w:t>
      </w:r>
      <w:r w:rsidRPr="00473758">
        <w:t>plementary Figures</w:t>
      </w:r>
    </w:p>
    <w:p w14:paraId="590625E8" w14:textId="77777777" w:rsidR="00643038" w:rsidRPr="00473758" w:rsidRDefault="00643038" w:rsidP="00643038">
      <w:r w:rsidRPr="00473758">
        <w:rPr>
          <w:noProof/>
          <w:lang w:eastAsia="es-ES"/>
        </w:rPr>
        <w:drawing>
          <wp:inline distT="0" distB="0" distL="0" distR="0" wp14:anchorId="368ECAB3" wp14:editId="16836A87">
            <wp:extent cx="5396230" cy="3515995"/>
            <wp:effectExtent l="0" t="0" r="13970" b="14605"/>
            <wp:docPr id="2" name="Gráfico 2">
              <a:extLst xmlns:a="http://schemas.openxmlformats.org/drawingml/2006/main">
                <a:ext uri="{FF2B5EF4-FFF2-40B4-BE49-F238E27FC236}">
                  <a16:creationId xmlns:a16="http://schemas.microsoft.com/office/drawing/2014/main" id="{33D3FC43-868C-7543-A869-5BCB10F70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060BAF" w14:textId="325F316F" w:rsidR="00945E09" w:rsidRPr="00212523" w:rsidRDefault="00994A3D" w:rsidP="00212523">
      <w:r w:rsidRPr="00473758">
        <w:rPr>
          <w:rFonts w:cs="Times New Roman"/>
          <w:b/>
          <w:szCs w:val="24"/>
        </w:rPr>
        <w:t xml:space="preserve">Supplementary Figure </w:t>
      </w:r>
      <w:r w:rsidRPr="00473758">
        <w:rPr>
          <w:rFonts w:cs="Times New Roman"/>
          <w:b/>
          <w:szCs w:val="24"/>
        </w:rPr>
        <w:fldChar w:fldCharType="begin"/>
      </w:r>
      <w:r w:rsidRPr="00473758">
        <w:rPr>
          <w:rFonts w:cs="Times New Roman"/>
          <w:b/>
          <w:szCs w:val="24"/>
        </w:rPr>
        <w:instrText xml:space="preserve"> SEQ Figure \* ARABIC </w:instrText>
      </w:r>
      <w:r w:rsidRPr="00473758">
        <w:rPr>
          <w:rFonts w:cs="Times New Roman"/>
          <w:b/>
          <w:szCs w:val="24"/>
        </w:rPr>
        <w:fldChar w:fldCharType="separate"/>
      </w:r>
      <w:r w:rsidR="00ED20B5" w:rsidRPr="00473758">
        <w:rPr>
          <w:rFonts w:cs="Times New Roman"/>
          <w:b/>
          <w:noProof/>
          <w:szCs w:val="24"/>
        </w:rPr>
        <w:t>1</w:t>
      </w:r>
      <w:r w:rsidRPr="00473758">
        <w:rPr>
          <w:rFonts w:cs="Times New Roman"/>
          <w:b/>
          <w:szCs w:val="24"/>
        </w:rPr>
        <w:fldChar w:fldCharType="end"/>
      </w:r>
      <w:r w:rsidRPr="00473758">
        <w:rPr>
          <w:rFonts w:cs="Times New Roman"/>
          <w:b/>
          <w:szCs w:val="24"/>
        </w:rPr>
        <w:t>.</w:t>
      </w:r>
      <w:r w:rsidRPr="00473758">
        <w:rPr>
          <w:rFonts w:cs="Times New Roman"/>
          <w:szCs w:val="24"/>
        </w:rPr>
        <w:t xml:space="preserve"> </w:t>
      </w:r>
      <w:r w:rsidR="00643038" w:rsidRPr="00473758">
        <w:rPr>
          <w:rFonts w:cs="Times New Roman"/>
          <w:szCs w:val="24"/>
        </w:rPr>
        <w:t>Effects of repeated social defeat (RSD) on cocaine-induced CPP. One group of mice was not exposed to stress (CONTROL) and the other group was exposed to four episodes of repeated social defeat (RSD) on PND 47, 50, 53 and 56. Three weeks after the last episode of defeat, all mice were conditioned with 1 mg/kg of cocaine. Bars represent the</w:t>
      </w:r>
      <w:r w:rsidR="00977492" w:rsidRPr="00473758">
        <w:rPr>
          <w:rFonts w:cs="Times New Roman"/>
          <w:szCs w:val="24"/>
        </w:rPr>
        <w:t xml:space="preserve"> mean (</w:t>
      </w:r>
      <w:r w:rsidR="00534E86" w:rsidRPr="00473758">
        <w:rPr>
          <w:rFonts w:cs="Arial"/>
          <w:szCs w:val="32"/>
        </w:rPr>
        <w:t>± SEM</w:t>
      </w:r>
      <w:r w:rsidR="00977492" w:rsidRPr="00473758">
        <w:rPr>
          <w:rFonts w:cs="Times New Roman"/>
          <w:szCs w:val="24"/>
        </w:rPr>
        <w:t>)</w:t>
      </w:r>
      <w:r w:rsidR="00643038" w:rsidRPr="00473758">
        <w:rPr>
          <w:rFonts w:cs="Times New Roman"/>
          <w:szCs w:val="24"/>
        </w:rPr>
        <w:t xml:space="preserve"> time (in seconds) spent in the drug- paired compartment before conditioning sessions in the pre-conditioning test (Pre-C, white bars) and after conditioning sessions in the post-conditioning test (Post-C, black bars). Only the group of mice exposed to RSD developed CPP (***P &lt; 0.001, significant difference in the time spent in the drug-paired compartment in Post-C versus Pre-C test).</w:t>
      </w:r>
    </w:p>
    <w:p w14:paraId="2D9E1527" w14:textId="22C84493" w:rsidR="00643038" w:rsidRPr="00473758" w:rsidRDefault="00945E09" w:rsidP="002B4A57">
      <w:pPr>
        <w:keepNext/>
        <w:rPr>
          <w:rFonts w:cs="Times New Roman"/>
          <w:b/>
          <w:szCs w:val="24"/>
        </w:rPr>
      </w:pPr>
      <w:r w:rsidRPr="00473758">
        <w:rPr>
          <w:noProof/>
        </w:rPr>
        <w:lastRenderedPageBreak/>
        <w:drawing>
          <wp:inline distT="0" distB="0" distL="0" distR="0" wp14:anchorId="7441AF2A" wp14:editId="6D6D0831">
            <wp:extent cx="2000738" cy="2743200"/>
            <wp:effectExtent l="0" t="0" r="6350" b="12700"/>
            <wp:docPr id="4" name="Gráfico 4">
              <a:extLst xmlns:a="http://schemas.openxmlformats.org/drawingml/2006/main">
                <a:ext uri="{FF2B5EF4-FFF2-40B4-BE49-F238E27FC236}">
                  <a16:creationId xmlns:a16="http://schemas.microsoft.com/office/drawing/2014/main" id="{699C712E-A60C-6F44-B5E2-BEEA4AD71C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473758">
        <w:rPr>
          <w:noProof/>
        </w:rPr>
        <w:drawing>
          <wp:inline distT="0" distB="0" distL="0" distR="0" wp14:anchorId="125FE32E" wp14:editId="70187E2D">
            <wp:extent cx="1953846" cy="2743200"/>
            <wp:effectExtent l="0" t="0" r="15240" b="12700"/>
            <wp:docPr id="3" name="Gráfico 3">
              <a:extLst xmlns:a="http://schemas.openxmlformats.org/drawingml/2006/main">
                <a:ext uri="{FF2B5EF4-FFF2-40B4-BE49-F238E27FC236}">
                  <a16:creationId xmlns:a16="http://schemas.microsoft.com/office/drawing/2014/main" id="{241E8707-9790-314D-AAFD-3515F7C4B6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73758">
        <w:rPr>
          <w:noProof/>
        </w:rPr>
        <w:drawing>
          <wp:inline distT="0" distB="0" distL="0" distR="0" wp14:anchorId="77FB7BB0" wp14:editId="3146662E">
            <wp:extent cx="2149231" cy="2743200"/>
            <wp:effectExtent l="0" t="0" r="10160" b="12700"/>
            <wp:docPr id="5" name="Gráfico 5">
              <a:extLst xmlns:a="http://schemas.openxmlformats.org/drawingml/2006/main">
                <a:ext uri="{FF2B5EF4-FFF2-40B4-BE49-F238E27FC236}">
                  <a16:creationId xmlns:a16="http://schemas.microsoft.com/office/drawing/2014/main" id="{4CA83B4C-E9F9-AA46-95BB-E8FFA7BCC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844B06" w14:textId="04750035" w:rsidR="00643038" w:rsidRDefault="00643038" w:rsidP="002B4A57">
      <w:pPr>
        <w:keepNext/>
        <w:rPr>
          <w:rFonts w:cs="Times New Roman"/>
          <w:bCs/>
          <w:szCs w:val="24"/>
        </w:rPr>
      </w:pPr>
      <w:r w:rsidRPr="00473758">
        <w:rPr>
          <w:rFonts w:cs="Times New Roman"/>
          <w:b/>
          <w:szCs w:val="24"/>
        </w:rPr>
        <w:t>Supplementary Figure 2.</w:t>
      </w:r>
      <w:r w:rsidRPr="00473758">
        <w:rPr>
          <w:rFonts w:cs="Times New Roman"/>
          <w:bCs/>
          <w:szCs w:val="24"/>
        </w:rPr>
        <w:t xml:space="preserve"> Behavioral profile of mice resilient to the long-term effects of repeated social defeat (RSD) on cocaine-induced CPP in the elevated plus maze (EPM). All mice were exposed to four episodes of repeated social defeat (RSD, n=25) on PND 47, 50, 53 and 56 and their behavior was analyzed in the EPM 24 hours after the last episode of defeat. Three weeks after they were conditioned with 1 mg/kg of cocaine in the CPP paradigm. </w:t>
      </w:r>
      <w:r w:rsidR="00790EBE" w:rsidRPr="00473758">
        <w:rPr>
          <w:rFonts w:cs="Times New Roman"/>
          <w:bCs/>
          <w:szCs w:val="24"/>
        </w:rPr>
        <w:t xml:space="preserve">a) </w:t>
      </w:r>
      <w:r w:rsidRPr="00473758">
        <w:rPr>
          <w:rFonts w:cs="Times New Roman"/>
          <w:bCs/>
          <w:szCs w:val="24"/>
        </w:rPr>
        <w:t xml:space="preserve">Bars represent the </w:t>
      </w:r>
      <w:r w:rsidR="00790EBE" w:rsidRPr="00473758">
        <w:rPr>
          <w:rFonts w:cs="Times New Roman"/>
          <w:bCs/>
          <w:szCs w:val="24"/>
        </w:rPr>
        <w:t>mean (</w:t>
      </w:r>
      <w:r w:rsidR="00534E86" w:rsidRPr="00473758">
        <w:rPr>
          <w:rFonts w:cs="Arial"/>
          <w:szCs w:val="32"/>
        </w:rPr>
        <w:t>± SEM</w:t>
      </w:r>
      <w:r w:rsidR="00790EBE" w:rsidRPr="00473758">
        <w:rPr>
          <w:rFonts w:cs="Times New Roman"/>
          <w:bCs/>
          <w:szCs w:val="24"/>
        </w:rPr>
        <w:t xml:space="preserve">) </w:t>
      </w:r>
      <w:r w:rsidRPr="00473758">
        <w:rPr>
          <w:rFonts w:cs="Times New Roman"/>
          <w:bCs/>
          <w:szCs w:val="24"/>
        </w:rPr>
        <w:t>time (in seconds) spent</w:t>
      </w:r>
      <w:r w:rsidR="00790EBE" w:rsidRPr="00473758">
        <w:rPr>
          <w:rFonts w:cs="Times New Roman"/>
          <w:bCs/>
          <w:szCs w:val="24"/>
        </w:rPr>
        <w:t xml:space="preserve"> in the open arms</w:t>
      </w:r>
      <w:r w:rsidR="00A04560" w:rsidRPr="00473758">
        <w:rPr>
          <w:rFonts w:cs="Times New Roman"/>
          <w:bCs/>
          <w:szCs w:val="24"/>
        </w:rPr>
        <w:t xml:space="preserve"> (OA)</w:t>
      </w:r>
      <w:r w:rsidR="00790EBE" w:rsidRPr="00473758">
        <w:rPr>
          <w:rFonts w:cs="Times New Roman"/>
          <w:bCs/>
          <w:szCs w:val="24"/>
        </w:rPr>
        <w:t>. b) Bars represent the mean (</w:t>
      </w:r>
      <w:r w:rsidR="00534E86" w:rsidRPr="00473758">
        <w:rPr>
          <w:rFonts w:cs="Arial"/>
          <w:szCs w:val="32"/>
        </w:rPr>
        <w:t>± SEM</w:t>
      </w:r>
      <w:r w:rsidR="00790EBE" w:rsidRPr="00473758">
        <w:rPr>
          <w:rFonts w:cs="Times New Roman"/>
          <w:bCs/>
          <w:szCs w:val="24"/>
        </w:rPr>
        <w:t xml:space="preserve">) number of entries into the </w:t>
      </w:r>
      <w:r w:rsidR="00A04560" w:rsidRPr="00473758">
        <w:rPr>
          <w:rFonts w:cs="Times New Roman"/>
          <w:bCs/>
          <w:szCs w:val="24"/>
        </w:rPr>
        <w:t>OA</w:t>
      </w:r>
      <w:r w:rsidR="00790EBE" w:rsidRPr="00473758">
        <w:rPr>
          <w:rFonts w:cs="Times New Roman"/>
          <w:bCs/>
          <w:szCs w:val="24"/>
        </w:rPr>
        <w:t>. c) Bars represent</w:t>
      </w:r>
      <w:r w:rsidRPr="00473758">
        <w:rPr>
          <w:rFonts w:cs="Times New Roman"/>
          <w:bCs/>
          <w:szCs w:val="24"/>
        </w:rPr>
        <w:t xml:space="preserve"> the </w:t>
      </w:r>
      <w:r w:rsidR="00790EBE" w:rsidRPr="00473758">
        <w:rPr>
          <w:rFonts w:cs="Times New Roman"/>
          <w:bCs/>
          <w:szCs w:val="24"/>
        </w:rPr>
        <w:t>mean (</w:t>
      </w:r>
      <w:r w:rsidR="00534E86" w:rsidRPr="00473758">
        <w:rPr>
          <w:rFonts w:cs="Arial"/>
          <w:szCs w:val="32"/>
        </w:rPr>
        <w:t>± SEM</w:t>
      </w:r>
      <w:r w:rsidR="00790EBE" w:rsidRPr="00473758">
        <w:rPr>
          <w:rFonts w:cs="Times New Roman"/>
          <w:bCs/>
          <w:szCs w:val="24"/>
        </w:rPr>
        <w:t xml:space="preserve">) </w:t>
      </w:r>
      <w:r w:rsidRPr="00473758">
        <w:rPr>
          <w:rFonts w:cs="Times New Roman"/>
          <w:bCs/>
          <w:szCs w:val="24"/>
        </w:rPr>
        <w:t>percentage of time</w:t>
      </w:r>
      <w:r w:rsidR="00790EBE" w:rsidRPr="00473758">
        <w:rPr>
          <w:rFonts w:cs="Times New Roman"/>
          <w:bCs/>
          <w:szCs w:val="24"/>
        </w:rPr>
        <w:t xml:space="preserve"> spent in </w:t>
      </w:r>
      <w:r w:rsidR="00A04560" w:rsidRPr="00473758">
        <w:rPr>
          <w:rFonts w:cs="Times New Roman"/>
          <w:bCs/>
          <w:szCs w:val="24"/>
        </w:rPr>
        <w:t xml:space="preserve">OA </w:t>
      </w:r>
      <w:r w:rsidR="00790EBE" w:rsidRPr="00473758">
        <w:rPr>
          <w:rFonts w:cs="Times New Roman"/>
          <w:bCs/>
          <w:szCs w:val="24"/>
        </w:rPr>
        <w:t>and the mean (</w:t>
      </w:r>
      <w:r w:rsidR="00534E86" w:rsidRPr="00473758">
        <w:rPr>
          <w:rFonts w:cs="Arial"/>
          <w:szCs w:val="32"/>
        </w:rPr>
        <w:t>± SEM</w:t>
      </w:r>
      <w:r w:rsidR="00790EBE" w:rsidRPr="00473758">
        <w:rPr>
          <w:rFonts w:cs="Times New Roman"/>
          <w:bCs/>
          <w:szCs w:val="24"/>
        </w:rPr>
        <w:t xml:space="preserve">) percentage of entries into the </w:t>
      </w:r>
      <w:r w:rsidR="00A04560" w:rsidRPr="00473758">
        <w:rPr>
          <w:rFonts w:cs="Times New Roman"/>
          <w:bCs/>
          <w:szCs w:val="24"/>
        </w:rPr>
        <w:t>OA</w:t>
      </w:r>
      <w:r w:rsidR="00790EBE" w:rsidRPr="00473758">
        <w:rPr>
          <w:rFonts w:cs="Times New Roman"/>
          <w:bCs/>
          <w:szCs w:val="24"/>
        </w:rPr>
        <w:t>.</w:t>
      </w:r>
      <w:r w:rsidRPr="00473758">
        <w:rPr>
          <w:rFonts w:cs="Times New Roman"/>
          <w:bCs/>
          <w:szCs w:val="24"/>
        </w:rPr>
        <w:t xml:space="preserve"> As can be seen in Fig. </w:t>
      </w:r>
      <w:r w:rsidR="00EC61EE" w:rsidRPr="00473758">
        <w:rPr>
          <w:rFonts w:cs="Times New Roman"/>
          <w:bCs/>
          <w:szCs w:val="24"/>
        </w:rPr>
        <w:t>5b</w:t>
      </w:r>
      <w:r w:rsidRPr="00473758">
        <w:rPr>
          <w:rFonts w:cs="Times New Roman"/>
          <w:bCs/>
          <w:szCs w:val="24"/>
        </w:rPr>
        <w:t>, defeated</w:t>
      </w:r>
      <w:r w:rsidRPr="00643038">
        <w:rPr>
          <w:rFonts w:cs="Times New Roman"/>
          <w:bCs/>
          <w:szCs w:val="24"/>
        </w:rPr>
        <w:t xml:space="preserve"> mice that did not acquire cocaine-induced CPP (Low %TOA) can be defined as resilient mice (light gray bars), while defeated mice that develop cocaine-induced CPP (Low %TOA) can be defined as vulnerable mice (dark gray bars). In comparison to vulnerable mice, resilient mice showed a reduction of all measures related with OA of the EPM (**P &lt; 0.01, *** P &lt; 0.001, significant difference versus vulnerable mice).</w:t>
      </w:r>
    </w:p>
    <w:p w14:paraId="390A3732" w14:textId="28DDC39E" w:rsidR="00212523" w:rsidRDefault="00212523" w:rsidP="00212523">
      <w:pPr>
        <w:spacing w:before="0" w:after="200" w:line="276" w:lineRule="auto"/>
        <w:rPr>
          <w:rFonts w:cs="Times New Roman"/>
          <w:bCs/>
          <w:szCs w:val="24"/>
        </w:rPr>
      </w:pPr>
      <w:r>
        <w:rPr>
          <w:rFonts w:cs="Times New Roman"/>
          <w:bCs/>
          <w:szCs w:val="24"/>
        </w:rPr>
        <w:br w:type="page"/>
      </w:r>
    </w:p>
    <w:p w14:paraId="0E965364" w14:textId="77777777" w:rsidR="0077533C" w:rsidRPr="00D47C77" w:rsidRDefault="0077533C" w:rsidP="0077533C">
      <w:pPr>
        <w:spacing w:before="0" w:after="200" w:line="276" w:lineRule="auto"/>
        <w:rPr>
          <w:rFonts w:cs="Times New Roman"/>
          <w:bCs/>
          <w:szCs w:val="24"/>
        </w:rPr>
      </w:pPr>
      <w:r w:rsidRPr="0001436A">
        <w:lastRenderedPageBreak/>
        <w:t>Su</w:t>
      </w:r>
      <w:r>
        <w:t>p</w:t>
      </w:r>
      <w:r w:rsidRPr="0001436A">
        <w:t>plementary</w:t>
      </w:r>
      <w:r w:rsidRPr="001549D3">
        <w:t xml:space="preserve"> </w:t>
      </w:r>
      <w:r>
        <w:t>Table 1</w:t>
      </w:r>
    </w:p>
    <w:tbl>
      <w:tblPr>
        <w:tblW w:w="9729" w:type="dxa"/>
        <w:tblInd w:w="70" w:type="dxa"/>
        <w:tblCellMar>
          <w:left w:w="70" w:type="dxa"/>
          <w:right w:w="70" w:type="dxa"/>
        </w:tblCellMar>
        <w:tblLook w:val="04A0" w:firstRow="1" w:lastRow="0" w:firstColumn="1" w:lastColumn="0" w:noHBand="0" w:noVBand="1"/>
      </w:tblPr>
      <w:tblGrid>
        <w:gridCol w:w="1081"/>
        <w:gridCol w:w="1100"/>
        <w:gridCol w:w="1077"/>
        <w:gridCol w:w="1078"/>
        <w:gridCol w:w="1078"/>
        <w:gridCol w:w="1078"/>
        <w:gridCol w:w="1079"/>
        <w:gridCol w:w="1079"/>
        <w:gridCol w:w="1079"/>
      </w:tblGrid>
      <w:tr w:rsidR="0077533C" w:rsidRPr="006C26F6" w14:paraId="60B86CE1" w14:textId="77777777" w:rsidTr="00FA1014">
        <w:trPr>
          <w:trHeight w:val="300"/>
        </w:trPr>
        <w:tc>
          <w:tcPr>
            <w:tcW w:w="1081" w:type="dxa"/>
            <w:tcBorders>
              <w:top w:val="nil"/>
              <w:left w:val="nil"/>
              <w:bottom w:val="nil"/>
              <w:right w:val="nil"/>
            </w:tcBorders>
            <w:shd w:val="clear" w:color="auto" w:fill="auto"/>
            <w:noWrap/>
            <w:vAlign w:val="bottom"/>
            <w:hideMark/>
          </w:tcPr>
          <w:p w14:paraId="3809DC0D" w14:textId="77777777" w:rsidR="0077533C" w:rsidRPr="006C26F6" w:rsidRDefault="0077533C" w:rsidP="00FA1014">
            <w:pPr>
              <w:spacing w:before="0" w:after="0"/>
              <w:rPr>
                <w:rFonts w:eastAsia="Times New Roman" w:cs="Times New Roman"/>
                <w:sz w:val="20"/>
                <w:szCs w:val="24"/>
                <w:lang w:val="es-ES" w:eastAsia="es-ES_tradnl"/>
              </w:rPr>
            </w:pPr>
          </w:p>
        </w:tc>
        <w:tc>
          <w:tcPr>
            <w:tcW w:w="1100" w:type="dxa"/>
            <w:tcBorders>
              <w:top w:val="nil"/>
              <w:left w:val="nil"/>
              <w:bottom w:val="nil"/>
              <w:right w:val="nil"/>
            </w:tcBorders>
            <w:shd w:val="clear" w:color="auto" w:fill="auto"/>
            <w:noWrap/>
            <w:vAlign w:val="bottom"/>
            <w:hideMark/>
          </w:tcPr>
          <w:p w14:paraId="6D4BA574" w14:textId="77777777" w:rsidR="0077533C" w:rsidRPr="006C26F6" w:rsidRDefault="0077533C" w:rsidP="00FA1014">
            <w:pPr>
              <w:spacing w:before="0" w:after="0"/>
              <w:rPr>
                <w:rFonts w:eastAsia="Times New Roman" w:cs="Times New Roman"/>
                <w:sz w:val="20"/>
                <w:szCs w:val="20"/>
                <w:lang w:val="es-ES" w:eastAsia="es-ES_tradnl"/>
              </w:rPr>
            </w:pPr>
          </w:p>
        </w:tc>
        <w:tc>
          <w:tcPr>
            <w:tcW w:w="1077" w:type="dxa"/>
            <w:tcBorders>
              <w:top w:val="single" w:sz="8" w:space="0" w:color="auto"/>
              <w:left w:val="single" w:sz="8" w:space="0" w:color="auto"/>
              <w:bottom w:val="single" w:sz="8" w:space="0" w:color="auto"/>
              <w:right w:val="nil"/>
            </w:tcBorders>
            <w:shd w:val="clear" w:color="000000" w:fill="FFFFFF"/>
            <w:vAlign w:val="center"/>
            <w:hideMark/>
          </w:tcPr>
          <w:p w14:paraId="0A173EF7"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TOA</w:t>
            </w:r>
          </w:p>
        </w:tc>
        <w:tc>
          <w:tcPr>
            <w:tcW w:w="1078" w:type="dxa"/>
            <w:tcBorders>
              <w:top w:val="single" w:sz="8" w:space="0" w:color="auto"/>
              <w:left w:val="nil"/>
              <w:bottom w:val="single" w:sz="8" w:space="0" w:color="auto"/>
              <w:right w:val="nil"/>
            </w:tcBorders>
            <w:shd w:val="clear" w:color="000000" w:fill="FFFFFF"/>
            <w:vAlign w:val="center"/>
            <w:hideMark/>
          </w:tcPr>
          <w:p w14:paraId="38D74BE5"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Dips</w:t>
            </w:r>
          </w:p>
        </w:tc>
        <w:tc>
          <w:tcPr>
            <w:tcW w:w="1078" w:type="dxa"/>
            <w:tcBorders>
              <w:top w:val="single" w:sz="8" w:space="0" w:color="auto"/>
              <w:left w:val="nil"/>
              <w:bottom w:val="single" w:sz="8" w:space="0" w:color="auto"/>
              <w:right w:val="nil"/>
            </w:tcBorders>
            <w:shd w:val="clear" w:color="000000" w:fill="FFFFFF"/>
            <w:vAlign w:val="center"/>
            <w:hideMark/>
          </w:tcPr>
          <w:p w14:paraId="36875294"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CPP</w:t>
            </w:r>
          </w:p>
        </w:tc>
        <w:tc>
          <w:tcPr>
            <w:tcW w:w="1078" w:type="dxa"/>
            <w:tcBorders>
              <w:top w:val="single" w:sz="8" w:space="0" w:color="auto"/>
              <w:left w:val="nil"/>
              <w:bottom w:val="single" w:sz="8" w:space="0" w:color="auto"/>
              <w:right w:val="nil"/>
            </w:tcBorders>
            <w:shd w:val="clear" w:color="000000" w:fill="FFFFFF"/>
            <w:vAlign w:val="center"/>
            <w:hideMark/>
          </w:tcPr>
          <w:p w14:paraId="0077CF10"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ISI</w:t>
            </w:r>
          </w:p>
        </w:tc>
        <w:tc>
          <w:tcPr>
            <w:tcW w:w="1079" w:type="dxa"/>
            <w:tcBorders>
              <w:top w:val="single" w:sz="8" w:space="0" w:color="auto"/>
              <w:left w:val="nil"/>
              <w:bottom w:val="single" w:sz="8" w:space="0" w:color="auto"/>
              <w:right w:val="nil"/>
            </w:tcBorders>
            <w:shd w:val="clear" w:color="000000" w:fill="FFFFFF"/>
            <w:vAlign w:val="center"/>
            <w:hideMark/>
          </w:tcPr>
          <w:p w14:paraId="0F4F3D61"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Groom</w:t>
            </w:r>
          </w:p>
        </w:tc>
        <w:tc>
          <w:tcPr>
            <w:tcW w:w="1079" w:type="dxa"/>
            <w:tcBorders>
              <w:top w:val="single" w:sz="8" w:space="0" w:color="auto"/>
              <w:left w:val="nil"/>
              <w:bottom w:val="single" w:sz="8" w:space="0" w:color="auto"/>
              <w:right w:val="nil"/>
            </w:tcBorders>
            <w:shd w:val="clear" w:color="000000" w:fill="FFFFFF"/>
            <w:vAlign w:val="center"/>
            <w:hideMark/>
          </w:tcPr>
          <w:p w14:paraId="6DF27E4A"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Immob</w:t>
            </w:r>
          </w:p>
        </w:tc>
        <w:tc>
          <w:tcPr>
            <w:tcW w:w="1079" w:type="dxa"/>
            <w:tcBorders>
              <w:top w:val="single" w:sz="8" w:space="0" w:color="auto"/>
              <w:left w:val="nil"/>
              <w:bottom w:val="single" w:sz="8" w:space="0" w:color="auto"/>
              <w:right w:val="single" w:sz="8" w:space="0" w:color="auto"/>
            </w:tcBorders>
            <w:shd w:val="clear" w:color="000000" w:fill="FFFFFF"/>
            <w:vAlign w:val="center"/>
            <w:hideMark/>
          </w:tcPr>
          <w:p w14:paraId="0AE3D03D" w14:textId="77777777" w:rsidR="0077533C" w:rsidRPr="006C26F6" w:rsidRDefault="0077533C" w:rsidP="00FA1014">
            <w:pPr>
              <w:spacing w:before="0" w:after="0"/>
              <w:jc w:val="right"/>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Submis</w:t>
            </w:r>
          </w:p>
        </w:tc>
      </w:tr>
      <w:tr w:rsidR="0077533C" w:rsidRPr="006C26F6" w14:paraId="5BC42C53" w14:textId="77777777" w:rsidTr="00FA1014">
        <w:trPr>
          <w:trHeight w:val="282"/>
        </w:trPr>
        <w:tc>
          <w:tcPr>
            <w:tcW w:w="1081" w:type="dxa"/>
            <w:vMerge w:val="restart"/>
            <w:tcBorders>
              <w:top w:val="single" w:sz="8" w:space="0" w:color="auto"/>
              <w:left w:val="single" w:sz="8" w:space="0" w:color="auto"/>
              <w:bottom w:val="single" w:sz="8" w:space="0" w:color="000000"/>
              <w:right w:val="nil"/>
            </w:tcBorders>
            <w:shd w:val="clear" w:color="000000" w:fill="E0E0E0"/>
            <w:vAlign w:val="center"/>
            <w:hideMark/>
          </w:tcPr>
          <w:p w14:paraId="1E35E0D6"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TOA</w:t>
            </w:r>
          </w:p>
        </w:tc>
        <w:tc>
          <w:tcPr>
            <w:tcW w:w="1100" w:type="dxa"/>
            <w:tcBorders>
              <w:top w:val="single" w:sz="8" w:space="0" w:color="auto"/>
              <w:left w:val="nil"/>
              <w:bottom w:val="single" w:sz="4" w:space="0" w:color="auto"/>
              <w:right w:val="nil"/>
            </w:tcBorders>
            <w:shd w:val="clear" w:color="auto" w:fill="auto"/>
            <w:vAlign w:val="center"/>
            <w:hideMark/>
          </w:tcPr>
          <w:p w14:paraId="13FF3734"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40F587F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8" w:type="dxa"/>
            <w:tcBorders>
              <w:top w:val="nil"/>
              <w:left w:val="nil"/>
              <w:bottom w:val="nil"/>
              <w:right w:val="nil"/>
            </w:tcBorders>
            <w:shd w:val="clear" w:color="000000" w:fill="FFFFFF"/>
            <w:vAlign w:val="center"/>
            <w:hideMark/>
          </w:tcPr>
          <w:p w14:paraId="266E639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0,185</w:t>
            </w:r>
          </w:p>
        </w:tc>
        <w:tc>
          <w:tcPr>
            <w:tcW w:w="1078" w:type="dxa"/>
            <w:tcBorders>
              <w:top w:val="nil"/>
              <w:left w:val="nil"/>
              <w:bottom w:val="nil"/>
              <w:right w:val="nil"/>
            </w:tcBorders>
            <w:shd w:val="clear" w:color="000000" w:fill="FFFFFF"/>
            <w:vAlign w:val="center"/>
            <w:hideMark/>
          </w:tcPr>
          <w:p w14:paraId="73EFE65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0,302</w:t>
            </w:r>
          </w:p>
        </w:tc>
        <w:tc>
          <w:tcPr>
            <w:tcW w:w="1078" w:type="dxa"/>
            <w:tcBorders>
              <w:top w:val="nil"/>
              <w:left w:val="nil"/>
              <w:bottom w:val="single" w:sz="4" w:space="0" w:color="auto"/>
              <w:right w:val="nil"/>
            </w:tcBorders>
            <w:shd w:val="clear" w:color="000000" w:fill="FFFFFF"/>
            <w:vAlign w:val="center"/>
            <w:hideMark/>
          </w:tcPr>
          <w:p w14:paraId="556521F9"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0,27</w:t>
            </w:r>
          </w:p>
        </w:tc>
        <w:tc>
          <w:tcPr>
            <w:tcW w:w="1079" w:type="dxa"/>
            <w:tcBorders>
              <w:top w:val="nil"/>
              <w:left w:val="nil"/>
              <w:bottom w:val="single" w:sz="4" w:space="0" w:color="auto"/>
              <w:right w:val="nil"/>
            </w:tcBorders>
            <w:shd w:val="clear" w:color="000000" w:fill="FFFFFF"/>
            <w:vAlign w:val="center"/>
            <w:hideMark/>
          </w:tcPr>
          <w:p w14:paraId="23D54379"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0,096</w:t>
            </w:r>
          </w:p>
        </w:tc>
        <w:tc>
          <w:tcPr>
            <w:tcW w:w="1079" w:type="dxa"/>
            <w:tcBorders>
              <w:top w:val="nil"/>
              <w:left w:val="nil"/>
              <w:bottom w:val="single" w:sz="4" w:space="0" w:color="auto"/>
              <w:right w:val="nil"/>
            </w:tcBorders>
            <w:shd w:val="clear" w:color="000000" w:fill="FFFFFF"/>
            <w:vAlign w:val="center"/>
            <w:hideMark/>
          </w:tcPr>
          <w:p w14:paraId="478A2FA8"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0,504</w:t>
            </w:r>
          </w:p>
        </w:tc>
        <w:tc>
          <w:tcPr>
            <w:tcW w:w="1079" w:type="dxa"/>
            <w:tcBorders>
              <w:top w:val="nil"/>
              <w:left w:val="nil"/>
              <w:bottom w:val="single" w:sz="4" w:space="0" w:color="auto"/>
              <w:right w:val="single" w:sz="8" w:space="0" w:color="auto"/>
            </w:tcBorders>
            <w:shd w:val="clear" w:color="000000" w:fill="FFFFFF"/>
            <w:vAlign w:val="center"/>
            <w:hideMark/>
          </w:tcPr>
          <w:p w14:paraId="1B530A7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-0,173</w:t>
            </w:r>
          </w:p>
        </w:tc>
      </w:tr>
      <w:tr w:rsidR="0077533C" w:rsidRPr="006C26F6" w14:paraId="7D6D4884" w14:textId="77777777" w:rsidTr="00FA1014">
        <w:trPr>
          <w:trHeight w:val="282"/>
        </w:trPr>
        <w:tc>
          <w:tcPr>
            <w:tcW w:w="1081" w:type="dxa"/>
            <w:vMerge/>
            <w:tcBorders>
              <w:top w:val="single" w:sz="8" w:space="0" w:color="auto"/>
              <w:left w:val="single" w:sz="8" w:space="0" w:color="auto"/>
              <w:bottom w:val="single" w:sz="8" w:space="0" w:color="000000"/>
              <w:right w:val="nil"/>
            </w:tcBorders>
            <w:vAlign w:val="center"/>
            <w:hideMark/>
          </w:tcPr>
          <w:p w14:paraId="0FE54A7E"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6A676B2F"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1C87D8BF"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8" w:type="dxa"/>
            <w:tcBorders>
              <w:top w:val="single" w:sz="4" w:space="0" w:color="auto"/>
              <w:left w:val="nil"/>
              <w:bottom w:val="single" w:sz="4" w:space="0" w:color="auto"/>
              <w:right w:val="nil"/>
            </w:tcBorders>
            <w:shd w:val="clear" w:color="000000" w:fill="FFFFFF"/>
            <w:vAlign w:val="center"/>
            <w:hideMark/>
          </w:tcPr>
          <w:p w14:paraId="2292D5B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0,375</w:t>
            </w:r>
          </w:p>
        </w:tc>
        <w:tc>
          <w:tcPr>
            <w:tcW w:w="1078" w:type="dxa"/>
            <w:tcBorders>
              <w:top w:val="single" w:sz="4" w:space="0" w:color="auto"/>
              <w:left w:val="nil"/>
              <w:bottom w:val="single" w:sz="4" w:space="0" w:color="auto"/>
              <w:right w:val="nil"/>
            </w:tcBorders>
            <w:shd w:val="clear" w:color="000000" w:fill="FFFFFF"/>
            <w:vAlign w:val="center"/>
            <w:hideMark/>
          </w:tcPr>
          <w:p w14:paraId="761E1F3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0,142</w:t>
            </w:r>
          </w:p>
        </w:tc>
        <w:tc>
          <w:tcPr>
            <w:tcW w:w="1078" w:type="dxa"/>
            <w:tcBorders>
              <w:top w:val="nil"/>
              <w:left w:val="nil"/>
              <w:bottom w:val="single" w:sz="4" w:space="0" w:color="auto"/>
              <w:right w:val="nil"/>
            </w:tcBorders>
            <w:shd w:val="clear" w:color="000000" w:fill="FFFFFF"/>
            <w:vAlign w:val="center"/>
            <w:hideMark/>
          </w:tcPr>
          <w:p w14:paraId="7C9FF789"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0,192</w:t>
            </w:r>
          </w:p>
        </w:tc>
        <w:tc>
          <w:tcPr>
            <w:tcW w:w="1079" w:type="dxa"/>
            <w:tcBorders>
              <w:top w:val="nil"/>
              <w:left w:val="nil"/>
              <w:bottom w:val="single" w:sz="4" w:space="0" w:color="auto"/>
              <w:right w:val="nil"/>
            </w:tcBorders>
            <w:shd w:val="clear" w:color="000000" w:fill="FFFFFF"/>
            <w:vAlign w:val="center"/>
            <w:hideMark/>
          </w:tcPr>
          <w:p w14:paraId="1FE8477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0,648</w:t>
            </w:r>
          </w:p>
        </w:tc>
        <w:tc>
          <w:tcPr>
            <w:tcW w:w="1079" w:type="dxa"/>
            <w:tcBorders>
              <w:top w:val="nil"/>
              <w:left w:val="nil"/>
              <w:bottom w:val="single" w:sz="4" w:space="0" w:color="auto"/>
              <w:right w:val="nil"/>
            </w:tcBorders>
            <w:shd w:val="clear" w:color="000000" w:fill="FFFFFF"/>
            <w:vAlign w:val="center"/>
            <w:hideMark/>
          </w:tcPr>
          <w:p w14:paraId="2D0A947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w:t>
            </w:r>
          </w:p>
        </w:tc>
        <w:tc>
          <w:tcPr>
            <w:tcW w:w="1079" w:type="dxa"/>
            <w:tcBorders>
              <w:top w:val="nil"/>
              <w:left w:val="nil"/>
              <w:bottom w:val="single" w:sz="4" w:space="0" w:color="auto"/>
              <w:right w:val="single" w:sz="8" w:space="0" w:color="auto"/>
            </w:tcBorders>
            <w:shd w:val="clear" w:color="000000" w:fill="FFFFFF"/>
            <w:vAlign w:val="center"/>
            <w:hideMark/>
          </w:tcPr>
          <w:p w14:paraId="09EDA8B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0,409</w:t>
            </w:r>
          </w:p>
        </w:tc>
      </w:tr>
      <w:tr w:rsidR="0077533C" w:rsidRPr="006C26F6" w14:paraId="1B188084" w14:textId="77777777" w:rsidTr="00FA1014">
        <w:trPr>
          <w:trHeight w:val="300"/>
        </w:trPr>
        <w:tc>
          <w:tcPr>
            <w:tcW w:w="1081" w:type="dxa"/>
            <w:vMerge/>
            <w:tcBorders>
              <w:top w:val="single" w:sz="8" w:space="0" w:color="auto"/>
              <w:left w:val="single" w:sz="8" w:space="0" w:color="auto"/>
              <w:bottom w:val="single" w:sz="8" w:space="0" w:color="000000"/>
              <w:right w:val="nil"/>
            </w:tcBorders>
            <w:vAlign w:val="center"/>
            <w:hideMark/>
          </w:tcPr>
          <w:p w14:paraId="6483F553"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35675748"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588C2EB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14E9CA6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680583D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369EB29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0135C6D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0718D46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5E987DA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1C5A966C"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1606FCDB"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Dips</w:t>
            </w:r>
          </w:p>
        </w:tc>
        <w:tc>
          <w:tcPr>
            <w:tcW w:w="1100" w:type="dxa"/>
            <w:tcBorders>
              <w:top w:val="nil"/>
              <w:left w:val="nil"/>
              <w:bottom w:val="single" w:sz="4" w:space="0" w:color="auto"/>
              <w:right w:val="nil"/>
            </w:tcBorders>
            <w:shd w:val="clear" w:color="auto" w:fill="auto"/>
            <w:vAlign w:val="center"/>
            <w:hideMark/>
          </w:tcPr>
          <w:p w14:paraId="251F1A2D"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353C082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0,185</w:t>
            </w:r>
          </w:p>
        </w:tc>
        <w:tc>
          <w:tcPr>
            <w:tcW w:w="1078" w:type="dxa"/>
            <w:tcBorders>
              <w:top w:val="nil"/>
              <w:left w:val="nil"/>
              <w:bottom w:val="single" w:sz="4" w:space="0" w:color="auto"/>
              <w:right w:val="nil"/>
            </w:tcBorders>
            <w:shd w:val="clear" w:color="000000" w:fill="FFFFFF"/>
            <w:vAlign w:val="center"/>
            <w:hideMark/>
          </w:tcPr>
          <w:p w14:paraId="5B12089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8" w:type="dxa"/>
            <w:tcBorders>
              <w:top w:val="nil"/>
              <w:left w:val="nil"/>
              <w:bottom w:val="single" w:sz="4" w:space="0" w:color="auto"/>
              <w:right w:val="nil"/>
            </w:tcBorders>
            <w:shd w:val="clear" w:color="000000" w:fill="FFFFFF"/>
            <w:vAlign w:val="center"/>
            <w:hideMark/>
          </w:tcPr>
          <w:p w14:paraId="5DE0D183"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0,421</w:t>
            </w:r>
          </w:p>
        </w:tc>
        <w:tc>
          <w:tcPr>
            <w:tcW w:w="1078" w:type="dxa"/>
            <w:tcBorders>
              <w:top w:val="nil"/>
              <w:left w:val="nil"/>
              <w:bottom w:val="single" w:sz="4" w:space="0" w:color="auto"/>
              <w:right w:val="nil"/>
            </w:tcBorders>
            <w:shd w:val="clear" w:color="000000" w:fill="FFFFFF"/>
            <w:vAlign w:val="center"/>
            <w:hideMark/>
          </w:tcPr>
          <w:p w14:paraId="14D2791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-0,323</w:t>
            </w:r>
          </w:p>
        </w:tc>
        <w:tc>
          <w:tcPr>
            <w:tcW w:w="1079" w:type="dxa"/>
            <w:tcBorders>
              <w:top w:val="nil"/>
              <w:left w:val="nil"/>
              <w:bottom w:val="single" w:sz="4" w:space="0" w:color="auto"/>
              <w:right w:val="nil"/>
            </w:tcBorders>
            <w:shd w:val="clear" w:color="000000" w:fill="FFFFFF"/>
            <w:vAlign w:val="center"/>
            <w:hideMark/>
          </w:tcPr>
          <w:p w14:paraId="697B38E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-0,365</w:t>
            </w:r>
          </w:p>
        </w:tc>
        <w:tc>
          <w:tcPr>
            <w:tcW w:w="1079" w:type="dxa"/>
            <w:tcBorders>
              <w:top w:val="nil"/>
              <w:left w:val="nil"/>
              <w:bottom w:val="single" w:sz="4" w:space="0" w:color="auto"/>
              <w:right w:val="nil"/>
            </w:tcBorders>
            <w:shd w:val="clear" w:color="000000" w:fill="FFFFFF"/>
            <w:vAlign w:val="center"/>
            <w:hideMark/>
          </w:tcPr>
          <w:p w14:paraId="374394F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0,05</w:t>
            </w:r>
          </w:p>
        </w:tc>
        <w:tc>
          <w:tcPr>
            <w:tcW w:w="1079" w:type="dxa"/>
            <w:tcBorders>
              <w:top w:val="nil"/>
              <w:left w:val="nil"/>
              <w:bottom w:val="single" w:sz="4" w:space="0" w:color="auto"/>
              <w:right w:val="single" w:sz="8" w:space="0" w:color="auto"/>
            </w:tcBorders>
            <w:shd w:val="clear" w:color="000000" w:fill="FFFFFF"/>
            <w:vAlign w:val="center"/>
            <w:hideMark/>
          </w:tcPr>
          <w:p w14:paraId="36B6C2C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-0,001</w:t>
            </w:r>
          </w:p>
        </w:tc>
      </w:tr>
      <w:tr w:rsidR="0077533C" w:rsidRPr="006C26F6" w14:paraId="42B63ADF"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5A497012"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4E5D3D47"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6A04A55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0,375</w:t>
            </w:r>
          </w:p>
        </w:tc>
        <w:tc>
          <w:tcPr>
            <w:tcW w:w="1078" w:type="dxa"/>
            <w:tcBorders>
              <w:top w:val="nil"/>
              <w:left w:val="nil"/>
              <w:bottom w:val="single" w:sz="4" w:space="0" w:color="auto"/>
              <w:right w:val="nil"/>
            </w:tcBorders>
            <w:shd w:val="clear" w:color="000000" w:fill="FFFFFF"/>
            <w:vAlign w:val="center"/>
            <w:hideMark/>
          </w:tcPr>
          <w:p w14:paraId="4F4888B9"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8" w:type="dxa"/>
            <w:tcBorders>
              <w:top w:val="nil"/>
              <w:left w:val="nil"/>
              <w:bottom w:val="single" w:sz="4" w:space="0" w:color="auto"/>
              <w:right w:val="nil"/>
            </w:tcBorders>
            <w:shd w:val="clear" w:color="000000" w:fill="FFFFFF"/>
            <w:vAlign w:val="center"/>
            <w:hideMark/>
          </w:tcPr>
          <w:p w14:paraId="2CB1F3E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0,036</w:t>
            </w:r>
          </w:p>
        </w:tc>
        <w:tc>
          <w:tcPr>
            <w:tcW w:w="1078" w:type="dxa"/>
            <w:tcBorders>
              <w:top w:val="nil"/>
              <w:left w:val="nil"/>
              <w:bottom w:val="single" w:sz="4" w:space="0" w:color="auto"/>
              <w:right w:val="nil"/>
            </w:tcBorders>
            <w:shd w:val="clear" w:color="000000" w:fill="FFFFFF"/>
            <w:vAlign w:val="center"/>
            <w:hideMark/>
          </w:tcPr>
          <w:p w14:paraId="41E7B95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0,116</w:t>
            </w:r>
          </w:p>
        </w:tc>
        <w:tc>
          <w:tcPr>
            <w:tcW w:w="1079" w:type="dxa"/>
            <w:tcBorders>
              <w:top w:val="nil"/>
              <w:left w:val="nil"/>
              <w:bottom w:val="nil"/>
              <w:right w:val="nil"/>
            </w:tcBorders>
            <w:shd w:val="clear" w:color="000000" w:fill="FFFFFF"/>
            <w:vAlign w:val="center"/>
            <w:hideMark/>
          </w:tcPr>
          <w:p w14:paraId="71BD39A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0,073</w:t>
            </w:r>
          </w:p>
        </w:tc>
        <w:tc>
          <w:tcPr>
            <w:tcW w:w="1079" w:type="dxa"/>
            <w:tcBorders>
              <w:top w:val="nil"/>
              <w:left w:val="nil"/>
              <w:bottom w:val="single" w:sz="4" w:space="0" w:color="auto"/>
              <w:right w:val="nil"/>
            </w:tcBorders>
            <w:shd w:val="clear" w:color="000000" w:fill="FFFFFF"/>
            <w:vAlign w:val="center"/>
            <w:hideMark/>
          </w:tcPr>
          <w:p w14:paraId="035ABF9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0,814</w:t>
            </w:r>
          </w:p>
        </w:tc>
        <w:tc>
          <w:tcPr>
            <w:tcW w:w="1079" w:type="dxa"/>
            <w:tcBorders>
              <w:top w:val="nil"/>
              <w:left w:val="nil"/>
              <w:bottom w:val="single" w:sz="4" w:space="0" w:color="auto"/>
              <w:right w:val="single" w:sz="8" w:space="0" w:color="auto"/>
            </w:tcBorders>
            <w:shd w:val="clear" w:color="000000" w:fill="FFFFFF"/>
            <w:vAlign w:val="center"/>
            <w:hideMark/>
          </w:tcPr>
          <w:p w14:paraId="4B742B8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0,996</w:t>
            </w:r>
          </w:p>
        </w:tc>
      </w:tr>
      <w:tr w:rsidR="0077533C" w:rsidRPr="006C26F6" w14:paraId="3594179D"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63FD67A2"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0B7D9DE7"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6D1F578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666E6B4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35165F5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3653FFD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single" w:sz="4" w:space="0" w:color="auto"/>
              <w:left w:val="nil"/>
              <w:bottom w:val="single" w:sz="8" w:space="0" w:color="auto"/>
              <w:right w:val="nil"/>
            </w:tcBorders>
            <w:shd w:val="clear" w:color="000000" w:fill="FFFFFF"/>
            <w:vAlign w:val="center"/>
            <w:hideMark/>
          </w:tcPr>
          <w:p w14:paraId="4F8BC62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403CE21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7AB9663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593047AD"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0D5AB9C8"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CPP</w:t>
            </w:r>
          </w:p>
        </w:tc>
        <w:tc>
          <w:tcPr>
            <w:tcW w:w="1100" w:type="dxa"/>
            <w:tcBorders>
              <w:top w:val="nil"/>
              <w:left w:val="nil"/>
              <w:bottom w:val="single" w:sz="4" w:space="0" w:color="auto"/>
              <w:right w:val="nil"/>
            </w:tcBorders>
            <w:shd w:val="clear" w:color="auto" w:fill="auto"/>
            <w:vAlign w:val="center"/>
            <w:hideMark/>
          </w:tcPr>
          <w:p w14:paraId="6C95D5AA"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4B32DAC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0,302</w:t>
            </w:r>
          </w:p>
        </w:tc>
        <w:tc>
          <w:tcPr>
            <w:tcW w:w="1078" w:type="dxa"/>
            <w:tcBorders>
              <w:top w:val="nil"/>
              <w:left w:val="nil"/>
              <w:bottom w:val="single" w:sz="4" w:space="0" w:color="auto"/>
              <w:right w:val="nil"/>
            </w:tcBorders>
            <w:shd w:val="clear" w:color="000000" w:fill="FFFFFF"/>
            <w:vAlign w:val="center"/>
            <w:hideMark/>
          </w:tcPr>
          <w:p w14:paraId="7901215F"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0,421</w:t>
            </w:r>
          </w:p>
        </w:tc>
        <w:tc>
          <w:tcPr>
            <w:tcW w:w="1078" w:type="dxa"/>
            <w:tcBorders>
              <w:top w:val="nil"/>
              <w:left w:val="nil"/>
              <w:bottom w:val="single" w:sz="4" w:space="0" w:color="auto"/>
              <w:right w:val="nil"/>
            </w:tcBorders>
            <w:shd w:val="clear" w:color="000000" w:fill="FFFFFF"/>
            <w:vAlign w:val="center"/>
            <w:hideMark/>
          </w:tcPr>
          <w:p w14:paraId="3B6A221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8" w:type="dxa"/>
            <w:tcBorders>
              <w:top w:val="nil"/>
              <w:left w:val="nil"/>
              <w:bottom w:val="nil"/>
              <w:right w:val="nil"/>
            </w:tcBorders>
            <w:shd w:val="clear" w:color="000000" w:fill="FFFFFF"/>
            <w:vAlign w:val="center"/>
            <w:hideMark/>
          </w:tcPr>
          <w:p w14:paraId="71AB7BE3"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-0,393</w:t>
            </w:r>
          </w:p>
        </w:tc>
        <w:tc>
          <w:tcPr>
            <w:tcW w:w="1079" w:type="dxa"/>
            <w:tcBorders>
              <w:top w:val="nil"/>
              <w:left w:val="nil"/>
              <w:bottom w:val="single" w:sz="4" w:space="0" w:color="auto"/>
              <w:right w:val="nil"/>
            </w:tcBorders>
            <w:shd w:val="clear" w:color="000000" w:fill="FFFFFF"/>
            <w:vAlign w:val="center"/>
            <w:hideMark/>
          </w:tcPr>
          <w:p w14:paraId="5ABCACF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0,006</w:t>
            </w:r>
          </w:p>
        </w:tc>
        <w:tc>
          <w:tcPr>
            <w:tcW w:w="1079" w:type="dxa"/>
            <w:tcBorders>
              <w:top w:val="nil"/>
              <w:left w:val="nil"/>
              <w:bottom w:val="single" w:sz="4" w:space="0" w:color="auto"/>
              <w:right w:val="nil"/>
            </w:tcBorders>
            <w:shd w:val="clear" w:color="000000" w:fill="FFFFFF"/>
            <w:vAlign w:val="center"/>
            <w:hideMark/>
          </w:tcPr>
          <w:p w14:paraId="1345A47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0,013</w:t>
            </w:r>
          </w:p>
        </w:tc>
        <w:tc>
          <w:tcPr>
            <w:tcW w:w="1079" w:type="dxa"/>
            <w:tcBorders>
              <w:top w:val="nil"/>
              <w:left w:val="nil"/>
              <w:bottom w:val="single" w:sz="4" w:space="0" w:color="auto"/>
              <w:right w:val="single" w:sz="8" w:space="0" w:color="auto"/>
            </w:tcBorders>
            <w:shd w:val="clear" w:color="000000" w:fill="FFFFFF"/>
            <w:vAlign w:val="center"/>
            <w:hideMark/>
          </w:tcPr>
          <w:p w14:paraId="71C2CC9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-0,014</w:t>
            </w:r>
          </w:p>
        </w:tc>
      </w:tr>
      <w:tr w:rsidR="0077533C" w:rsidRPr="006C26F6" w14:paraId="288214D4"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2C3A8AF2"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5CF12A3F"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2AEEA5E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0,142</w:t>
            </w:r>
          </w:p>
        </w:tc>
        <w:tc>
          <w:tcPr>
            <w:tcW w:w="1078" w:type="dxa"/>
            <w:tcBorders>
              <w:top w:val="nil"/>
              <w:left w:val="nil"/>
              <w:bottom w:val="nil"/>
              <w:right w:val="nil"/>
            </w:tcBorders>
            <w:shd w:val="clear" w:color="000000" w:fill="FFFFFF"/>
            <w:vAlign w:val="center"/>
            <w:hideMark/>
          </w:tcPr>
          <w:p w14:paraId="205F61C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0,036</w:t>
            </w:r>
          </w:p>
        </w:tc>
        <w:tc>
          <w:tcPr>
            <w:tcW w:w="1078" w:type="dxa"/>
            <w:tcBorders>
              <w:top w:val="nil"/>
              <w:left w:val="nil"/>
              <w:bottom w:val="single" w:sz="4" w:space="0" w:color="auto"/>
              <w:right w:val="nil"/>
            </w:tcBorders>
            <w:shd w:val="clear" w:color="000000" w:fill="FFFFFF"/>
            <w:vAlign w:val="center"/>
            <w:hideMark/>
          </w:tcPr>
          <w:p w14:paraId="0637582E"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8" w:type="dxa"/>
            <w:tcBorders>
              <w:top w:val="single" w:sz="4" w:space="0" w:color="auto"/>
              <w:left w:val="nil"/>
              <w:bottom w:val="single" w:sz="4" w:space="0" w:color="auto"/>
              <w:right w:val="nil"/>
            </w:tcBorders>
            <w:shd w:val="clear" w:color="000000" w:fill="FFFFFF"/>
            <w:vAlign w:val="center"/>
            <w:hideMark/>
          </w:tcPr>
          <w:p w14:paraId="143E8F5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0,05</w:t>
            </w:r>
          </w:p>
        </w:tc>
        <w:tc>
          <w:tcPr>
            <w:tcW w:w="1079" w:type="dxa"/>
            <w:tcBorders>
              <w:top w:val="nil"/>
              <w:left w:val="nil"/>
              <w:bottom w:val="single" w:sz="4" w:space="0" w:color="auto"/>
              <w:right w:val="nil"/>
            </w:tcBorders>
            <w:shd w:val="clear" w:color="000000" w:fill="FFFFFF"/>
            <w:vAlign w:val="center"/>
            <w:hideMark/>
          </w:tcPr>
          <w:p w14:paraId="3F0EB48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0,977</w:t>
            </w:r>
          </w:p>
        </w:tc>
        <w:tc>
          <w:tcPr>
            <w:tcW w:w="1079" w:type="dxa"/>
            <w:tcBorders>
              <w:top w:val="nil"/>
              <w:left w:val="nil"/>
              <w:bottom w:val="single" w:sz="4" w:space="0" w:color="auto"/>
              <w:right w:val="nil"/>
            </w:tcBorders>
            <w:shd w:val="clear" w:color="000000" w:fill="FFFFFF"/>
            <w:vAlign w:val="center"/>
            <w:hideMark/>
          </w:tcPr>
          <w:p w14:paraId="3230A5C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0,951</w:t>
            </w:r>
          </w:p>
        </w:tc>
        <w:tc>
          <w:tcPr>
            <w:tcW w:w="1079" w:type="dxa"/>
            <w:tcBorders>
              <w:top w:val="nil"/>
              <w:left w:val="nil"/>
              <w:bottom w:val="single" w:sz="4" w:space="0" w:color="auto"/>
              <w:right w:val="single" w:sz="8" w:space="0" w:color="auto"/>
            </w:tcBorders>
            <w:shd w:val="clear" w:color="000000" w:fill="FFFFFF"/>
            <w:vAlign w:val="center"/>
            <w:hideMark/>
          </w:tcPr>
          <w:p w14:paraId="0F541A4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0,947</w:t>
            </w:r>
          </w:p>
        </w:tc>
      </w:tr>
      <w:tr w:rsidR="0077533C" w:rsidRPr="006C26F6" w14:paraId="2307D352"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2165D179"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5A21DB3C"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5FE4633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single" w:sz="4" w:space="0" w:color="auto"/>
              <w:left w:val="nil"/>
              <w:bottom w:val="single" w:sz="8" w:space="0" w:color="auto"/>
              <w:right w:val="nil"/>
            </w:tcBorders>
            <w:shd w:val="clear" w:color="000000" w:fill="FFFFFF"/>
            <w:vAlign w:val="center"/>
            <w:hideMark/>
          </w:tcPr>
          <w:p w14:paraId="57BE12D6"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31E572E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4A752B7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0C10FBC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0298A83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3579F70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695BB8B9"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7E42A53C"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ISI</w:t>
            </w:r>
          </w:p>
        </w:tc>
        <w:tc>
          <w:tcPr>
            <w:tcW w:w="1100" w:type="dxa"/>
            <w:tcBorders>
              <w:top w:val="nil"/>
              <w:left w:val="nil"/>
              <w:bottom w:val="single" w:sz="4" w:space="0" w:color="auto"/>
              <w:right w:val="nil"/>
            </w:tcBorders>
            <w:shd w:val="clear" w:color="auto" w:fill="auto"/>
            <w:vAlign w:val="center"/>
            <w:hideMark/>
          </w:tcPr>
          <w:p w14:paraId="5DC9F4B1"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27BD1AE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0,27</w:t>
            </w:r>
          </w:p>
        </w:tc>
        <w:tc>
          <w:tcPr>
            <w:tcW w:w="1078" w:type="dxa"/>
            <w:tcBorders>
              <w:top w:val="nil"/>
              <w:left w:val="nil"/>
              <w:bottom w:val="single" w:sz="4" w:space="0" w:color="auto"/>
              <w:right w:val="nil"/>
            </w:tcBorders>
            <w:shd w:val="clear" w:color="000000" w:fill="FFFFFF"/>
            <w:vAlign w:val="center"/>
            <w:hideMark/>
          </w:tcPr>
          <w:p w14:paraId="1CBE837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-0,323</w:t>
            </w:r>
          </w:p>
        </w:tc>
        <w:tc>
          <w:tcPr>
            <w:tcW w:w="1078" w:type="dxa"/>
            <w:tcBorders>
              <w:top w:val="nil"/>
              <w:left w:val="nil"/>
              <w:bottom w:val="nil"/>
              <w:right w:val="nil"/>
            </w:tcBorders>
            <w:shd w:val="clear" w:color="000000" w:fill="FFFFFF"/>
            <w:vAlign w:val="center"/>
            <w:hideMark/>
          </w:tcPr>
          <w:p w14:paraId="53C51FE6"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-0,393</w:t>
            </w:r>
          </w:p>
        </w:tc>
        <w:tc>
          <w:tcPr>
            <w:tcW w:w="1078" w:type="dxa"/>
            <w:tcBorders>
              <w:top w:val="nil"/>
              <w:left w:val="nil"/>
              <w:bottom w:val="nil"/>
              <w:right w:val="nil"/>
            </w:tcBorders>
            <w:shd w:val="clear" w:color="000000" w:fill="FFFFFF"/>
            <w:vAlign w:val="center"/>
            <w:hideMark/>
          </w:tcPr>
          <w:p w14:paraId="4C65ADF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9" w:type="dxa"/>
            <w:tcBorders>
              <w:top w:val="nil"/>
              <w:left w:val="nil"/>
              <w:bottom w:val="nil"/>
              <w:right w:val="nil"/>
            </w:tcBorders>
            <w:shd w:val="clear" w:color="000000" w:fill="FFFFFF"/>
            <w:vAlign w:val="center"/>
            <w:hideMark/>
          </w:tcPr>
          <w:p w14:paraId="73CEEC4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0,096</w:t>
            </w:r>
          </w:p>
        </w:tc>
        <w:tc>
          <w:tcPr>
            <w:tcW w:w="1079" w:type="dxa"/>
            <w:tcBorders>
              <w:top w:val="nil"/>
              <w:left w:val="nil"/>
              <w:bottom w:val="single" w:sz="4" w:space="0" w:color="auto"/>
              <w:right w:val="nil"/>
            </w:tcBorders>
            <w:shd w:val="clear" w:color="000000" w:fill="FFFFFF"/>
            <w:vAlign w:val="center"/>
            <w:hideMark/>
          </w:tcPr>
          <w:p w14:paraId="644AADE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0,027</w:t>
            </w:r>
          </w:p>
        </w:tc>
        <w:tc>
          <w:tcPr>
            <w:tcW w:w="1079" w:type="dxa"/>
            <w:tcBorders>
              <w:top w:val="nil"/>
              <w:left w:val="nil"/>
              <w:bottom w:val="single" w:sz="4" w:space="0" w:color="auto"/>
              <w:right w:val="single" w:sz="8" w:space="0" w:color="auto"/>
            </w:tcBorders>
            <w:shd w:val="clear" w:color="000000" w:fill="FFFFFF"/>
            <w:vAlign w:val="center"/>
            <w:hideMark/>
          </w:tcPr>
          <w:p w14:paraId="1FFDDEDE"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-0,403</w:t>
            </w:r>
          </w:p>
        </w:tc>
      </w:tr>
      <w:tr w:rsidR="0077533C" w:rsidRPr="006C26F6" w14:paraId="2983F325"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7ECA7562"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38062B2F"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5FB38A3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0,192</w:t>
            </w:r>
          </w:p>
        </w:tc>
        <w:tc>
          <w:tcPr>
            <w:tcW w:w="1078" w:type="dxa"/>
            <w:tcBorders>
              <w:top w:val="nil"/>
              <w:left w:val="nil"/>
              <w:bottom w:val="single" w:sz="4" w:space="0" w:color="auto"/>
              <w:right w:val="nil"/>
            </w:tcBorders>
            <w:shd w:val="clear" w:color="000000" w:fill="FFFFFF"/>
            <w:vAlign w:val="center"/>
            <w:hideMark/>
          </w:tcPr>
          <w:p w14:paraId="05C9EED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0,116</w:t>
            </w:r>
          </w:p>
        </w:tc>
        <w:tc>
          <w:tcPr>
            <w:tcW w:w="1078" w:type="dxa"/>
            <w:tcBorders>
              <w:top w:val="single" w:sz="4" w:space="0" w:color="auto"/>
              <w:left w:val="nil"/>
              <w:bottom w:val="single" w:sz="4" w:space="0" w:color="auto"/>
              <w:right w:val="nil"/>
            </w:tcBorders>
            <w:shd w:val="clear" w:color="000000" w:fill="FFFFFF"/>
            <w:vAlign w:val="center"/>
            <w:hideMark/>
          </w:tcPr>
          <w:p w14:paraId="2EDBA06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0,05</w:t>
            </w:r>
          </w:p>
        </w:tc>
        <w:tc>
          <w:tcPr>
            <w:tcW w:w="1078" w:type="dxa"/>
            <w:tcBorders>
              <w:top w:val="single" w:sz="4" w:space="0" w:color="auto"/>
              <w:left w:val="nil"/>
              <w:bottom w:val="single" w:sz="4" w:space="0" w:color="auto"/>
              <w:right w:val="nil"/>
            </w:tcBorders>
            <w:shd w:val="clear" w:color="000000" w:fill="FFFFFF"/>
            <w:vAlign w:val="center"/>
            <w:hideMark/>
          </w:tcPr>
          <w:p w14:paraId="3AA5F034"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9" w:type="dxa"/>
            <w:tcBorders>
              <w:top w:val="single" w:sz="4" w:space="0" w:color="auto"/>
              <w:left w:val="nil"/>
              <w:bottom w:val="single" w:sz="4" w:space="0" w:color="auto"/>
              <w:right w:val="nil"/>
            </w:tcBorders>
            <w:shd w:val="clear" w:color="000000" w:fill="FFFFFF"/>
            <w:vAlign w:val="center"/>
            <w:hideMark/>
          </w:tcPr>
          <w:p w14:paraId="0AFCD1B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0,647</w:t>
            </w:r>
          </w:p>
        </w:tc>
        <w:tc>
          <w:tcPr>
            <w:tcW w:w="1079" w:type="dxa"/>
            <w:tcBorders>
              <w:top w:val="nil"/>
              <w:left w:val="nil"/>
              <w:bottom w:val="single" w:sz="4" w:space="0" w:color="auto"/>
              <w:right w:val="nil"/>
            </w:tcBorders>
            <w:shd w:val="clear" w:color="000000" w:fill="FFFFFF"/>
            <w:vAlign w:val="center"/>
            <w:hideMark/>
          </w:tcPr>
          <w:p w14:paraId="2006E0C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0,899</w:t>
            </w:r>
          </w:p>
        </w:tc>
        <w:tc>
          <w:tcPr>
            <w:tcW w:w="1079" w:type="dxa"/>
            <w:tcBorders>
              <w:top w:val="nil"/>
              <w:left w:val="nil"/>
              <w:bottom w:val="single" w:sz="4" w:space="0" w:color="auto"/>
              <w:right w:val="single" w:sz="8" w:space="0" w:color="auto"/>
            </w:tcBorders>
            <w:shd w:val="clear" w:color="000000" w:fill="FFFFFF"/>
            <w:vAlign w:val="center"/>
            <w:hideMark/>
          </w:tcPr>
          <w:p w14:paraId="42EA171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0,046</w:t>
            </w:r>
          </w:p>
        </w:tc>
      </w:tr>
      <w:tr w:rsidR="0077533C" w:rsidRPr="006C26F6" w14:paraId="1EEEDDB9"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4613919B"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77C5C5DD"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7944B85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5C6050E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760C4E0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511B92B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29D8DE6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7FD8364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24A667F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19F71651"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4CBCD321"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Groom</w:t>
            </w:r>
          </w:p>
        </w:tc>
        <w:tc>
          <w:tcPr>
            <w:tcW w:w="1100" w:type="dxa"/>
            <w:tcBorders>
              <w:top w:val="nil"/>
              <w:left w:val="nil"/>
              <w:bottom w:val="single" w:sz="4" w:space="0" w:color="auto"/>
              <w:right w:val="nil"/>
            </w:tcBorders>
            <w:shd w:val="clear" w:color="auto" w:fill="auto"/>
            <w:vAlign w:val="center"/>
            <w:hideMark/>
          </w:tcPr>
          <w:p w14:paraId="02FC796D"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nil"/>
              <w:right w:val="nil"/>
            </w:tcBorders>
            <w:shd w:val="clear" w:color="000000" w:fill="FFFFFF"/>
            <w:vAlign w:val="center"/>
            <w:hideMark/>
          </w:tcPr>
          <w:p w14:paraId="2ACAF54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0,096</w:t>
            </w:r>
          </w:p>
        </w:tc>
        <w:tc>
          <w:tcPr>
            <w:tcW w:w="1078" w:type="dxa"/>
            <w:tcBorders>
              <w:top w:val="nil"/>
              <w:left w:val="nil"/>
              <w:bottom w:val="nil"/>
              <w:right w:val="nil"/>
            </w:tcBorders>
            <w:shd w:val="clear" w:color="000000" w:fill="FFFFFF"/>
            <w:vAlign w:val="center"/>
            <w:hideMark/>
          </w:tcPr>
          <w:p w14:paraId="47319FB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-0,365</w:t>
            </w:r>
          </w:p>
        </w:tc>
        <w:tc>
          <w:tcPr>
            <w:tcW w:w="1078" w:type="dxa"/>
            <w:tcBorders>
              <w:top w:val="nil"/>
              <w:left w:val="nil"/>
              <w:bottom w:val="nil"/>
              <w:right w:val="nil"/>
            </w:tcBorders>
            <w:shd w:val="clear" w:color="000000" w:fill="FFFFFF"/>
            <w:vAlign w:val="center"/>
            <w:hideMark/>
          </w:tcPr>
          <w:p w14:paraId="55C8C296"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0,006</w:t>
            </w:r>
          </w:p>
        </w:tc>
        <w:tc>
          <w:tcPr>
            <w:tcW w:w="1078" w:type="dxa"/>
            <w:tcBorders>
              <w:top w:val="nil"/>
              <w:left w:val="nil"/>
              <w:bottom w:val="nil"/>
              <w:right w:val="nil"/>
            </w:tcBorders>
            <w:shd w:val="clear" w:color="000000" w:fill="FFFFFF"/>
            <w:vAlign w:val="center"/>
            <w:hideMark/>
          </w:tcPr>
          <w:p w14:paraId="11DDDA8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0,096</w:t>
            </w:r>
          </w:p>
        </w:tc>
        <w:tc>
          <w:tcPr>
            <w:tcW w:w="1079" w:type="dxa"/>
            <w:tcBorders>
              <w:top w:val="nil"/>
              <w:left w:val="nil"/>
              <w:bottom w:val="nil"/>
              <w:right w:val="nil"/>
            </w:tcBorders>
            <w:shd w:val="clear" w:color="000000" w:fill="FFFFFF"/>
            <w:vAlign w:val="center"/>
            <w:hideMark/>
          </w:tcPr>
          <w:p w14:paraId="0715EF79"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9" w:type="dxa"/>
            <w:tcBorders>
              <w:top w:val="nil"/>
              <w:left w:val="nil"/>
              <w:bottom w:val="single" w:sz="4" w:space="0" w:color="auto"/>
              <w:right w:val="nil"/>
            </w:tcBorders>
            <w:shd w:val="clear" w:color="000000" w:fill="FFFFFF"/>
            <w:vAlign w:val="center"/>
            <w:hideMark/>
          </w:tcPr>
          <w:p w14:paraId="6F90BAC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0,163</w:t>
            </w:r>
          </w:p>
        </w:tc>
        <w:tc>
          <w:tcPr>
            <w:tcW w:w="1079" w:type="dxa"/>
            <w:tcBorders>
              <w:top w:val="nil"/>
              <w:left w:val="nil"/>
              <w:bottom w:val="single" w:sz="4" w:space="0" w:color="auto"/>
              <w:right w:val="single" w:sz="8" w:space="0" w:color="auto"/>
            </w:tcBorders>
            <w:shd w:val="clear" w:color="000000" w:fill="FFFFFF"/>
            <w:vAlign w:val="center"/>
            <w:hideMark/>
          </w:tcPr>
          <w:p w14:paraId="1E5ABC5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0,148</w:t>
            </w:r>
          </w:p>
        </w:tc>
      </w:tr>
      <w:tr w:rsidR="0077533C" w:rsidRPr="006C26F6" w14:paraId="399A576C"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371FDF51"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5CC7019D"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single" w:sz="4" w:space="0" w:color="auto"/>
              <w:left w:val="nil"/>
              <w:bottom w:val="single" w:sz="4" w:space="0" w:color="auto"/>
              <w:right w:val="nil"/>
            </w:tcBorders>
            <w:shd w:val="clear" w:color="000000" w:fill="FFFFFF"/>
            <w:vAlign w:val="center"/>
            <w:hideMark/>
          </w:tcPr>
          <w:p w14:paraId="5995C00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0,648</w:t>
            </w:r>
          </w:p>
        </w:tc>
        <w:tc>
          <w:tcPr>
            <w:tcW w:w="1078" w:type="dxa"/>
            <w:tcBorders>
              <w:top w:val="single" w:sz="4" w:space="0" w:color="auto"/>
              <w:left w:val="nil"/>
              <w:bottom w:val="single" w:sz="4" w:space="0" w:color="auto"/>
              <w:right w:val="nil"/>
            </w:tcBorders>
            <w:shd w:val="clear" w:color="000000" w:fill="FFFFFF"/>
            <w:vAlign w:val="center"/>
            <w:hideMark/>
          </w:tcPr>
          <w:p w14:paraId="60F5684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0,073</w:t>
            </w:r>
          </w:p>
        </w:tc>
        <w:tc>
          <w:tcPr>
            <w:tcW w:w="1078" w:type="dxa"/>
            <w:tcBorders>
              <w:top w:val="single" w:sz="4" w:space="0" w:color="auto"/>
              <w:left w:val="nil"/>
              <w:bottom w:val="single" w:sz="4" w:space="0" w:color="auto"/>
              <w:right w:val="nil"/>
            </w:tcBorders>
            <w:shd w:val="clear" w:color="000000" w:fill="FFFFFF"/>
            <w:vAlign w:val="center"/>
            <w:hideMark/>
          </w:tcPr>
          <w:p w14:paraId="41AF009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0,977</w:t>
            </w:r>
          </w:p>
        </w:tc>
        <w:tc>
          <w:tcPr>
            <w:tcW w:w="1078" w:type="dxa"/>
            <w:tcBorders>
              <w:top w:val="single" w:sz="4" w:space="0" w:color="auto"/>
              <w:left w:val="nil"/>
              <w:bottom w:val="single" w:sz="4" w:space="0" w:color="auto"/>
              <w:right w:val="nil"/>
            </w:tcBorders>
            <w:shd w:val="clear" w:color="000000" w:fill="FFFFFF"/>
            <w:vAlign w:val="center"/>
            <w:hideMark/>
          </w:tcPr>
          <w:p w14:paraId="71B606D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0,647</w:t>
            </w:r>
          </w:p>
        </w:tc>
        <w:tc>
          <w:tcPr>
            <w:tcW w:w="1079" w:type="dxa"/>
            <w:tcBorders>
              <w:top w:val="single" w:sz="4" w:space="0" w:color="auto"/>
              <w:left w:val="nil"/>
              <w:bottom w:val="single" w:sz="4" w:space="0" w:color="auto"/>
              <w:right w:val="nil"/>
            </w:tcBorders>
            <w:shd w:val="clear" w:color="000000" w:fill="FFFFFF"/>
            <w:vAlign w:val="center"/>
            <w:hideMark/>
          </w:tcPr>
          <w:p w14:paraId="6F31D845"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9" w:type="dxa"/>
            <w:tcBorders>
              <w:top w:val="nil"/>
              <w:left w:val="nil"/>
              <w:bottom w:val="single" w:sz="4" w:space="0" w:color="auto"/>
              <w:right w:val="nil"/>
            </w:tcBorders>
            <w:shd w:val="clear" w:color="000000" w:fill="FFFFFF"/>
            <w:vAlign w:val="center"/>
            <w:hideMark/>
          </w:tcPr>
          <w:p w14:paraId="6642D1A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0,436</w:t>
            </w:r>
          </w:p>
        </w:tc>
        <w:tc>
          <w:tcPr>
            <w:tcW w:w="1079" w:type="dxa"/>
            <w:tcBorders>
              <w:top w:val="nil"/>
              <w:left w:val="nil"/>
              <w:bottom w:val="single" w:sz="4" w:space="0" w:color="auto"/>
              <w:right w:val="single" w:sz="8" w:space="0" w:color="auto"/>
            </w:tcBorders>
            <w:shd w:val="clear" w:color="000000" w:fill="FFFFFF"/>
            <w:vAlign w:val="center"/>
            <w:hideMark/>
          </w:tcPr>
          <w:p w14:paraId="2C7257A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0,48</w:t>
            </w:r>
          </w:p>
        </w:tc>
      </w:tr>
      <w:tr w:rsidR="0077533C" w:rsidRPr="006C26F6" w14:paraId="5DB4CA2E"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7118A053"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58CB850A"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12BBB84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46989DD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67EBD6C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5D9ABD4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145BF66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2707B9D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6E701A7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796C01ED"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7BBD3D52"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Immob</w:t>
            </w:r>
          </w:p>
        </w:tc>
        <w:tc>
          <w:tcPr>
            <w:tcW w:w="1100" w:type="dxa"/>
            <w:tcBorders>
              <w:top w:val="nil"/>
              <w:left w:val="nil"/>
              <w:bottom w:val="single" w:sz="4" w:space="0" w:color="auto"/>
              <w:right w:val="nil"/>
            </w:tcBorders>
            <w:shd w:val="clear" w:color="auto" w:fill="auto"/>
            <w:vAlign w:val="center"/>
            <w:hideMark/>
          </w:tcPr>
          <w:p w14:paraId="25E6613C"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122D0AC0"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0,504</w:t>
            </w:r>
          </w:p>
        </w:tc>
        <w:tc>
          <w:tcPr>
            <w:tcW w:w="1078" w:type="dxa"/>
            <w:tcBorders>
              <w:top w:val="nil"/>
              <w:left w:val="nil"/>
              <w:bottom w:val="single" w:sz="4" w:space="0" w:color="auto"/>
              <w:right w:val="nil"/>
            </w:tcBorders>
            <w:shd w:val="clear" w:color="000000" w:fill="FFFFFF"/>
            <w:vAlign w:val="center"/>
            <w:hideMark/>
          </w:tcPr>
          <w:p w14:paraId="650213F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0,05</w:t>
            </w:r>
          </w:p>
        </w:tc>
        <w:tc>
          <w:tcPr>
            <w:tcW w:w="1078" w:type="dxa"/>
            <w:tcBorders>
              <w:top w:val="nil"/>
              <w:left w:val="nil"/>
              <w:bottom w:val="single" w:sz="4" w:space="0" w:color="auto"/>
              <w:right w:val="nil"/>
            </w:tcBorders>
            <w:shd w:val="clear" w:color="000000" w:fill="FFFFFF"/>
            <w:vAlign w:val="center"/>
            <w:hideMark/>
          </w:tcPr>
          <w:p w14:paraId="1BC47E4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0,013</w:t>
            </w:r>
          </w:p>
        </w:tc>
        <w:tc>
          <w:tcPr>
            <w:tcW w:w="1078" w:type="dxa"/>
            <w:tcBorders>
              <w:top w:val="nil"/>
              <w:left w:val="nil"/>
              <w:bottom w:val="single" w:sz="4" w:space="0" w:color="auto"/>
              <w:right w:val="nil"/>
            </w:tcBorders>
            <w:shd w:val="clear" w:color="000000" w:fill="FFFFFF"/>
            <w:vAlign w:val="center"/>
            <w:hideMark/>
          </w:tcPr>
          <w:p w14:paraId="5C2DA00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0,027</w:t>
            </w:r>
          </w:p>
        </w:tc>
        <w:tc>
          <w:tcPr>
            <w:tcW w:w="1079" w:type="dxa"/>
            <w:tcBorders>
              <w:top w:val="nil"/>
              <w:left w:val="nil"/>
              <w:bottom w:val="single" w:sz="4" w:space="0" w:color="auto"/>
              <w:right w:val="nil"/>
            </w:tcBorders>
            <w:shd w:val="clear" w:color="000000" w:fill="FFFFFF"/>
            <w:vAlign w:val="center"/>
            <w:hideMark/>
          </w:tcPr>
          <w:p w14:paraId="5D60B01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0,163</w:t>
            </w:r>
          </w:p>
        </w:tc>
        <w:tc>
          <w:tcPr>
            <w:tcW w:w="1079" w:type="dxa"/>
            <w:tcBorders>
              <w:top w:val="nil"/>
              <w:left w:val="nil"/>
              <w:bottom w:val="single" w:sz="4" w:space="0" w:color="auto"/>
              <w:right w:val="nil"/>
            </w:tcBorders>
            <w:shd w:val="clear" w:color="000000" w:fill="FFFFFF"/>
            <w:vAlign w:val="center"/>
            <w:hideMark/>
          </w:tcPr>
          <w:p w14:paraId="614F444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c>
          <w:tcPr>
            <w:tcW w:w="1079" w:type="dxa"/>
            <w:tcBorders>
              <w:top w:val="nil"/>
              <w:left w:val="nil"/>
              <w:bottom w:val="single" w:sz="4" w:space="0" w:color="auto"/>
              <w:right w:val="single" w:sz="8" w:space="0" w:color="auto"/>
            </w:tcBorders>
            <w:shd w:val="clear" w:color="000000" w:fill="FFFFFF"/>
            <w:vAlign w:val="center"/>
            <w:hideMark/>
          </w:tcPr>
          <w:p w14:paraId="38FA67C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0,182</w:t>
            </w:r>
          </w:p>
        </w:tc>
      </w:tr>
      <w:tr w:rsidR="0077533C" w:rsidRPr="006C26F6" w14:paraId="176F2519"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3F92C99F"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7D4DC195"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2B0875C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w:t>
            </w:r>
          </w:p>
        </w:tc>
        <w:tc>
          <w:tcPr>
            <w:tcW w:w="1078" w:type="dxa"/>
            <w:tcBorders>
              <w:top w:val="nil"/>
              <w:left w:val="nil"/>
              <w:bottom w:val="single" w:sz="4" w:space="0" w:color="auto"/>
              <w:right w:val="nil"/>
            </w:tcBorders>
            <w:shd w:val="clear" w:color="000000" w:fill="FFFFFF"/>
            <w:vAlign w:val="center"/>
            <w:hideMark/>
          </w:tcPr>
          <w:p w14:paraId="7E9A3411"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0,814</w:t>
            </w:r>
          </w:p>
        </w:tc>
        <w:tc>
          <w:tcPr>
            <w:tcW w:w="1078" w:type="dxa"/>
            <w:tcBorders>
              <w:top w:val="nil"/>
              <w:left w:val="nil"/>
              <w:bottom w:val="single" w:sz="4" w:space="0" w:color="auto"/>
              <w:right w:val="nil"/>
            </w:tcBorders>
            <w:shd w:val="clear" w:color="000000" w:fill="FFFFFF"/>
            <w:vAlign w:val="center"/>
            <w:hideMark/>
          </w:tcPr>
          <w:p w14:paraId="7CCC70E6"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0,951</w:t>
            </w:r>
          </w:p>
        </w:tc>
        <w:tc>
          <w:tcPr>
            <w:tcW w:w="1078" w:type="dxa"/>
            <w:tcBorders>
              <w:top w:val="nil"/>
              <w:left w:val="nil"/>
              <w:bottom w:val="single" w:sz="4" w:space="0" w:color="auto"/>
              <w:right w:val="nil"/>
            </w:tcBorders>
            <w:shd w:val="clear" w:color="000000" w:fill="FFFFFF"/>
            <w:vAlign w:val="center"/>
            <w:hideMark/>
          </w:tcPr>
          <w:p w14:paraId="4A142A2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0,899</w:t>
            </w:r>
          </w:p>
        </w:tc>
        <w:tc>
          <w:tcPr>
            <w:tcW w:w="1079" w:type="dxa"/>
            <w:tcBorders>
              <w:top w:val="nil"/>
              <w:left w:val="nil"/>
              <w:bottom w:val="single" w:sz="4" w:space="0" w:color="auto"/>
              <w:right w:val="nil"/>
            </w:tcBorders>
            <w:shd w:val="clear" w:color="000000" w:fill="FFFFFF"/>
            <w:vAlign w:val="center"/>
            <w:hideMark/>
          </w:tcPr>
          <w:p w14:paraId="02A20B1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0,436</w:t>
            </w:r>
          </w:p>
        </w:tc>
        <w:tc>
          <w:tcPr>
            <w:tcW w:w="1079" w:type="dxa"/>
            <w:tcBorders>
              <w:top w:val="nil"/>
              <w:left w:val="nil"/>
              <w:bottom w:val="single" w:sz="4" w:space="0" w:color="auto"/>
              <w:right w:val="nil"/>
            </w:tcBorders>
            <w:shd w:val="clear" w:color="000000" w:fill="FFFFFF"/>
            <w:vAlign w:val="center"/>
            <w:hideMark/>
          </w:tcPr>
          <w:p w14:paraId="1D901A92"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c>
          <w:tcPr>
            <w:tcW w:w="1079" w:type="dxa"/>
            <w:tcBorders>
              <w:top w:val="nil"/>
              <w:left w:val="nil"/>
              <w:bottom w:val="single" w:sz="4" w:space="0" w:color="auto"/>
              <w:right w:val="single" w:sz="8" w:space="0" w:color="auto"/>
            </w:tcBorders>
            <w:shd w:val="clear" w:color="000000" w:fill="FFFFFF"/>
            <w:vAlign w:val="center"/>
            <w:hideMark/>
          </w:tcPr>
          <w:p w14:paraId="3C5802C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0,384</w:t>
            </w:r>
          </w:p>
        </w:tc>
      </w:tr>
      <w:tr w:rsidR="0077533C" w:rsidRPr="006C26F6" w14:paraId="42A8FBA7"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1DEEE848"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7151CE79"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8" w:space="0" w:color="auto"/>
              <w:right w:val="nil"/>
            </w:tcBorders>
            <w:shd w:val="clear" w:color="000000" w:fill="FFFFFF"/>
            <w:vAlign w:val="center"/>
            <w:hideMark/>
          </w:tcPr>
          <w:p w14:paraId="6A6ADA4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2044222B"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70DF9FB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8" w:space="0" w:color="auto"/>
              <w:right w:val="nil"/>
            </w:tcBorders>
            <w:shd w:val="clear" w:color="000000" w:fill="FFFFFF"/>
            <w:vAlign w:val="center"/>
            <w:hideMark/>
          </w:tcPr>
          <w:p w14:paraId="4DFE1B7F"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2871BB0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nil"/>
            </w:tcBorders>
            <w:shd w:val="clear" w:color="000000" w:fill="FFFFFF"/>
            <w:vAlign w:val="center"/>
            <w:hideMark/>
          </w:tcPr>
          <w:p w14:paraId="2E20672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8" w:space="0" w:color="auto"/>
              <w:right w:val="single" w:sz="8" w:space="0" w:color="auto"/>
            </w:tcBorders>
            <w:shd w:val="clear" w:color="000000" w:fill="FFFFFF"/>
            <w:vAlign w:val="center"/>
            <w:hideMark/>
          </w:tcPr>
          <w:p w14:paraId="2C22808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r w:rsidR="0077533C" w:rsidRPr="006C26F6" w14:paraId="769AA046" w14:textId="77777777" w:rsidTr="00FA1014">
        <w:trPr>
          <w:trHeight w:val="282"/>
        </w:trPr>
        <w:tc>
          <w:tcPr>
            <w:tcW w:w="1081" w:type="dxa"/>
            <w:vMerge w:val="restart"/>
            <w:tcBorders>
              <w:top w:val="nil"/>
              <w:left w:val="single" w:sz="8" w:space="0" w:color="auto"/>
              <w:bottom w:val="single" w:sz="8" w:space="0" w:color="000000"/>
              <w:right w:val="nil"/>
            </w:tcBorders>
            <w:shd w:val="clear" w:color="000000" w:fill="E0E0E0"/>
            <w:vAlign w:val="center"/>
            <w:hideMark/>
          </w:tcPr>
          <w:p w14:paraId="67CB1C3E" w14:textId="77777777" w:rsidR="0077533C" w:rsidRPr="006C26F6" w:rsidRDefault="0077533C" w:rsidP="00FA1014">
            <w:pPr>
              <w:spacing w:before="0" w:after="0"/>
              <w:rPr>
                <w:rFonts w:ascii="Arial" w:eastAsia="Times New Roman" w:hAnsi="Arial" w:cs="Arial"/>
                <w:color w:val="264A60"/>
                <w:sz w:val="18"/>
                <w:szCs w:val="18"/>
                <w:lang w:val="es-ES" w:eastAsia="es-ES_tradnl"/>
              </w:rPr>
            </w:pPr>
            <w:r w:rsidRPr="006C26F6">
              <w:rPr>
                <w:rFonts w:ascii="Arial" w:eastAsia="Times New Roman" w:hAnsi="Arial" w:cs="Arial"/>
                <w:color w:val="264A60"/>
                <w:sz w:val="18"/>
                <w:szCs w:val="18"/>
                <w:lang w:val="es-ES" w:eastAsia="es-ES_tradnl"/>
              </w:rPr>
              <w:t>Submis</w:t>
            </w:r>
          </w:p>
        </w:tc>
        <w:tc>
          <w:tcPr>
            <w:tcW w:w="1100" w:type="dxa"/>
            <w:tcBorders>
              <w:top w:val="nil"/>
              <w:left w:val="nil"/>
              <w:bottom w:val="single" w:sz="4" w:space="0" w:color="auto"/>
              <w:right w:val="nil"/>
            </w:tcBorders>
            <w:shd w:val="clear" w:color="auto" w:fill="auto"/>
            <w:vAlign w:val="center"/>
            <w:hideMark/>
          </w:tcPr>
          <w:p w14:paraId="760769E9"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 xml:space="preserve">Pearson </w:t>
            </w:r>
          </w:p>
        </w:tc>
        <w:tc>
          <w:tcPr>
            <w:tcW w:w="1077" w:type="dxa"/>
            <w:tcBorders>
              <w:top w:val="nil"/>
              <w:left w:val="nil"/>
              <w:bottom w:val="single" w:sz="4" w:space="0" w:color="auto"/>
              <w:right w:val="nil"/>
            </w:tcBorders>
            <w:shd w:val="clear" w:color="000000" w:fill="FFFFFF"/>
            <w:vAlign w:val="center"/>
            <w:hideMark/>
          </w:tcPr>
          <w:p w14:paraId="1577055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-0,173</w:t>
            </w:r>
          </w:p>
        </w:tc>
        <w:tc>
          <w:tcPr>
            <w:tcW w:w="1078" w:type="dxa"/>
            <w:tcBorders>
              <w:top w:val="nil"/>
              <w:left w:val="nil"/>
              <w:bottom w:val="single" w:sz="4" w:space="0" w:color="auto"/>
              <w:right w:val="nil"/>
            </w:tcBorders>
            <w:shd w:val="clear" w:color="000000" w:fill="FFFFFF"/>
            <w:vAlign w:val="center"/>
            <w:hideMark/>
          </w:tcPr>
          <w:p w14:paraId="12155BB0"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-0,001</w:t>
            </w:r>
          </w:p>
        </w:tc>
        <w:tc>
          <w:tcPr>
            <w:tcW w:w="1078" w:type="dxa"/>
            <w:tcBorders>
              <w:top w:val="nil"/>
              <w:left w:val="nil"/>
              <w:bottom w:val="single" w:sz="4" w:space="0" w:color="auto"/>
              <w:right w:val="nil"/>
            </w:tcBorders>
            <w:shd w:val="clear" w:color="000000" w:fill="FFFFFF"/>
            <w:vAlign w:val="center"/>
            <w:hideMark/>
          </w:tcPr>
          <w:p w14:paraId="586B2A6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-0,014</w:t>
            </w:r>
          </w:p>
        </w:tc>
        <w:tc>
          <w:tcPr>
            <w:tcW w:w="1078" w:type="dxa"/>
            <w:tcBorders>
              <w:top w:val="nil"/>
              <w:left w:val="nil"/>
              <w:bottom w:val="single" w:sz="4" w:space="0" w:color="auto"/>
              <w:right w:val="nil"/>
            </w:tcBorders>
            <w:shd w:val="clear" w:color="000000" w:fill="FFFFFF"/>
            <w:vAlign w:val="center"/>
            <w:hideMark/>
          </w:tcPr>
          <w:p w14:paraId="2247A058" w14:textId="77777777" w:rsidR="0077533C" w:rsidRPr="006C26F6" w:rsidRDefault="0077533C" w:rsidP="00FA1014">
            <w:pPr>
              <w:spacing w:before="0" w:after="0"/>
              <w:jc w:val="right"/>
              <w:rPr>
                <w:rFonts w:ascii="Arial" w:eastAsia="Times New Roman" w:hAnsi="Arial" w:cs="Arial"/>
                <w:b/>
                <w:bCs/>
                <w:color w:val="010205"/>
                <w:sz w:val="18"/>
                <w:szCs w:val="18"/>
                <w:lang w:val="es-ES" w:eastAsia="es-ES_tradnl"/>
              </w:rPr>
            </w:pPr>
            <w:r w:rsidRPr="006C26F6">
              <w:rPr>
                <w:rFonts w:ascii="Arial" w:eastAsia="Times New Roman" w:hAnsi="Arial" w:cs="Arial"/>
                <w:b/>
                <w:bCs/>
                <w:color w:val="010205"/>
                <w:sz w:val="18"/>
                <w:szCs w:val="18"/>
                <w:lang w:val="es-ES" w:eastAsia="es-ES_tradnl"/>
              </w:rPr>
              <w:t>-0,403</w:t>
            </w:r>
          </w:p>
        </w:tc>
        <w:tc>
          <w:tcPr>
            <w:tcW w:w="1079" w:type="dxa"/>
            <w:tcBorders>
              <w:top w:val="nil"/>
              <w:left w:val="nil"/>
              <w:bottom w:val="single" w:sz="4" w:space="0" w:color="auto"/>
              <w:right w:val="nil"/>
            </w:tcBorders>
            <w:shd w:val="clear" w:color="000000" w:fill="FFFFFF"/>
            <w:vAlign w:val="center"/>
            <w:hideMark/>
          </w:tcPr>
          <w:p w14:paraId="30DF1667"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0,148</w:t>
            </w:r>
          </w:p>
        </w:tc>
        <w:tc>
          <w:tcPr>
            <w:tcW w:w="1079" w:type="dxa"/>
            <w:tcBorders>
              <w:top w:val="nil"/>
              <w:left w:val="nil"/>
              <w:bottom w:val="single" w:sz="4" w:space="0" w:color="auto"/>
              <w:right w:val="nil"/>
            </w:tcBorders>
            <w:shd w:val="clear" w:color="000000" w:fill="FFFFFF"/>
            <w:vAlign w:val="center"/>
            <w:hideMark/>
          </w:tcPr>
          <w:p w14:paraId="796B3D5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0,182</w:t>
            </w:r>
          </w:p>
        </w:tc>
        <w:tc>
          <w:tcPr>
            <w:tcW w:w="1079" w:type="dxa"/>
            <w:tcBorders>
              <w:top w:val="nil"/>
              <w:left w:val="nil"/>
              <w:bottom w:val="single" w:sz="4" w:space="0" w:color="auto"/>
              <w:right w:val="single" w:sz="8" w:space="0" w:color="auto"/>
            </w:tcBorders>
            <w:shd w:val="clear" w:color="000000" w:fill="FFFFFF"/>
            <w:vAlign w:val="center"/>
            <w:hideMark/>
          </w:tcPr>
          <w:p w14:paraId="221E11B9"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1</w:t>
            </w:r>
          </w:p>
        </w:tc>
      </w:tr>
      <w:tr w:rsidR="0077533C" w:rsidRPr="006C26F6" w14:paraId="25F1154B" w14:textId="77777777" w:rsidTr="00FA1014">
        <w:trPr>
          <w:trHeight w:val="282"/>
        </w:trPr>
        <w:tc>
          <w:tcPr>
            <w:tcW w:w="1081" w:type="dxa"/>
            <w:vMerge/>
            <w:tcBorders>
              <w:top w:val="nil"/>
              <w:left w:val="single" w:sz="8" w:space="0" w:color="auto"/>
              <w:bottom w:val="single" w:sz="8" w:space="0" w:color="000000"/>
              <w:right w:val="nil"/>
            </w:tcBorders>
            <w:vAlign w:val="center"/>
            <w:hideMark/>
          </w:tcPr>
          <w:p w14:paraId="250394DE"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4" w:space="0" w:color="auto"/>
              <w:right w:val="nil"/>
            </w:tcBorders>
            <w:shd w:val="clear" w:color="auto" w:fill="auto"/>
            <w:vAlign w:val="center"/>
            <w:hideMark/>
          </w:tcPr>
          <w:p w14:paraId="1572D0CF"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Significance</w:t>
            </w:r>
          </w:p>
        </w:tc>
        <w:tc>
          <w:tcPr>
            <w:tcW w:w="1077" w:type="dxa"/>
            <w:tcBorders>
              <w:top w:val="nil"/>
              <w:left w:val="nil"/>
              <w:bottom w:val="single" w:sz="4" w:space="0" w:color="auto"/>
              <w:right w:val="nil"/>
            </w:tcBorders>
            <w:shd w:val="clear" w:color="000000" w:fill="FFFFFF"/>
            <w:vAlign w:val="center"/>
            <w:hideMark/>
          </w:tcPr>
          <w:p w14:paraId="70C1459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0,409</w:t>
            </w:r>
          </w:p>
        </w:tc>
        <w:tc>
          <w:tcPr>
            <w:tcW w:w="1078" w:type="dxa"/>
            <w:tcBorders>
              <w:top w:val="nil"/>
              <w:left w:val="nil"/>
              <w:bottom w:val="single" w:sz="4" w:space="0" w:color="auto"/>
              <w:right w:val="nil"/>
            </w:tcBorders>
            <w:shd w:val="clear" w:color="000000" w:fill="FFFFFF"/>
            <w:vAlign w:val="center"/>
            <w:hideMark/>
          </w:tcPr>
          <w:p w14:paraId="41980BD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0,996</w:t>
            </w:r>
          </w:p>
        </w:tc>
        <w:tc>
          <w:tcPr>
            <w:tcW w:w="1078" w:type="dxa"/>
            <w:tcBorders>
              <w:top w:val="nil"/>
              <w:left w:val="nil"/>
              <w:bottom w:val="single" w:sz="4" w:space="0" w:color="auto"/>
              <w:right w:val="nil"/>
            </w:tcBorders>
            <w:shd w:val="clear" w:color="000000" w:fill="FFFFFF"/>
            <w:vAlign w:val="center"/>
            <w:hideMark/>
          </w:tcPr>
          <w:p w14:paraId="010A6045"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0,947</w:t>
            </w:r>
          </w:p>
        </w:tc>
        <w:tc>
          <w:tcPr>
            <w:tcW w:w="1078" w:type="dxa"/>
            <w:tcBorders>
              <w:top w:val="nil"/>
              <w:left w:val="nil"/>
              <w:bottom w:val="single" w:sz="4" w:space="0" w:color="auto"/>
              <w:right w:val="nil"/>
            </w:tcBorders>
            <w:shd w:val="clear" w:color="000000" w:fill="FFFFFF"/>
            <w:vAlign w:val="center"/>
            <w:hideMark/>
          </w:tcPr>
          <w:p w14:paraId="061BD68A"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0,046</w:t>
            </w:r>
          </w:p>
        </w:tc>
        <w:tc>
          <w:tcPr>
            <w:tcW w:w="1079" w:type="dxa"/>
            <w:tcBorders>
              <w:top w:val="nil"/>
              <w:left w:val="nil"/>
              <w:bottom w:val="single" w:sz="4" w:space="0" w:color="auto"/>
              <w:right w:val="nil"/>
            </w:tcBorders>
            <w:shd w:val="clear" w:color="000000" w:fill="FFFFFF"/>
            <w:vAlign w:val="center"/>
            <w:hideMark/>
          </w:tcPr>
          <w:p w14:paraId="75022AB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0,48</w:t>
            </w:r>
          </w:p>
        </w:tc>
        <w:tc>
          <w:tcPr>
            <w:tcW w:w="1079" w:type="dxa"/>
            <w:tcBorders>
              <w:top w:val="nil"/>
              <w:left w:val="nil"/>
              <w:bottom w:val="single" w:sz="4" w:space="0" w:color="auto"/>
              <w:right w:val="nil"/>
            </w:tcBorders>
            <w:shd w:val="clear" w:color="000000" w:fill="FFFFFF"/>
            <w:vAlign w:val="center"/>
            <w:hideMark/>
          </w:tcPr>
          <w:p w14:paraId="6F2CEDB3"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0,384</w:t>
            </w:r>
          </w:p>
        </w:tc>
        <w:tc>
          <w:tcPr>
            <w:tcW w:w="1079" w:type="dxa"/>
            <w:tcBorders>
              <w:top w:val="nil"/>
              <w:left w:val="nil"/>
              <w:bottom w:val="single" w:sz="4" w:space="0" w:color="auto"/>
              <w:right w:val="single" w:sz="8" w:space="0" w:color="auto"/>
            </w:tcBorders>
            <w:shd w:val="clear" w:color="000000" w:fill="FFFFFF"/>
            <w:vAlign w:val="center"/>
            <w:hideMark/>
          </w:tcPr>
          <w:p w14:paraId="29A7D05C" w14:textId="77777777" w:rsidR="0077533C" w:rsidRPr="006C26F6" w:rsidRDefault="0077533C" w:rsidP="00FA1014">
            <w:pPr>
              <w:spacing w:before="0" w:after="0"/>
              <w:rPr>
                <w:rFonts w:eastAsia="Times New Roman" w:cs="Times New Roman"/>
                <w:szCs w:val="24"/>
                <w:lang w:val="es-ES" w:eastAsia="es-ES_tradnl"/>
              </w:rPr>
            </w:pPr>
            <w:r w:rsidRPr="006C26F6">
              <w:rPr>
                <w:rFonts w:eastAsia="Times New Roman" w:cs="Times New Roman"/>
                <w:szCs w:val="24"/>
                <w:lang w:val="es-ES" w:eastAsia="es-ES_tradnl"/>
              </w:rPr>
              <w:t> </w:t>
            </w:r>
          </w:p>
        </w:tc>
      </w:tr>
      <w:tr w:rsidR="0077533C" w:rsidRPr="006C26F6" w14:paraId="74C9B7BA" w14:textId="77777777" w:rsidTr="00FA1014">
        <w:trPr>
          <w:trHeight w:val="300"/>
        </w:trPr>
        <w:tc>
          <w:tcPr>
            <w:tcW w:w="1081" w:type="dxa"/>
            <w:vMerge/>
            <w:tcBorders>
              <w:top w:val="nil"/>
              <w:left w:val="single" w:sz="8" w:space="0" w:color="auto"/>
              <w:bottom w:val="single" w:sz="8" w:space="0" w:color="000000"/>
              <w:right w:val="nil"/>
            </w:tcBorders>
            <w:vAlign w:val="center"/>
            <w:hideMark/>
          </w:tcPr>
          <w:p w14:paraId="2CCA96BE" w14:textId="77777777" w:rsidR="0077533C" w:rsidRPr="006C26F6" w:rsidRDefault="0077533C" w:rsidP="00FA1014">
            <w:pPr>
              <w:spacing w:before="0" w:after="0"/>
              <w:rPr>
                <w:rFonts w:ascii="Arial" w:eastAsia="Times New Roman" w:hAnsi="Arial" w:cs="Arial"/>
                <w:color w:val="264A60"/>
                <w:sz w:val="18"/>
                <w:szCs w:val="18"/>
                <w:lang w:val="es-ES" w:eastAsia="es-ES_tradnl"/>
              </w:rPr>
            </w:pPr>
          </w:p>
        </w:tc>
        <w:tc>
          <w:tcPr>
            <w:tcW w:w="1100" w:type="dxa"/>
            <w:tcBorders>
              <w:top w:val="nil"/>
              <w:left w:val="nil"/>
              <w:bottom w:val="single" w:sz="8" w:space="0" w:color="auto"/>
              <w:right w:val="nil"/>
            </w:tcBorders>
            <w:shd w:val="clear" w:color="auto" w:fill="auto"/>
            <w:vAlign w:val="center"/>
            <w:hideMark/>
          </w:tcPr>
          <w:p w14:paraId="7305CF36" w14:textId="77777777" w:rsidR="0077533C" w:rsidRPr="006C26F6" w:rsidRDefault="0077533C" w:rsidP="00FA1014">
            <w:pPr>
              <w:spacing w:before="0" w:after="0"/>
              <w:rPr>
                <w:rFonts w:ascii="Calibri" w:eastAsia="Times New Roman" w:hAnsi="Calibri" w:cs="Calibri"/>
                <w:color w:val="000000"/>
                <w:sz w:val="20"/>
                <w:szCs w:val="20"/>
                <w:lang w:val="es-ES" w:eastAsia="es-ES_tradnl"/>
              </w:rPr>
            </w:pPr>
            <w:r w:rsidRPr="006C26F6">
              <w:rPr>
                <w:rFonts w:ascii="Calibri" w:eastAsia="Times New Roman" w:hAnsi="Calibri" w:cs="Calibri"/>
                <w:color w:val="000000"/>
                <w:sz w:val="20"/>
                <w:szCs w:val="20"/>
                <w:lang w:val="es-ES" w:eastAsia="es-ES_tradnl"/>
              </w:rPr>
              <w:t>N</w:t>
            </w:r>
          </w:p>
        </w:tc>
        <w:tc>
          <w:tcPr>
            <w:tcW w:w="1077" w:type="dxa"/>
            <w:tcBorders>
              <w:top w:val="nil"/>
              <w:left w:val="nil"/>
              <w:bottom w:val="single" w:sz="4" w:space="0" w:color="auto"/>
              <w:right w:val="nil"/>
            </w:tcBorders>
            <w:shd w:val="clear" w:color="000000" w:fill="FFFFFF"/>
            <w:vAlign w:val="center"/>
            <w:hideMark/>
          </w:tcPr>
          <w:p w14:paraId="40EB42C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4" w:space="0" w:color="auto"/>
              <w:right w:val="nil"/>
            </w:tcBorders>
            <w:shd w:val="clear" w:color="000000" w:fill="FFFFFF"/>
            <w:vAlign w:val="center"/>
            <w:hideMark/>
          </w:tcPr>
          <w:p w14:paraId="1C6E99CD"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4" w:space="0" w:color="auto"/>
              <w:right w:val="nil"/>
            </w:tcBorders>
            <w:shd w:val="clear" w:color="000000" w:fill="FFFFFF"/>
            <w:vAlign w:val="center"/>
            <w:hideMark/>
          </w:tcPr>
          <w:p w14:paraId="5A0F1374"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8" w:type="dxa"/>
            <w:tcBorders>
              <w:top w:val="nil"/>
              <w:left w:val="nil"/>
              <w:bottom w:val="single" w:sz="4" w:space="0" w:color="auto"/>
              <w:right w:val="nil"/>
            </w:tcBorders>
            <w:shd w:val="clear" w:color="000000" w:fill="FFFFFF"/>
            <w:vAlign w:val="center"/>
            <w:hideMark/>
          </w:tcPr>
          <w:p w14:paraId="0F6A3C02"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4" w:space="0" w:color="auto"/>
              <w:right w:val="nil"/>
            </w:tcBorders>
            <w:shd w:val="clear" w:color="000000" w:fill="FFFFFF"/>
            <w:vAlign w:val="center"/>
            <w:hideMark/>
          </w:tcPr>
          <w:p w14:paraId="798CDDA8"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4" w:space="0" w:color="auto"/>
              <w:right w:val="nil"/>
            </w:tcBorders>
            <w:shd w:val="clear" w:color="000000" w:fill="FFFFFF"/>
            <w:vAlign w:val="center"/>
            <w:hideMark/>
          </w:tcPr>
          <w:p w14:paraId="2C207A6E"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c>
          <w:tcPr>
            <w:tcW w:w="1079" w:type="dxa"/>
            <w:tcBorders>
              <w:top w:val="nil"/>
              <w:left w:val="nil"/>
              <w:bottom w:val="single" w:sz="4" w:space="0" w:color="auto"/>
              <w:right w:val="single" w:sz="8" w:space="0" w:color="auto"/>
            </w:tcBorders>
            <w:shd w:val="clear" w:color="000000" w:fill="FFFFFF"/>
            <w:vAlign w:val="center"/>
            <w:hideMark/>
          </w:tcPr>
          <w:p w14:paraId="7505A64C" w14:textId="77777777" w:rsidR="0077533C" w:rsidRPr="006C26F6" w:rsidRDefault="0077533C" w:rsidP="00FA1014">
            <w:pPr>
              <w:spacing w:before="0" w:after="0"/>
              <w:jc w:val="right"/>
              <w:rPr>
                <w:rFonts w:ascii="Arial" w:eastAsia="Times New Roman" w:hAnsi="Arial" w:cs="Arial"/>
                <w:color w:val="010205"/>
                <w:sz w:val="18"/>
                <w:szCs w:val="18"/>
                <w:lang w:val="es-ES" w:eastAsia="es-ES_tradnl"/>
              </w:rPr>
            </w:pPr>
            <w:r w:rsidRPr="006C26F6">
              <w:rPr>
                <w:rFonts w:ascii="Arial" w:eastAsia="Times New Roman" w:hAnsi="Arial" w:cs="Arial"/>
                <w:color w:val="010205"/>
                <w:sz w:val="18"/>
                <w:szCs w:val="18"/>
                <w:lang w:val="es-ES" w:eastAsia="es-ES_tradnl"/>
              </w:rPr>
              <w:t>25</w:t>
            </w:r>
          </w:p>
        </w:tc>
      </w:tr>
    </w:tbl>
    <w:p w14:paraId="799A602A" w14:textId="1F2EA269" w:rsidR="0077533C" w:rsidRPr="00387832" w:rsidRDefault="0077533C" w:rsidP="0077533C">
      <w:pPr>
        <w:keepNext/>
        <w:rPr>
          <w:bCs/>
        </w:rPr>
      </w:pPr>
      <w:r w:rsidRPr="00643038">
        <w:rPr>
          <w:rFonts w:cs="Times New Roman"/>
          <w:b/>
          <w:szCs w:val="24"/>
        </w:rPr>
        <w:t xml:space="preserve">Supplementary </w:t>
      </w:r>
      <w:r>
        <w:rPr>
          <w:rFonts w:cs="Times New Roman"/>
          <w:b/>
          <w:szCs w:val="24"/>
        </w:rPr>
        <w:t>Table</w:t>
      </w:r>
      <w:r w:rsidRPr="00643038">
        <w:rPr>
          <w:rFonts w:cs="Times New Roman"/>
          <w:b/>
          <w:szCs w:val="24"/>
        </w:rPr>
        <w:t xml:space="preserve"> </w:t>
      </w:r>
      <w:r>
        <w:rPr>
          <w:rFonts w:cs="Times New Roman"/>
          <w:b/>
          <w:szCs w:val="24"/>
        </w:rPr>
        <w:t>1</w:t>
      </w:r>
      <w:r w:rsidRPr="00643038">
        <w:rPr>
          <w:rFonts w:cs="Times New Roman"/>
          <w:b/>
          <w:szCs w:val="24"/>
        </w:rPr>
        <w:t>.</w:t>
      </w:r>
      <w:r w:rsidRPr="00643038">
        <w:rPr>
          <w:rFonts w:cs="Times New Roman"/>
          <w:bCs/>
          <w:szCs w:val="24"/>
        </w:rPr>
        <w:t xml:space="preserve"> </w:t>
      </w:r>
      <w:r>
        <w:rPr>
          <w:bCs/>
        </w:rPr>
        <w:t>Pearson c</w:t>
      </w:r>
      <w:r w:rsidRPr="00813F22">
        <w:rPr>
          <w:bCs/>
        </w:rPr>
        <w:t>orrelations between measurements in the different behavioral tests</w:t>
      </w:r>
      <w:r>
        <w:rPr>
          <w:bCs/>
        </w:rPr>
        <w:t>. TOA: Percentage of time in the open arms of the Elevated plus maze. Dips: Number of dips in the Hole board test. CPP: Conditioned place preference score (Time spent in the drug-paired compartment in the Post-C minus the Pre-C). ISI: Index of social interaction in the Social interaction test. Groom: Frequency of grooming behavior in the Splash test. Immob: Time spent in immobility in</w:t>
      </w:r>
      <w:r w:rsidR="00387832">
        <w:rPr>
          <w:bCs/>
        </w:rPr>
        <w:t xml:space="preserve"> </w:t>
      </w:r>
      <w:bookmarkStart w:id="0" w:name="_GoBack"/>
      <w:bookmarkEnd w:id="0"/>
      <w:r>
        <w:rPr>
          <w:bCs/>
        </w:rPr>
        <w:lastRenderedPageBreak/>
        <w:t>the Tail suspension test. Submis: Time spent in submission in the first episode of social defeat. Bold values indicate statistical significance.</w:t>
      </w:r>
    </w:p>
    <w:p w14:paraId="35EB1DBE" w14:textId="17E0D50C" w:rsidR="00643038" w:rsidRDefault="00643038" w:rsidP="002B4A57">
      <w:pPr>
        <w:keepNext/>
        <w:rPr>
          <w:rFonts w:cs="Times New Roman"/>
          <w:bCs/>
          <w:szCs w:val="24"/>
        </w:rPr>
      </w:pPr>
    </w:p>
    <w:p w14:paraId="2759EABA" w14:textId="3F8EB258" w:rsidR="00643038" w:rsidRDefault="00643038" w:rsidP="002B4A57">
      <w:pPr>
        <w:keepNext/>
        <w:rPr>
          <w:rFonts w:cs="Times New Roman"/>
          <w:bCs/>
          <w:szCs w:val="24"/>
        </w:rPr>
      </w:pPr>
    </w:p>
    <w:p w14:paraId="605CAC77" w14:textId="5E512A8B" w:rsidR="00643038" w:rsidRDefault="00643038" w:rsidP="002B4A57">
      <w:pPr>
        <w:keepNext/>
        <w:rPr>
          <w:rFonts w:cs="Times New Roman"/>
          <w:bCs/>
          <w:szCs w:val="24"/>
        </w:rPr>
      </w:pPr>
    </w:p>
    <w:p w14:paraId="6ADA041D" w14:textId="48DCC2C6" w:rsidR="00643038" w:rsidRDefault="00643038" w:rsidP="002B4A57">
      <w:pPr>
        <w:keepNext/>
        <w:rPr>
          <w:rFonts w:cs="Times New Roman"/>
          <w:bCs/>
          <w:szCs w:val="24"/>
        </w:rPr>
      </w:pPr>
    </w:p>
    <w:p w14:paraId="5828F1AE" w14:textId="35CC928D" w:rsidR="00643038" w:rsidRDefault="00643038" w:rsidP="002B4A57">
      <w:pPr>
        <w:keepNext/>
        <w:rPr>
          <w:rFonts w:cs="Times New Roman"/>
          <w:bCs/>
          <w:szCs w:val="24"/>
        </w:rPr>
      </w:pPr>
    </w:p>
    <w:p w14:paraId="041F0C1C" w14:textId="36203C54" w:rsidR="00643038" w:rsidRDefault="00643038" w:rsidP="002B4A57">
      <w:pPr>
        <w:keepNext/>
        <w:rPr>
          <w:rFonts w:cs="Times New Roman"/>
          <w:bCs/>
          <w:szCs w:val="24"/>
        </w:rPr>
      </w:pPr>
    </w:p>
    <w:p w14:paraId="0DB73829" w14:textId="77777777" w:rsidR="00643038" w:rsidRPr="00643038" w:rsidRDefault="00643038" w:rsidP="002B4A57">
      <w:pPr>
        <w:keepNext/>
        <w:rPr>
          <w:rFonts w:cs="Times New Roman"/>
          <w:bCs/>
          <w:szCs w:val="24"/>
        </w:rPr>
      </w:pPr>
    </w:p>
    <w:p w14:paraId="7B65BC41" w14:textId="77777777" w:rsidR="00DE23E8" w:rsidRPr="001549D3" w:rsidRDefault="00DE23E8" w:rsidP="00654E8F">
      <w:pPr>
        <w:spacing w:before="240"/>
      </w:pPr>
    </w:p>
    <w:sectPr w:rsidR="00DE23E8" w:rsidRPr="001549D3" w:rsidSect="0093429D">
      <w:headerReference w:type="even" r:id="rId12"/>
      <w:footerReference w:type="even" r:id="rId13"/>
      <w:footerReference w:type="default" r:id="rId14"/>
      <w:headerReference w:type="first" r:id="rId15"/>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C8FE" w14:textId="77777777" w:rsidR="006C0CF1" w:rsidRDefault="006C0CF1" w:rsidP="00117666">
      <w:pPr>
        <w:spacing w:after="0"/>
      </w:pPr>
      <w:r>
        <w:separator/>
      </w:r>
    </w:p>
  </w:endnote>
  <w:endnote w:type="continuationSeparator" w:id="0">
    <w:p w14:paraId="74A92186" w14:textId="77777777" w:rsidR="006C0CF1" w:rsidRDefault="006C0CF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s-ES" w:eastAsia="es-ES"/>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s-ES" w:eastAsia="es-ES"/>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DFD04" w14:textId="77777777" w:rsidR="006C0CF1" w:rsidRDefault="006C0CF1" w:rsidP="00117666">
      <w:pPr>
        <w:spacing w:after="0"/>
      </w:pPr>
      <w:r>
        <w:separator/>
      </w:r>
    </w:p>
  </w:footnote>
  <w:footnote w:type="continuationSeparator" w:id="0">
    <w:p w14:paraId="7EAEDD42" w14:textId="77777777" w:rsidR="006C0CF1" w:rsidRDefault="006C0CF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s-ES" w:eastAsia="es-ES"/>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27DC"/>
    <w:rsid w:val="0001436A"/>
    <w:rsid w:val="00034304"/>
    <w:rsid w:val="00035434"/>
    <w:rsid w:val="00040B66"/>
    <w:rsid w:val="00052A14"/>
    <w:rsid w:val="00056F75"/>
    <w:rsid w:val="00077D53"/>
    <w:rsid w:val="000B760D"/>
    <w:rsid w:val="00105FD9"/>
    <w:rsid w:val="00117666"/>
    <w:rsid w:val="001549D3"/>
    <w:rsid w:val="00160065"/>
    <w:rsid w:val="00177D84"/>
    <w:rsid w:val="001A0F74"/>
    <w:rsid w:val="00212523"/>
    <w:rsid w:val="00267D18"/>
    <w:rsid w:val="00274347"/>
    <w:rsid w:val="002868E2"/>
    <w:rsid w:val="002869C3"/>
    <w:rsid w:val="002936E4"/>
    <w:rsid w:val="002B4A57"/>
    <w:rsid w:val="002B5A20"/>
    <w:rsid w:val="002C74CA"/>
    <w:rsid w:val="0030636B"/>
    <w:rsid w:val="003123F4"/>
    <w:rsid w:val="003544FB"/>
    <w:rsid w:val="00387832"/>
    <w:rsid w:val="003D2F2D"/>
    <w:rsid w:val="00401590"/>
    <w:rsid w:val="00447801"/>
    <w:rsid w:val="00452E9C"/>
    <w:rsid w:val="004735C8"/>
    <w:rsid w:val="00473758"/>
    <w:rsid w:val="004947A6"/>
    <w:rsid w:val="004961FF"/>
    <w:rsid w:val="00517A89"/>
    <w:rsid w:val="005250F2"/>
    <w:rsid w:val="00534E86"/>
    <w:rsid w:val="00593EEA"/>
    <w:rsid w:val="005A5EEE"/>
    <w:rsid w:val="005B6481"/>
    <w:rsid w:val="00623DD0"/>
    <w:rsid w:val="006375C7"/>
    <w:rsid w:val="00643038"/>
    <w:rsid w:val="00654E8F"/>
    <w:rsid w:val="00660D05"/>
    <w:rsid w:val="006820B1"/>
    <w:rsid w:val="006B7D14"/>
    <w:rsid w:val="006C0CF1"/>
    <w:rsid w:val="006C2575"/>
    <w:rsid w:val="006C26F6"/>
    <w:rsid w:val="00701727"/>
    <w:rsid w:val="0070566C"/>
    <w:rsid w:val="00714C50"/>
    <w:rsid w:val="00725A7D"/>
    <w:rsid w:val="007501BE"/>
    <w:rsid w:val="0077533C"/>
    <w:rsid w:val="00790BB3"/>
    <w:rsid w:val="00790EBE"/>
    <w:rsid w:val="007C206C"/>
    <w:rsid w:val="007C609A"/>
    <w:rsid w:val="00813F22"/>
    <w:rsid w:val="00817DD6"/>
    <w:rsid w:val="0083759F"/>
    <w:rsid w:val="00885156"/>
    <w:rsid w:val="008E26DF"/>
    <w:rsid w:val="009151AA"/>
    <w:rsid w:val="0093429D"/>
    <w:rsid w:val="00943573"/>
    <w:rsid w:val="00945E09"/>
    <w:rsid w:val="00964134"/>
    <w:rsid w:val="00970F7D"/>
    <w:rsid w:val="00977492"/>
    <w:rsid w:val="00994A3D"/>
    <w:rsid w:val="009B2CEC"/>
    <w:rsid w:val="009C2B12"/>
    <w:rsid w:val="00A04560"/>
    <w:rsid w:val="00A174D9"/>
    <w:rsid w:val="00A536D0"/>
    <w:rsid w:val="00AA4D24"/>
    <w:rsid w:val="00AB6715"/>
    <w:rsid w:val="00AD29D1"/>
    <w:rsid w:val="00B1671E"/>
    <w:rsid w:val="00B25EB8"/>
    <w:rsid w:val="00B37F4D"/>
    <w:rsid w:val="00C36D99"/>
    <w:rsid w:val="00C52A7B"/>
    <w:rsid w:val="00C56BAF"/>
    <w:rsid w:val="00C679AA"/>
    <w:rsid w:val="00C75972"/>
    <w:rsid w:val="00CD066B"/>
    <w:rsid w:val="00CE4FEE"/>
    <w:rsid w:val="00D060CF"/>
    <w:rsid w:val="00D17F6F"/>
    <w:rsid w:val="00DB59C3"/>
    <w:rsid w:val="00DC259A"/>
    <w:rsid w:val="00DE23E8"/>
    <w:rsid w:val="00E007C2"/>
    <w:rsid w:val="00E214BE"/>
    <w:rsid w:val="00E52377"/>
    <w:rsid w:val="00E537AD"/>
    <w:rsid w:val="00E64E17"/>
    <w:rsid w:val="00E866C9"/>
    <w:rsid w:val="00EA3D3C"/>
    <w:rsid w:val="00EC090A"/>
    <w:rsid w:val="00EC61EE"/>
    <w:rsid w:val="00ED20B5"/>
    <w:rsid w:val="00F46900"/>
    <w:rsid w:val="00F61D89"/>
    <w:rsid w:val="00FC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92712859-05D0-9440-AA58-C3562966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680740041">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9405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Users\sunsi\Dropbox\TFM%202018\Gra&#769;ficas%20TFM%20MA.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sunsi\Dropbox\articulos%20en%20preparacio&#769;n%202018\frontiers%20in%20neuroscience\paper%20mio\Fig.%20Sup.%203.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unsi\Dropbox\articulos%20en%20preparacio&#769;n%202018\frontiers%20in%20neuroscience\paper%20mio\Fig.%20Sup.%203.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unsi\Dropbox\articulos%20en%20preparacio&#769;n%202018\frontiers%20in%20neuroscience\paper%20mio\Fig.%20Sup.%203.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Arial" panose="020B0604020202020204" pitchFamily="34" charset="0"/>
              </a:defRPr>
            </a:pPr>
            <a:r>
              <a:rPr lang="es-ES" sz="1200">
                <a:solidFill>
                  <a:sysClr val="windowText" lastClr="000000"/>
                </a:solidFill>
                <a:latin typeface="+mn-lt"/>
                <a:cs typeface="Arial" panose="020B0604020202020204" pitchFamily="34" charset="0"/>
              </a:rPr>
              <a:t>CPP</a:t>
            </a:r>
            <a:r>
              <a:rPr lang="es-ES" sz="1200" baseline="0">
                <a:solidFill>
                  <a:sysClr val="windowText" lastClr="000000"/>
                </a:solidFill>
                <a:latin typeface="+mn-lt"/>
                <a:cs typeface="Arial" panose="020B0604020202020204" pitchFamily="34" charset="0"/>
              </a:rPr>
              <a:t> induced by cocaine (1 mg/kg)</a:t>
            </a:r>
            <a:endParaRPr lang="es-ES" sz="1200">
              <a:solidFill>
                <a:sysClr val="windowText" lastClr="000000"/>
              </a:solidFill>
              <a:latin typeface="+mn-lt"/>
              <a:cs typeface="Arial" panose="020B0604020202020204" pitchFamily="34" charset="0"/>
            </a:endParaRPr>
          </a:p>
        </c:rich>
      </c:tx>
      <c:overlay val="0"/>
      <c:spPr>
        <a:noFill/>
        <a:ln>
          <a:noFill/>
        </a:ln>
        <a:effectLst/>
      </c:spPr>
    </c:title>
    <c:autoTitleDeleted val="0"/>
    <c:plotArea>
      <c:layout>
        <c:manualLayout>
          <c:layoutTarget val="inner"/>
          <c:xMode val="edge"/>
          <c:yMode val="edge"/>
          <c:x val="0.11737532808398952"/>
          <c:y val="0.16712962962962963"/>
          <c:w val="0.8520691163604549"/>
          <c:h val="0.62949292796733747"/>
        </c:manualLayout>
      </c:layout>
      <c:barChart>
        <c:barDir val="col"/>
        <c:grouping val="clustered"/>
        <c:varyColors val="0"/>
        <c:ser>
          <c:idx val="0"/>
          <c:order val="0"/>
          <c:tx>
            <c:strRef>
              <c:f>'DSR CPL C-D'!$A$2</c:f>
              <c:strCache>
                <c:ptCount val="1"/>
                <c:pt idx="0">
                  <c:v>Pre-C</c:v>
                </c:pt>
              </c:strCache>
            </c:strRef>
          </c:tx>
          <c:spPr>
            <a:solidFill>
              <a:schemeClr val="bg1"/>
            </a:solidFill>
            <a:ln>
              <a:solidFill>
                <a:schemeClr val="tx1"/>
              </a:solidFill>
            </a:ln>
            <a:effectLst/>
          </c:spPr>
          <c:invertIfNegative val="0"/>
          <c:errBars>
            <c:errBarType val="plus"/>
            <c:errValType val="cust"/>
            <c:noEndCap val="0"/>
            <c:plus>
              <c:numRef>
                <c:f>'DSR CPL C-D'!$B$4:$C$4</c:f>
                <c:numCache>
                  <c:formatCode>General</c:formatCode>
                  <c:ptCount val="2"/>
                  <c:pt idx="0">
                    <c:v>17</c:v>
                  </c:pt>
                  <c:pt idx="1">
                    <c:v>13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'DSR CPL C-D'!$B$1:$C$1</c:f>
              <c:strCache>
                <c:ptCount val="2"/>
                <c:pt idx="0">
                  <c:v>CONTROL</c:v>
                </c:pt>
                <c:pt idx="1">
                  <c:v>RSD</c:v>
                </c:pt>
              </c:strCache>
            </c:strRef>
          </c:cat>
          <c:val>
            <c:numRef>
              <c:f>'DSR CPL C-D'!$B$2:$C$2</c:f>
              <c:numCache>
                <c:formatCode>General</c:formatCode>
                <c:ptCount val="2"/>
                <c:pt idx="0">
                  <c:v>364.87999999999994</c:v>
                </c:pt>
                <c:pt idx="1">
                  <c:v>369.93076923076927</c:v>
                </c:pt>
              </c:numCache>
            </c:numRef>
          </c:val>
          <c:extLst>
            <c:ext xmlns:c16="http://schemas.microsoft.com/office/drawing/2014/chart" uri="{C3380CC4-5D6E-409C-BE32-E72D297353CC}">
              <c16:uniqueId val="{00000000-D1ED-2E4E-9F00-915308CF0A74}"/>
            </c:ext>
          </c:extLst>
        </c:ser>
        <c:ser>
          <c:idx val="1"/>
          <c:order val="1"/>
          <c:tx>
            <c:strRef>
              <c:f>'DSR CPL C-D'!$A$3</c:f>
              <c:strCache>
                <c:ptCount val="1"/>
                <c:pt idx="0">
                  <c:v>Post-C</c:v>
                </c:pt>
              </c:strCache>
            </c:strRef>
          </c:tx>
          <c:spPr>
            <a:solidFill>
              <a:schemeClr val="tx1"/>
            </a:solidFill>
            <a:ln>
              <a:solidFill>
                <a:schemeClr val="tx1"/>
              </a:solidFill>
            </a:ln>
            <a:effectLst/>
          </c:spPr>
          <c:invertIfNegative val="0"/>
          <c:errBars>
            <c:errBarType val="plus"/>
            <c:errValType val="cust"/>
            <c:noEndCap val="0"/>
            <c:plus>
              <c:numRef>
                <c:f>'DSR CPL C-D'!$B$5:$C$5</c:f>
                <c:numCache>
                  <c:formatCode>General</c:formatCode>
                  <c:ptCount val="2"/>
                  <c:pt idx="0">
                    <c:v>20</c:v>
                  </c:pt>
                  <c:pt idx="1">
                    <c:v>15</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'DSR CPL C-D'!$B$1:$C$1</c:f>
              <c:strCache>
                <c:ptCount val="2"/>
                <c:pt idx="0">
                  <c:v>CONTROL</c:v>
                </c:pt>
                <c:pt idx="1">
                  <c:v>RSD</c:v>
                </c:pt>
              </c:strCache>
            </c:strRef>
          </c:cat>
          <c:val>
            <c:numRef>
              <c:f>'DSR CPL C-D'!$B$3:$C$3</c:f>
              <c:numCache>
                <c:formatCode>General</c:formatCode>
                <c:ptCount val="2"/>
                <c:pt idx="0">
                  <c:v>382.31333333333333</c:v>
                </c:pt>
                <c:pt idx="1">
                  <c:v>403.47307692307692</c:v>
                </c:pt>
              </c:numCache>
            </c:numRef>
          </c:val>
          <c:extLst>
            <c:ext xmlns:c16="http://schemas.microsoft.com/office/drawing/2014/chart" uri="{C3380CC4-5D6E-409C-BE32-E72D297353CC}">
              <c16:uniqueId val="{00000001-D1ED-2E4E-9F00-915308CF0A74}"/>
            </c:ext>
          </c:extLst>
        </c:ser>
        <c:dLbls>
          <c:showLegendKey val="0"/>
          <c:showVal val="0"/>
          <c:showCatName val="0"/>
          <c:showSerName val="0"/>
          <c:showPercent val="0"/>
          <c:showBubbleSize val="0"/>
        </c:dLbls>
        <c:gapWidth val="219"/>
        <c:overlap val="-27"/>
        <c:axId val="79279232"/>
        <c:axId val="79280768"/>
      </c:barChart>
      <c:catAx>
        <c:axId val="7927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280768"/>
        <c:crosses val="autoZero"/>
        <c:auto val="1"/>
        <c:lblAlgn val="ctr"/>
        <c:lblOffset val="100"/>
        <c:noMultiLvlLbl val="0"/>
      </c:catAx>
      <c:valAx>
        <c:axId val="79280768"/>
        <c:scaling>
          <c:orientation val="minMax"/>
          <c:max val="500"/>
          <c:min val="2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s-ES_tradnl" sz="1100">
                    <a:solidFill>
                      <a:schemeClr val="tx1"/>
                    </a:solidFill>
                  </a:rPr>
                  <a:t>Seconds</a:t>
                </a:r>
              </a:p>
            </c:rich>
          </c:tx>
          <c:layout>
            <c:manualLayout>
              <c:xMode val="edge"/>
              <c:yMode val="edge"/>
              <c:x val="1.2319712095296164E-3"/>
              <c:y val="0.411876012337901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79279232"/>
        <c:crosses val="autoZero"/>
        <c:crossBetween val="between"/>
        <c:majorUnit val="50"/>
      </c:valAx>
      <c:spPr>
        <a:noFill/>
        <a:ln>
          <a:noFill/>
        </a:ln>
        <a:effectLst/>
      </c:spPr>
    </c:plotArea>
    <c:legend>
      <c:legendPos val="b"/>
      <c:layout>
        <c:manualLayout>
          <c:xMode val="edge"/>
          <c:yMode val="edge"/>
          <c:x val="0.85705075580544199"/>
          <c:y val="8.5151144981719259E-2"/>
          <c:w val="0.13080298652948447"/>
          <c:h val="0.1671515460061803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'/Users/sunsi/Dropbox/articulos en preparación 2018/frontiers in neuroscience/paper mio/[Figures.xlsx]LEC R-V'!$B$25</c:f>
              <c:strCache>
                <c:ptCount val="1"/>
                <c:pt idx="0">
                  <c:v>TIME OA</c:v>
                </c:pt>
              </c:strCache>
            </c:strRef>
          </c:tx>
          <c:spPr>
            <a:solidFill>
              <a:schemeClr val="accent1"/>
            </a:solidFill>
            <a:ln>
              <a:noFill/>
            </a:ln>
            <a:effectLst/>
          </c:spPr>
          <c:invertIfNegative val="0"/>
          <c:dPt>
            <c:idx val="0"/>
            <c:invertIfNegative val="0"/>
            <c:bubble3D val="0"/>
            <c:spPr>
              <a:solidFill>
                <a:schemeClr val="bg1">
                  <a:lumMod val="75000"/>
                </a:schemeClr>
              </a:solidFill>
              <a:ln>
                <a:noFill/>
              </a:ln>
              <a:effectLst/>
            </c:spPr>
            <c:extLst>
              <c:ext xmlns:c16="http://schemas.microsoft.com/office/drawing/2014/chart" uri="{C3380CC4-5D6E-409C-BE32-E72D297353CC}">
                <c16:uniqueId val="{00000001-9F27-1542-A5BE-22F7575B4987}"/>
              </c:ext>
            </c:extLst>
          </c:dPt>
          <c:dPt>
            <c:idx val="1"/>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9F27-1542-A5BE-22F7575B4987}"/>
              </c:ext>
            </c:extLst>
          </c:dPt>
          <c:errBars>
            <c:errBarType val="plus"/>
            <c:errValType val="cust"/>
            <c:noEndCap val="0"/>
            <c:plus>
              <c:numRef>
                <c:f>'/Users/sunsi/Dropbox/articulos en preparación 2018/frontiers in neuroscience/paper mio/[Figures.xlsx]LEC R-V'!$B$28:$B$29</c:f>
                <c:numCache>
                  <c:formatCode>General</c:formatCode>
                  <c:ptCount val="2"/>
                  <c:pt idx="0">
                    <c:v>3.27</c:v>
                  </c:pt>
                  <c:pt idx="1">
                    <c:v>10.83</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'/Users/sunsi/Dropbox/articulos en preparación 2018/frontiers in neuroscience/paper mio/[Figures.xlsx]LEC R-V'!$A$26:$A$27</c:f>
              <c:strCache>
                <c:ptCount val="2"/>
                <c:pt idx="0">
                  <c:v>RESILIENT MICE</c:v>
                </c:pt>
                <c:pt idx="1">
                  <c:v>VULNERABLE MICE</c:v>
                </c:pt>
              </c:strCache>
            </c:strRef>
          </c:cat>
          <c:val>
            <c:numRef>
              <c:f>'/Users/sunsi/Dropbox/articulos en preparación 2018/frontiers in neuroscience/paper mio/[Figures.xlsx]LEC R-V'!$B$26:$B$27</c:f>
              <c:numCache>
                <c:formatCode>General</c:formatCode>
                <c:ptCount val="2"/>
                <c:pt idx="0">
                  <c:v>19.559999999999999</c:v>
                </c:pt>
                <c:pt idx="1">
                  <c:v>82.77</c:v>
                </c:pt>
              </c:numCache>
            </c:numRef>
          </c:val>
          <c:extLst>
            <c:ext xmlns:c16="http://schemas.microsoft.com/office/drawing/2014/chart" uri="{C3380CC4-5D6E-409C-BE32-E72D297353CC}">
              <c16:uniqueId val="{00000004-9F27-1542-A5BE-22F7575B4987}"/>
            </c:ext>
          </c:extLst>
        </c:ser>
        <c:dLbls>
          <c:showLegendKey val="0"/>
          <c:showVal val="0"/>
          <c:showCatName val="0"/>
          <c:showSerName val="0"/>
          <c:showPercent val="0"/>
          <c:showBubbleSize val="0"/>
        </c:dLbls>
        <c:gapWidth val="219"/>
        <c:overlap val="-27"/>
        <c:axId val="1371909376"/>
        <c:axId val="1371680976"/>
      </c:barChart>
      <c:catAx>
        <c:axId val="137190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680976"/>
        <c:crosses val="autoZero"/>
        <c:auto val="1"/>
        <c:lblAlgn val="ctr"/>
        <c:lblOffset val="100"/>
        <c:noMultiLvlLbl val="0"/>
      </c:catAx>
      <c:valAx>
        <c:axId val="1371680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Seconds</a:t>
                </a:r>
              </a:p>
            </c:rich>
          </c:tx>
          <c:layout>
            <c:manualLayout>
              <c:xMode val="edge"/>
              <c:yMode val="edge"/>
              <c:x val="1.9867549668874173E-2"/>
              <c:y val="0.3394845435987168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19093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'/Users/sunsi/Dropbox/articulos en preparación 2018/frontiers in neuroscience/paper mio/[Figures.xlsx]LEC R-V'!$B$40</c:f>
              <c:strCache>
                <c:ptCount val="1"/>
                <c:pt idx="0">
                  <c:v>ENTRIES OA</c:v>
                </c:pt>
              </c:strCache>
            </c:strRef>
          </c:tx>
          <c:spPr>
            <a:solidFill>
              <a:schemeClr val="accent1"/>
            </a:solidFill>
            <a:ln>
              <a:noFill/>
            </a:ln>
            <a:effectLst/>
          </c:spPr>
          <c:invertIfNegative val="0"/>
          <c:dPt>
            <c:idx val="0"/>
            <c:invertIfNegative val="0"/>
            <c:bubble3D val="0"/>
            <c:spPr>
              <a:solidFill>
                <a:schemeClr val="bg1">
                  <a:lumMod val="75000"/>
                </a:schemeClr>
              </a:solidFill>
              <a:ln>
                <a:noFill/>
              </a:ln>
              <a:effectLst/>
            </c:spPr>
            <c:extLst>
              <c:ext xmlns:c16="http://schemas.microsoft.com/office/drawing/2014/chart" uri="{C3380CC4-5D6E-409C-BE32-E72D297353CC}">
                <c16:uniqueId val="{00000001-8FAC-A14B-ACB0-741A48DDAF39}"/>
              </c:ext>
            </c:extLst>
          </c:dPt>
          <c:dPt>
            <c:idx val="1"/>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8FAC-A14B-ACB0-741A48DDAF39}"/>
              </c:ext>
            </c:extLst>
          </c:dPt>
          <c:errBars>
            <c:errBarType val="plus"/>
            <c:errValType val="cust"/>
            <c:noEndCap val="0"/>
            <c:plus>
              <c:numRef>
                <c:f>'/Users/sunsi/Dropbox/articulos en preparación 2018/frontiers in neuroscience/paper mio/[Figures.xlsx]LEC R-V'!$B$43:$B$44</c:f>
                <c:numCache>
                  <c:formatCode>General</c:formatCode>
                  <c:ptCount val="2"/>
                  <c:pt idx="0">
                    <c:v>0.41</c:v>
                  </c:pt>
                  <c:pt idx="1">
                    <c:v>0.84</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'/Users/sunsi/Dropbox/articulos en preparación 2018/frontiers in neuroscience/paper mio/[Figures.xlsx]LEC R-V'!$A$41:$A$42</c:f>
              <c:strCache>
                <c:ptCount val="2"/>
                <c:pt idx="0">
                  <c:v>RESILIENT MICE</c:v>
                </c:pt>
                <c:pt idx="1">
                  <c:v>VULNERABLE MICE</c:v>
                </c:pt>
              </c:strCache>
            </c:strRef>
          </c:cat>
          <c:val>
            <c:numRef>
              <c:f>'/Users/sunsi/Dropbox/articulos en preparación 2018/frontiers in neuroscience/paper mio/[Figures.xlsx]LEC R-V'!$B$41:$B$42</c:f>
              <c:numCache>
                <c:formatCode>General</c:formatCode>
                <c:ptCount val="2"/>
                <c:pt idx="0">
                  <c:v>2.31</c:v>
                </c:pt>
                <c:pt idx="1">
                  <c:v>5.23</c:v>
                </c:pt>
              </c:numCache>
            </c:numRef>
          </c:val>
          <c:extLst>
            <c:ext xmlns:c16="http://schemas.microsoft.com/office/drawing/2014/chart" uri="{C3380CC4-5D6E-409C-BE32-E72D297353CC}">
              <c16:uniqueId val="{00000004-8FAC-A14B-ACB0-741A48DDAF39}"/>
            </c:ext>
          </c:extLst>
        </c:ser>
        <c:dLbls>
          <c:showLegendKey val="0"/>
          <c:showVal val="0"/>
          <c:showCatName val="0"/>
          <c:showSerName val="0"/>
          <c:showPercent val="0"/>
          <c:showBubbleSize val="0"/>
        </c:dLbls>
        <c:gapWidth val="219"/>
        <c:overlap val="-27"/>
        <c:axId val="1417796000"/>
        <c:axId val="1417776976"/>
      </c:barChart>
      <c:catAx>
        <c:axId val="14177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776976"/>
        <c:crosses val="autoZero"/>
        <c:auto val="1"/>
        <c:lblAlgn val="ctr"/>
        <c:lblOffset val="100"/>
        <c:noMultiLvlLbl val="0"/>
      </c:catAx>
      <c:valAx>
        <c:axId val="141777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Number</a:t>
                </a:r>
              </a:p>
            </c:rich>
          </c:tx>
          <c:layout>
            <c:manualLayout>
              <c:xMode val="edge"/>
              <c:yMode val="edge"/>
              <c:x val="2.7548209366391185E-2"/>
              <c:y val="0.4201195683872849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796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PERCENTAGES OA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3647205790818437"/>
          <c:y val="0.17171296296296298"/>
          <c:w val="0.71822533811180578"/>
          <c:h val="0.61498432487605714"/>
        </c:manualLayout>
      </c:layout>
      <c:barChart>
        <c:barDir val="col"/>
        <c:grouping val="clustered"/>
        <c:varyColors val="0"/>
        <c:ser>
          <c:idx val="0"/>
          <c:order val="0"/>
          <c:tx>
            <c:strRef>
              <c:f>'/Users/sunsi/Dropbox/articulos en preparación 2018/frontiers in neuroscience/paper mio/[Figures.xlsx]LEC R-V'!$A$35</c:f>
              <c:strCache>
                <c:ptCount val="1"/>
                <c:pt idx="0">
                  <c:v>RESILIENT MICE</c:v>
                </c:pt>
              </c:strCache>
            </c:strRef>
          </c:tx>
          <c:spPr>
            <a:solidFill>
              <a:schemeClr val="bg1">
                <a:lumMod val="75000"/>
              </a:schemeClr>
            </a:solidFill>
            <a:ln>
              <a:noFill/>
            </a:ln>
            <a:effectLst/>
          </c:spPr>
          <c:invertIfNegative val="0"/>
          <c:errBars>
            <c:errBarType val="plus"/>
            <c:errValType val="cust"/>
            <c:noEndCap val="0"/>
            <c:plus>
              <c:numRef>
                <c:f>'/Users/sunsi/Dropbox/articulos en preparación 2018/frontiers in neuroscience/paper mio/[Figures.xlsx]LEC R-V'!$B$37:$C$37</c:f>
                <c:numCache>
                  <c:formatCode>General</c:formatCode>
                  <c:ptCount val="2"/>
                  <c:pt idx="0">
                    <c:v>4.13</c:v>
                  </c:pt>
                  <c:pt idx="1">
                    <c:v>3.22</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'/Users/sunsi/Dropbox/articulos en preparación 2018/frontiers in neuroscience/paper mio/[Figures.xlsx]LEC R-V'!$B$34:$C$34</c:f>
              <c:strCache>
                <c:ptCount val="2"/>
                <c:pt idx="0">
                  <c:v>% TIME OA</c:v>
                </c:pt>
                <c:pt idx="1">
                  <c:v>% ENTRIES OA</c:v>
                </c:pt>
              </c:strCache>
            </c:strRef>
          </c:cat>
          <c:val>
            <c:numRef>
              <c:f>'/Users/sunsi/Dropbox/articulos en preparación 2018/frontiers in neuroscience/paper mio/[Figures.xlsx]LEC R-V'!$B$35:$C$35</c:f>
              <c:numCache>
                <c:formatCode>General</c:formatCode>
                <c:ptCount val="2"/>
                <c:pt idx="0">
                  <c:v>12.39</c:v>
                </c:pt>
                <c:pt idx="1">
                  <c:v>21.47</c:v>
                </c:pt>
              </c:numCache>
            </c:numRef>
          </c:val>
          <c:extLst>
            <c:ext xmlns:c16="http://schemas.microsoft.com/office/drawing/2014/chart" uri="{C3380CC4-5D6E-409C-BE32-E72D297353CC}">
              <c16:uniqueId val="{00000000-9369-134F-B0B8-D1F1A86F542A}"/>
            </c:ext>
          </c:extLst>
        </c:ser>
        <c:ser>
          <c:idx val="1"/>
          <c:order val="1"/>
          <c:tx>
            <c:strRef>
              <c:f>'/Users/sunsi/Dropbox/articulos en preparación 2018/frontiers in neuroscience/paper mio/[Figures.xlsx]LEC R-V'!$A$36</c:f>
              <c:strCache>
                <c:ptCount val="1"/>
                <c:pt idx="0">
                  <c:v>VULNERABLE MICE</c:v>
                </c:pt>
              </c:strCache>
            </c:strRef>
          </c:tx>
          <c:spPr>
            <a:solidFill>
              <a:schemeClr val="tx1">
                <a:lumMod val="65000"/>
                <a:lumOff val="35000"/>
              </a:schemeClr>
            </a:solidFill>
            <a:ln>
              <a:noFill/>
            </a:ln>
            <a:effectLst/>
          </c:spPr>
          <c:invertIfNegative val="0"/>
          <c:errBars>
            <c:errBarType val="plus"/>
            <c:errValType val="cust"/>
            <c:noEndCap val="0"/>
            <c:plus>
              <c:numRef>
                <c:f>'/Users/sunsi/Dropbox/articulos en preparación 2018/frontiers in neuroscience/paper mio/[Figures.xlsx]LEC R-V'!$B$38:$C$38</c:f>
                <c:numCache>
                  <c:formatCode>General</c:formatCode>
                  <c:ptCount val="2"/>
                  <c:pt idx="0">
                    <c:v>2.5099999999999998</c:v>
                  </c:pt>
                  <c:pt idx="1">
                    <c:v>3.97</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'/Users/sunsi/Dropbox/articulos en preparación 2018/frontiers in neuroscience/paper mio/[Figures.xlsx]LEC R-V'!$B$34:$C$34</c:f>
              <c:strCache>
                <c:ptCount val="2"/>
                <c:pt idx="0">
                  <c:v>% TIME OA</c:v>
                </c:pt>
                <c:pt idx="1">
                  <c:v>% ENTRIES OA</c:v>
                </c:pt>
              </c:strCache>
            </c:strRef>
          </c:cat>
          <c:val>
            <c:numRef>
              <c:f>'/Users/sunsi/Dropbox/articulos en preparación 2018/frontiers in neuroscience/paper mio/[Figures.xlsx]LEC R-V'!$B$36:$C$36</c:f>
              <c:numCache>
                <c:formatCode>General</c:formatCode>
                <c:ptCount val="2"/>
                <c:pt idx="0">
                  <c:v>48.28</c:v>
                </c:pt>
                <c:pt idx="1">
                  <c:v>44.81</c:v>
                </c:pt>
              </c:numCache>
            </c:numRef>
          </c:val>
          <c:extLst>
            <c:ext xmlns:c16="http://schemas.microsoft.com/office/drawing/2014/chart" uri="{C3380CC4-5D6E-409C-BE32-E72D297353CC}">
              <c16:uniqueId val="{00000001-9369-134F-B0B8-D1F1A86F542A}"/>
            </c:ext>
          </c:extLst>
        </c:ser>
        <c:dLbls>
          <c:showLegendKey val="0"/>
          <c:showVal val="0"/>
          <c:showCatName val="0"/>
          <c:showSerName val="0"/>
          <c:showPercent val="0"/>
          <c:showBubbleSize val="0"/>
        </c:dLbls>
        <c:gapWidth val="219"/>
        <c:overlap val="-27"/>
        <c:axId val="1368197680"/>
        <c:axId val="1375210000"/>
      </c:barChart>
      <c:catAx>
        <c:axId val="136819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210000"/>
        <c:crosses val="autoZero"/>
        <c:auto val="1"/>
        <c:lblAlgn val="ctr"/>
        <c:lblOffset val="100"/>
        <c:noMultiLvlLbl val="0"/>
      </c:catAx>
      <c:valAx>
        <c:axId val="137521000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_tradnl"/>
                  <a:t>Percentage</a:t>
                </a:r>
              </a:p>
            </c:rich>
          </c:tx>
          <c:layout>
            <c:manualLayout>
              <c:xMode val="edge"/>
              <c:yMode val="edge"/>
              <c:x val="2.8071178043710542E-3"/>
              <c:y val="0.368314012831729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8197680"/>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0.7788</cdr:x>
      <cdr:y>0.29796</cdr:y>
    </cdr:from>
    <cdr:to>
      <cdr:x>0.87419</cdr:x>
      <cdr:y>0.39096</cdr:y>
    </cdr:to>
    <cdr:sp macro="" textlink="">
      <cdr:nvSpPr>
        <cdr:cNvPr id="2" name="Cuadro de texto 1"/>
        <cdr:cNvSpPr txBox="1"/>
      </cdr:nvSpPr>
      <cdr:spPr>
        <a:xfrm xmlns:a="http://schemas.openxmlformats.org/drawingml/2006/main">
          <a:off x="4202606" y="1047623"/>
          <a:ext cx="514729" cy="32700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ES_tradnl" sz="1100"/>
            <a:t>***</a:t>
          </a:r>
        </a:p>
      </cdr:txBody>
    </cdr:sp>
  </cdr:relSizeAnchor>
</c:userShapes>
</file>

<file path=word/drawings/drawing2.xml><?xml version="1.0" encoding="utf-8"?>
<c:userShapes xmlns:c="http://schemas.openxmlformats.org/drawingml/2006/chart">
  <cdr:relSizeAnchor xmlns:cdr="http://schemas.openxmlformats.org/drawingml/2006/chartDrawing">
    <cdr:from>
      <cdr:x>0.38459</cdr:x>
      <cdr:y>0.60807</cdr:y>
    </cdr:from>
    <cdr:to>
      <cdr:x>0.57068</cdr:x>
      <cdr:y>0.69756</cdr:y>
    </cdr:to>
    <cdr:sp macro="" textlink="">
      <cdr:nvSpPr>
        <cdr:cNvPr id="2" name="CuadroTexto 1">
          <a:extLst xmlns:a="http://schemas.openxmlformats.org/drawingml/2006/main">
            <a:ext uri="{FF2B5EF4-FFF2-40B4-BE49-F238E27FC236}">
              <a16:creationId xmlns:a16="http://schemas.microsoft.com/office/drawing/2014/main" id="{3B7FACCF-7132-164E-A99C-AF71819247A7}"/>
            </a:ext>
          </a:extLst>
        </cdr:cNvPr>
        <cdr:cNvSpPr txBox="1"/>
      </cdr:nvSpPr>
      <cdr:spPr>
        <a:xfrm xmlns:a="http://schemas.openxmlformats.org/drawingml/2006/main">
          <a:off x="769284" y="1668063"/>
          <a:ext cx="372227" cy="245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cdr:x>
      <cdr:y>0</cdr:y>
    </cdr:from>
    <cdr:to>
      <cdr:x>0.18609</cdr:x>
      <cdr:y>0.08949</cdr:y>
    </cdr:to>
    <cdr:sp macro="" textlink="">
      <cdr:nvSpPr>
        <cdr:cNvPr id="3" name="CuadroTexto 1"/>
        <cdr:cNvSpPr txBox="1"/>
      </cdr:nvSpPr>
      <cdr:spPr>
        <a:xfrm xmlns:a="http://schemas.openxmlformats.org/drawingml/2006/main">
          <a:off x="0" y="0"/>
          <a:ext cx="372227" cy="245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a)</a:t>
          </a:r>
        </a:p>
      </cdr:txBody>
    </cdr:sp>
  </cdr:relSizeAnchor>
</c:userShapes>
</file>

<file path=word/drawings/drawing3.xml><?xml version="1.0" encoding="utf-8"?>
<c:userShapes xmlns:c="http://schemas.openxmlformats.org/drawingml/2006/chart">
  <cdr:relSizeAnchor xmlns:cdr="http://schemas.openxmlformats.org/drawingml/2006/chartDrawing">
    <cdr:from>
      <cdr:x>0.35211</cdr:x>
      <cdr:y>0.49732</cdr:y>
    </cdr:from>
    <cdr:to>
      <cdr:x>0.56017</cdr:x>
      <cdr:y>0.56829</cdr:y>
    </cdr:to>
    <cdr:sp macro="" textlink="">
      <cdr:nvSpPr>
        <cdr:cNvPr id="2" name="CuadroTexto 1">
          <a:extLst xmlns:a="http://schemas.openxmlformats.org/drawingml/2006/main">
            <a:ext uri="{FF2B5EF4-FFF2-40B4-BE49-F238E27FC236}">
              <a16:creationId xmlns:a16="http://schemas.microsoft.com/office/drawing/2014/main" id="{7FAD40FD-E043-D240-B4BC-990BD10F4340}"/>
            </a:ext>
          </a:extLst>
        </cdr:cNvPr>
        <cdr:cNvSpPr txBox="1"/>
      </cdr:nvSpPr>
      <cdr:spPr>
        <a:xfrm xmlns:a="http://schemas.openxmlformats.org/drawingml/2006/main">
          <a:off x="687762" y="1364248"/>
          <a:ext cx="406392" cy="19468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cdr:x>
      <cdr:y>0</cdr:y>
    </cdr:from>
    <cdr:to>
      <cdr:x>0.19057</cdr:x>
      <cdr:y>0.08949</cdr:y>
    </cdr:to>
    <cdr:sp macro="" textlink="">
      <cdr:nvSpPr>
        <cdr:cNvPr id="3" name="CuadroTexto 1"/>
        <cdr:cNvSpPr txBox="1"/>
      </cdr:nvSpPr>
      <cdr:spPr>
        <a:xfrm xmlns:a="http://schemas.openxmlformats.org/drawingml/2006/main">
          <a:off x="0" y="0"/>
          <a:ext cx="372227" cy="245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b)</a:t>
          </a:r>
        </a:p>
      </cdr:txBody>
    </cdr:sp>
  </cdr:relSizeAnchor>
</c:userShapes>
</file>

<file path=word/drawings/drawing4.xml><?xml version="1.0" encoding="utf-8"?>
<c:userShapes xmlns:c="http://schemas.openxmlformats.org/drawingml/2006/chart">
  <cdr:relSizeAnchor xmlns:cdr="http://schemas.openxmlformats.org/drawingml/2006/chartDrawing">
    <cdr:from>
      <cdr:x>0.27741</cdr:x>
      <cdr:y>0.60487</cdr:y>
    </cdr:from>
    <cdr:to>
      <cdr:x>0.50854</cdr:x>
      <cdr:y>0.68821</cdr:y>
    </cdr:to>
    <cdr:sp macro="" textlink="">
      <cdr:nvSpPr>
        <cdr:cNvPr id="2" name="CuadroTexto 1">
          <a:extLst xmlns:a="http://schemas.openxmlformats.org/drawingml/2006/main">
            <a:ext uri="{FF2B5EF4-FFF2-40B4-BE49-F238E27FC236}">
              <a16:creationId xmlns:a16="http://schemas.microsoft.com/office/drawing/2014/main" id="{F5A88A84-A33F-8641-8EB2-1F8B3D3E7246}"/>
            </a:ext>
          </a:extLst>
        </cdr:cNvPr>
        <cdr:cNvSpPr txBox="1"/>
      </cdr:nvSpPr>
      <cdr:spPr>
        <a:xfrm xmlns:a="http://schemas.openxmlformats.org/drawingml/2006/main">
          <a:off x="596107" y="1659273"/>
          <a:ext cx="496661" cy="228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0.63568</cdr:x>
      <cdr:y>0.5575</cdr:y>
    </cdr:from>
    <cdr:to>
      <cdr:x>0.86681</cdr:x>
      <cdr:y>0.64084</cdr:y>
    </cdr:to>
    <cdr:sp macro="" textlink="">
      <cdr:nvSpPr>
        <cdr:cNvPr id="3" name="CuadroTexto 1">
          <a:extLst xmlns:a="http://schemas.openxmlformats.org/drawingml/2006/main">
            <a:ext uri="{FF2B5EF4-FFF2-40B4-BE49-F238E27FC236}">
              <a16:creationId xmlns:a16="http://schemas.microsoft.com/office/drawing/2014/main" id="{3F02739A-15EC-E54A-9794-CEEE4D26DF8B}"/>
            </a:ext>
          </a:extLst>
        </cdr:cNvPr>
        <cdr:cNvSpPr txBox="1"/>
      </cdr:nvSpPr>
      <cdr:spPr>
        <a:xfrm xmlns:a="http://schemas.openxmlformats.org/drawingml/2006/main">
          <a:off x="1365973" y="1529334"/>
          <a:ext cx="496661" cy="228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cdr:x>
      <cdr:y>0</cdr:y>
    </cdr:from>
    <cdr:to>
      <cdr:x>0.17322</cdr:x>
      <cdr:y>0.08949</cdr:y>
    </cdr:to>
    <cdr:sp macro="" textlink="">
      <cdr:nvSpPr>
        <cdr:cNvPr id="4" name="CuadroTexto 1"/>
        <cdr:cNvSpPr txBox="1"/>
      </cdr:nvSpPr>
      <cdr:spPr>
        <a:xfrm xmlns:a="http://schemas.openxmlformats.org/drawingml/2006/main">
          <a:off x="0" y="0"/>
          <a:ext cx="372227" cy="245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200" b="0">
              <a:solidFill>
                <a:sysClr val="windowText" lastClr="000000"/>
              </a:solidFill>
              <a:latin typeface="Arial" panose="020B0604020202020204" pitchFamily="34" charset="0"/>
              <a:cs typeface="Arial" panose="020B0604020202020204" pitchFamily="34" charset="0"/>
            </a:rPr>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D8618B-14E2-41A6-A4B7-3C8C1966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4</Pages>
  <Words>546</Words>
  <Characters>3117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Anisa Fazal</cp:lastModifiedBy>
  <cp:revision>5</cp:revision>
  <cp:lastPrinted>2013-10-03T12:51:00Z</cp:lastPrinted>
  <dcterms:created xsi:type="dcterms:W3CDTF">2019-11-21T11:19:00Z</dcterms:created>
  <dcterms:modified xsi:type="dcterms:W3CDTF">2019-12-19T11:50:00Z</dcterms:modified>
</cp:coreProperties>
</file>