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B40A0" w14:textId="77777777" w:rsidR="00C86AAD" w:rsidRPr="00B672AF" w:rsidRDefault="00C86AAD" w:rsidP="004246B7">
      <w:pPr>
        <w:spacing w:line="480" w:lineRule="auto"/>
        <w:rPr>
          <w:rFonts w:ascii="Times New Roman" w:hAnsi="Times New Roman"/>
          <w:b/>
          <w:sz w:val="24"/>
          <w:szCs w:val="24"/>
          <w:lang w:val="en-US"/>
        </w:rPr>
      </w:pPr>
      <w:r w:rsidRPr="00B672AF">
        <w:rPr>
          <w:rFonts w:ascii="Times New Roman" w:hAnsi="Times New Roman"/>
          <w:b/>
          <w:sz w:val="24"/>
          <w:szCs w:val="24"/>
          <w:lang w:val="en-US"/>
        </w:rPr>
        <w:t xml:space="preserve">Supplemental Digital Content </w:t>
      </w:r>
      <w:r w:rsidR="005C5469" w:rsidRPr="00B672AF">
        <w:rPr>
          <w:rFonts w:ascii="Times New Roman" w:hAnsi="Times New Roman"/>
          <w:b/>
          <w:sz w:val="24"/>
          <w:szCs w:val="24"/>
          <w:lang w:val="en-US"/>
        </w:rPr>
        <w:t>1</w:t>
      </w:r>
    </w:p>
    <w:p w14:paraId="588B263F" w14:textId="77777777" w:rsidR="00FD326E" w:rsidRPr="00B672AF" w:rsidRDefault="00FD326E" w:rsidP="004246B7">
      <w:pPr>
        <w:spacing w:line="480" w:lineRule="auto"/>
        <w:rPr>
          <w:rFonts w:ascii="Times New Roman" w:hAnsi="Times New Roman"/>
          <w:b/>
          <w:sz w:val="24"/>
          <w:szCs w:val="24"/>
          <w:lang w:val="en-US"/>
        </w:rPr>
      </w:pPr>
      <w:r w:rsidRPr="00B672AF">
        <w:rPr>
          <w:rFonts w:ascii="Times New Roman" w:hAnsi="Times New Roman"/>
          <w:b/>
          <w:sz w:val="24"/>
          <w:szCs w:val="24"/>
          <w:lang w:val="en-US"/>
        </w:rPr>
        <w:t>Additional methods</w:t>
      </w:r>
    </w:p>
    <w:p w14:paraId="6D471CD8" w14:textId="76D60E37" w:rsidR="005C5469" w:rsidRPr="00B672AF" w:rsidRDefault="005C5469" w:rsidP="004246B7">
      <w:pPr>
        <w:pStyle w:val="Padro"/>
        <w:spacing w:after="0" w:line="480" w:lineRule="auto"/>
        <w:jc w:val="both"/>
        <w:rPr>
          <w:rFonts w:ascii="Times New Roman" w:hAnsi="Times New Roman"/>
          <w:b/>
          <w:color w:val="auto"/>
          <w:sz w:val="24"/>
          <w:szCs w:val="24"/>
          <w:lang w:val="en-US"/>
        </w:rPr>
      </w:pPr>
      <w:r w:rsidRPr="00B672AF">
        <w:rPr>
          <w:rFonts w:ascii="Times New Roman" w:hAnsi="Times New Roman"/>
          <w:b/>
          <w:color w:val="auto"/>
          <w:sz w:val="24"/>
          <w:szCs w:val="24"/>
          <w:lang w:val="en-US"/>
        </w:rPr>
        <w:t xml:space="preserve">Experimental model </w:t>
      </w:r>
      <w:bookmarkStart w:id="0" w:name="_Hlk535250358"/>
      <w:r w:rsidRPr="00B672AF">
        <w:rPr>
          <w:rFonts w:ascii="Times New Roman" w:hAnsi="Times New Roman"/>
          <w:b/>
          <w:color w:val="auto"/>
          <w:sz w:val="24"/>
          <w:szCs w:val="24"/>
          <w:lang w:val="en-US"/>
        </w:rPr>
        <w:t>of postnatal early overfeeding</w:t>
      </w:r>
      <w:bookmarkEnd w:id="0"/>
    </w:p>
    <w:p w14:paraId="5C2A8221" w14:textId="77777777" w:rsidR="005C5469" w:rsidRPr="00B672AF" w:rsidRDefault="005C5469" w:rsidP="004246B7">
      <w:pPr>
        <w:pStyle w:val="Padro"/>
        <w:spacing w:after="0" w:line="480" w:lineRule="auto"/>
        <w:jc w:val="both"/>
        <w:rPr>
          <w:rFonts w:ascii="Times New Roman" w:hAnsi="Times New Roman"/>
          <w:color w:val="auto"/>
          <w:sz w:val="24"/>
          <w:szCs w:val="24"/>
          <w:lang w:val="en-US"/>
        </w:rPr>
      </w:pPr>
      <w:r w:rsidRPr="00B672AF">
        <w:rPr>
          <w:rFonts w:ascii="Times New Roman" w:hAnsi="Times New Roman"/>
          <w:color w:val="auto"/>
          <w:sz w:val="24"/>
          <w:szCs w:val="24"/>
          <w:lang w:val="en-US"/>
        </w:rPr>
        <w:t>To induce early overfeeding (EO) during lactation, 3 days after birth, litter</w:t>
      </w:r>
      <w:r w:rsidR="00EA7AC5" w:rsidRPr="00B672AF">
        <w:rPr>
          <w:rFonts w:ascii="Times New Roman" w:hAnsi="Times New Roman"/>
          <w:color w:val="auto"/>
          <w:sz w:val="24"/>
          <w:szCs w:val="24"/>
          <w:lang w:val="en-US"/>
        </w:rPr>
        <w:t>s</w:t>
      </w:r>
      <w:r w:rsidRPr="00B672AF">
        <w:rPr>
          <w:rFonts w:ascii="Times New Roman" w:hAnsi="Times New Roman"/>
          <w:color w:val="auto"/>
          <w:sz w:val="24"/>
          <w:szCs w:val="24"/>
          <w:lang w:val="en-US"/>
        </w:rPr>
        <w:t xml:space="preserve"> </w:t>
      </w:r>
      <w:r w:rsidR="00EA7AC5" w:rsidRPr="00B672AF">
        <w:rPr>
          <w:rFonts w:ascii="Times New Roman" w:hAnsi="Times New Roman"/>
          <w:color w:val="auto"/>
          <w:sz w:val="24"/>
          <w:szCs w:val="24"/>
          <w:lang w:val="en-US"/>
        </w:rPr>
        <w:t xml:space="preserve">were culled to </w:t>
      </w:r>
      <w:r w:rsidRPr="00B672AF">
        <w:rPr>
          <w:rFonts w:ascii="Times New Roman" w:hAnsi="Times New Roman"/>
          <w:color w:val="auto"/>
          <w:sz w:val="24"/>
          <w:szCs w:val="24"/>
          <w:lang w:val="en-US"/>
        </w:rPr>
        <w:t>three male</w:t>
      </w:r>
      <w:r w:rsidR="00EA7AC5" w:rsidRPr="00B672AF">
        <w:rPr>
          <w:rFonts w:ascii="Times New Roman" w:hAnsi="Times New Roman"/>
          <w:color w:val="auto"/>
          <w:sz w:val="24"/>
          <w:szCs w:val="24"/>
          <w:lang w:val="en-US"/>
        </w:rPr>
        <w:t>s</w:t>
      </w:r>
      <w:r w:rsidRPr="00B672AF">
        <w:rPr>
          <w:rFonts w:ascii="Times New Roman" w:hAnsi="Times New Roman"/>
          <w:color w:val="auto"/>
          <w:sz w:val="24"/>
          <w:szCs w:val="24"/>
          <w:lang w:val="en-US"/>
        </w:rPr>
        <w:t xml:space="preserve"> </w:t>
      </w:r>
      <w:r w:rsidR="00EA7AC5" w:rsidRPr="00B672AF">
        <w:rPr>
          <w:rFonts w:ascii="Times New Roman" w:hAnsi="Times New Roman"/>
          <w:color w:val="auto"/>
          <w:sz w:val="24"/>
          <w:szCs w:val="24"/>
          <w:lang w:val="en-US"/>
        </w:rPr>
        <w:t xml:space="preserve">each </w:t>
      </w:r>
      <w:r w:rsidRPr="00B672AF">
        <w:rPr>
          <w:rFonts w:ascii="Times New Roman" w:hAnsi="Times New Roman"/>
          <w:color w:val="auto"/>
          <w:sz w:val="24"/>
          <w:szCs w:val="24"/>
          <w:lang w:val="en-US"/>
        </w:rPr>
        <w:t>(Obese)</w:t>
      </w:r>
      <w:sdt>
        <w:sdtPr>
          <w:rPr>
            <w:rFonts w:ascii="Times New Roman" w:hAnsi="Times New Roman"/>
            <w:color w:val="auto"/>
            <w:sz w:val="24"/>
            <w:szCs w:val="24"/>
            <w:lang w:val="en-US"/>
          </w:rPr>
          <w:tag w:val="citation"/>
          <w:id w:val="-699391474"/>
          <w:placeholder>
            <w:docPart w:val="DefaultPlaceholder_-1854013440"/>
          </w:placeholder>
        </w:sdtPr>
        <w:sdtEndPr/>
        <w:sdtContent>
          <w:r w:rsidR="00FF0C67" w:rsidRPr="00B672AF">
            <w:rPr>
              <w:rFonts w:ascii="Times New Roman" w:eastAsia="Times New Roman" w:hAnsi="Times New Roman"/>
              <w:color w:val="auto"/>
              <w:sz w:val="24"/>
              <w:vertAlign w:val="superscript"/>
              <w:lang w:val="en-US"/>
            </w:rPr>
            <w:t>1,2</w:t>
          </w:r>
        </w:sdtContent>
      </w:sdt>
      <w:r w:rsidRPr="00B672AF">
        <w:rPr>
          <w:rFonts w:ascii="Times New Roman" w:hAnsi="Times New Roman"/>
          <w:color w:val="auto"/>
          <w:sz w:val="24"/>
          <w:szCs w:val="24"/>
          <w:lang w:val="en-US"/>
        </w:rPr>
        <w:t xml:space="preserve">. </w:t>
      </w:r>
      <w:r w:rsidR="00EA7AC5" w:rsidRPr="00B672AF">
        <w:rPr>
          <w:rFonts w:ascii="Times New Roman" w:hAnsi="Times New Roman"/>
          <w:color w:val="auto"/>
          <w:sz w:val="24"/>
          <w:szCs w:val="24"/>
          <w:lang w:val="en-US"/>
        </w:rPr>
        <w:t xml:space="preserve">For the </w:t>
      </w:r>
      <w:r w:rsidRPr="00B672AF">
        <w:rPr>
          <w:rFonts w:ascii="Times New Roman" w:hAnsi="Times New Roman"/>
          <w:color w:val="auto"/>
          <w:sz w:val="24"/>
          <w:szCs w:val="24"/>
          <w:lang w:val="en-US"/>
        </w:rPr>
        <w:t>non-Obese</w:t>
      </w:r>
      <w:r w:rsidR="00EA7AC5" w:rsidRPr="00B672AF">
        <w:rPr>
          <w:rFonts w:ascii="Times New Roman" w:hAnsi="Times New Roman"/>
          <w:color w:val="auto"/>
          <w:sz w:val="24"/>
          <w:szCs w:val="24"/>
          <w:lang w:val="en-US"/>
        </w:rPr>
        <w:t xml:space="preserve"> group, litters were culled to 10 pups per dam</w:t>
      </w:r>
      <w:r w:rsidRPr="00B672AF">
        <w:rPr>
          <w:rFonts w:ascii="Times New Roman" w:hAnsi="Times New Roman"/>
          <w:color w:val="auto"/>
          <w:sz w:val="24"/>
          <w:szCs w:val="24"/>
          <w:lang w:val="en-US"/>
        </w:rPr>
        <w:t xml:space="preserve">. Two male rats were randomly chosen from each of the 14 different litters (14 </w:t>
      </w:r>
      <w:r w:rsidR="00EA7AC5" w:rsidRPr="00B672AF">
        <w:rPr>
          <w:rFonts w:ascii="Times New Roman" w:hAnsi="Times New Roman"/>
          <w:color w:val="auto"/>
          <w:sz w:val="24"/>
          <w:szCs w:val="24"/>
          <w:lang w:val="en-US"/>
        </w:rPr>
        <w:t xml:space="preserve">Obese, </w:t>
      </w:r>
      <w:r w:rsidRPr="00B672AF">
        <w:rPr>
          <w:rFonts w:ascii="Times New Roman" w:hAnsi="Times New Roman"/>
          <w:color w:val="auto"/>
          <w:sz w:val="24"/>
          <w:szCs w:val="24"/>
          <w:lang w:val="en-US"/>
        </w:rPr>
        <w:t>14 non-</w:t>
      </w:r>
      <w:r w:rsidR="00EA7AC5" w:rsidRPr="00B672AF">
        <w:rPr>
          <w:rFonts w:ascii="Times New Roman" w:hAnsi="Times New Roman"/>
          <w:color w:val="auto"/>
          <w:sz w:val="24"/>
          <w:szCs w:val="24"/>
          <w:lang w:val="en-US"/>
        </w:rPr>
        <w:t>Obese</w:t>
      </w:r>
      <w:r w:rsidRPr="00B672AF">
        <w:rPr>
          <w:rFonts w:ascii="Times New Roman" w:hAnsi="Times New Roman"/>
          <w:color w:val="auto"/>
          <w:sz w:val="24"/>
          <w:szCs w:val="24"/>
          <w:lang w:val="en-US"/>
        </w:rPr>
        <w:t>) for subsequent analysis. After postnatal day 21 (PN21)</w:t>
      </w:r>
      <w:r w:rsidR="00EA7AC5" w:rsidRPr="00B672AF">
        <w:rPr>
          <w:rFonts w:ascii="Times New Roman" w:hAnsi="Times New Roman"/>
          <w:color w:val="auto"/>
          <w:sz w:val="24"/>
          <w:szCs w:val="24"/>
          <w:lang w:val="en-US"/>
        </w:rPr>
        <w:t xml:space="preserve">, which </w:t>
      </w:r>
      <w:r w:rsidRPr="00B672AF">
        <w:rPr>
          <w:rFonts w:ascii="Times New Roman" w:hAnsi="Times New Roman"/>
          <w:color w:val="auto"/>
          <w:sz w:val="24"/>
          <w:szCs w:val="24"/>
          <w:lang w:val="en-US"/>
        </w:rPr>
        <w:t xml:space="preserve">corresponds to </w:t>
      </w:r>
      <w:r w:rsidR="00EA7AC5" w:rsidRPr="00B672AF">
        <w:rPr>
          <w:rFonts w:ascii="Times New Roman" w:hAnsi="Times New Roman"/>
          <w:color w:val="auto"/>
          <w:sz w:val="24"/>
          <w:szCs w:val="24"/>
          <w:lang w:val="en-US"/>
        </w:rPr>
        <w:t xml:space="preserve">the end of the </w:t>
      </w:r>
      <w:r w:rsidRPr="00B672AF">
        <w:rPr>
          <w:rFonts w:ascii="Times New Roman" w:hAnsi="Times New Roman"/>
          <w:color w:val="auto"/>
          <w:sz w:val="24"/>
          <w:szCs w:val="24"/>
          <w:lang w:val="en-US"/>
        </w:rPr>
        <w:t xml:space="preserve">weaning period, both groups </w:t>
      </w:r>
      <w:r w:rsidR="00EA7AC5" w:rsidRPr="00B672AF">
        <w:rPr>
          <w:rFonts w:ascii="Times New Roman" w:hAnsi="Times New Roman"/>
          <w:color w:val="auto"/>
          <w:sz w:val="24"/>
          <w:szCs w:val="24"/>
          <w:lang w:val="en-US"/>
        </w:rPr>
        <w:t xml:space="preserve">had </w:t>
      </w:r>
      <w:r w:rsidRPr="00B672AF">
        <w:rPr>
          <w:rFonts w:ascii="Times New Roman" w:hAnsi="Times New Roman"/>
          <w:color w:val="auto"/>
          <w:sz w:val="24"/>
          <w:szCs w:val="24"/>
          <w:lang w:val="en-US"/>
        </w:rPr>
        <w:t xml:space="preserve">free access to water and </w:t>
      </w:r>
      <w:r w:rsidR="00EA7AC5" w:rsidRPr="00B672AF">
        <w:rPr>
          <w:rFonts w:ascii="Times New Roman" w:hAnsi="Times New Roman"/>
          <w:color w:val="auto"/>
          <w:sz w:val="24"/>
          <w:szCs w:val="24"/>
          <w:lang w:val="en-US"/>
        </w:rPr>
        <w:t xml:space="preserve">a </w:t>
      </w:r>
      <w:r w:rsidRPr="00B672AF">
        <w:rPr>
          <w:rFonts w:ascii="Times New Roman" w:hAnsi="Times New Roman"/>
          <w:color w:val="auto"/>
          <w:sz w:val="24"/>
          <w:szCs w:val="24"/>
          <w:lang w:val="en-US"/>
        </w:rPr>
        <w:t xml:space="preserve">standard diet. </w:t>
      </w:r>
      <w:bookmarkStart w:id="1" w:name="_Hlk536017369"/>
      <w:r w:rsidRPr="00B672AF">
        <w:rPr>
          <w:rFonts w:ascii="Times New Roman" w:hAnsi="Times New Roman"/>
          <w:color w:val="auto"/>
          <w:sz w:val="24"/>
          <w:szCs w:val="24"/>
          <w:lang w:val="en-US"/>
        </w:rPr>
        <w:t>From PN21 until PN180, offspring body weight (g) w</w:t>
      </w:r>
      <w:r w:rsidR="00B568B6" w:rsidRPr="00B672AF">
        <w:rPr>
          <w:rFonts w:ascii="Times New Roman" w:hAnsi="Times New Roman"/>
          <w:color w:val="auto"/>
          <w:sz w:val="24"/>
          <w:szCs w:val="24"/>
          <w:lang w:val="en-US"/>
        </w:rPr>
        <w:t>as</w:t>
      </w:r>
      <w:r w:rsidRPr="00B672AF">
        <w:rPr>
          <w:rFonts w:ascii="Times New Roman" w:hAnsi="Times New Roman"/>
          <w:color w:val="auto"/>
          <w:sz w:val="24"/>
          <w:szCs w:val="24"/>
          <w:lang w:val="en-US"/>
        </w:rPr>
        <w:t xml:space="preserve"> monitored every 7 days.</w:t>
      </w:r>
    </w:p>
    <w:p w14:paraId="65CF08F9" w14:textId="0EEA8079" w:rsidR="005C5469" w:rsidRPr="00B672AF" w:rsidRDefault="005C5469" w:rsidP="004246B7">
      <w:pPr>
        <w:pStyle w:val="Padro"/>
        <w:spacing w:after="0" w:line="480" w:lineRule="auto"/>
        <w:jc w:val="both"/>
        <w:rPr>
          <w:rFonts w:ascii="Times New Roman" w:hAnsi="Times New Roman"/>
          <w:b/>
          <w:color w:val="auto"/>
          <w:sz w:val="24"/>
          <w:szCs w:val="24"/>
          <w:lang w:val="en-US"/>
        </w:rPr>
      </w:pPr>
      <w:bookmarkStart w:id="2" w:name="_Hlk536017302"/>
      <w:bookmarkEnd w:id="1"/>
      <w:r w:rsidRPr="00B672AF">
        <w:rPr>
          <w:rFonts w:ascii="Times New Roman" w:hAnsi="Times New Roman"/>
          <w:b/>
          <w:color w:val="auto"/>
          <w:sz w:val="24"/>
          <w:szCs w:val="24"/>
          <w:lang w:val="en-US"/>
        </w:rPr>
        <w:t xml:space="preserve">Computed </w:t>
      </w:r>
      <w:r w:rsidR="007E7DD0" w:rsidRPr="00B672AF">
        <w:rPr>
          <w:rFonts w:ascii="Times New Roman" w:hAnsi="Times New Roman"/>
          <w:b/>
          <w:color w:val="auto"/>
          <w:sz w:val="24"/>
          <w:szCs w:val="24"/>
          <w:lang w:val="en-US"/>
        </w:rPr>
        <w:t>t</w:t>
      </w:r>
      <w:r w:rsidRPr="00B672AF">
        <w:rPr>
          <w:rFonts w:ascii="Times New Roman" w:hAnsi="Times New Roman"/>
          <w:b/>
          <w:color w:val="auto"/>
          <w:sz w:val="24"/>
          <w:szCs w:val="24"/>
          <w:lang w:val="en-US"/>
        </w:rPr>
        <w:t xml:space="preserve">omography </w:t>
      </w:r>
      <w:bookmarkEnd w:id="2"/>
      <w:r w:rsidR="007E7DD0" w:rsidRPr="00B672AF">
        <w:rPr>
          <w:rFonts w:ascii="Times New Roman" w:hAnsi="Times New Roman"/>
          <w:b/>
          <w:color w:val="auto"/>
          <w:sz w:val="24"/>
          <w:szCs w:val="24"/>
          <w:lang w:val="en-US"/>
        </w:rPr>
        <w:t>s</w:t>
      </w:r>
      <w:r w:rsidR="004246B7" w:rsidRPr="00B672AF">
        <w:rPr>
          <w:rFonts w:ascii="Times New Roman" w:hAnsi="Times New Roman"/>
          <w:b/>
          <w:color w:val="auto"/>
          <w:sz w:val="24"/>
          <w:szCs w:val="24"/>
          <w:lang w:val="en-US"/>
        </w:rPr>
        <w:t>can</w:t>
      </w:r>
    </w:p>
    <w:p w14:paraId="52982241" w14:textId="72BAB9DF" w:rsidR="005C5469" w:rsidRPr="00B672AF" w:rsidRDefault="005C5469" w:rsidP="004246B7">
      <w:pPr>
        <w:pStyle w:val="Padro"/>
        <w:spacing w:after="0" w:line="480" w:lineRule="auto"/>
        <w:jc w:val="both"/>
        <w:rPr>
          <w:rFonts w:ascii="Times New Roman" w:hAnsi="Times New Roman"/>
          <w:color w:val="auto"/>
          <w:sz w:val="24"/>
          <w:szCs w:val="24"/>
          <w:lang w:val="en-US"/>
        </w:rPr>
      </w:pPr>
      <w:bookmarkStart w:id="3" w:name="_Hlk536017289"/>
      <w:r w:rsidRPr="00B672AF">
        <w:rPr>
          <w:rFonts w:ascii="Times New Roman" w:hAnsi="Times New Roman"/>
          <w:color w:val="auto"/>
          <w:sz w:val="24"/>
          <w:szCs w:val="24"/>
          <w:lang w:val="en-US"/>
        </w:rPr>
        <w:t xml:space="preserve">At </w:t>
      </w:r>
      <w:r w:rsidR="007E7DD0" w:rsidRPr="00B672AF">
        <w:rPr>
          <w:rFonts w:ascii="Times New Roman" w:hAnsi="Times New Roman"/>
          <w:color w:val="auto"/>
          <w:sz w:val="24"/>
          <w:szCs w:val="24"/>
          <w:lang w:val="en-US"/>
        </w:rPr>
        <w:t>PN</w:t>
      </w:r>
      <w:r w:rsidRPr="00B672AF">
        <w:rPr>
          <w:rFonts w:ascii="Times New Roman" w:hAnsi="Times New Roman"/>
          <w:color w:val="auto"/>
          <w:sz w:val="24"/>
          <w:szCs w:val="24"/>
          <w:lang w:val="en-US"/>
        </w:rPr>
        <w:t>150</w:t>
      </w:r>
      <w:bookmarkEnd w:id="3"/>
      <w:r w:rsidRPr="00B672AF">
        <w:rPr>
          <w:rFonts w:ascii="Times New Roman" w:hAnsi="Times New Roman"/>
          <w:color w:val="auto"/>
          <w:sz w:val="24"/>
          <w:szCs w:val="24"/>
          <w:lang w:val="en-US"/>
        </w:rPr>
        <w:t xml:space="preserve">, animals were anesthetized </w:t>
      </w:r>
      <w:r w:rsidRPr="00B672AF">
        <w:rPr>
          <w:rFonts w:ascii="Times New Roman" w:hAnsi="Times New Roman"/>
          <w:bCs/>
          <w:color w:val="auto"/>
          <w:sz w:val="24"/>
          <w:lang w:val="en-US"/>
        </w:rPr>
        <w:t xml:space="preserve">(75 mg/kg ketamine and 2 mg/kg midazolam intraperitoneally) </w:t>
      </w:r>
      <w:r w:rsidRPr="00B672AF">
        <w:rPr>
          <w:rFonts w:ascii="Times New Roman" w:hAnsi="Times New Roman"/>
          <w:color w:val="auto"/>
          <w:sz w:val="24"/>
          <w:szCs w:val="24"/>
          <w:lang w:val="en-US"/>
        </w:rPr>
        <w:t xml:space="preserve">and </w:t>
      </w:r>
      <w:r w:rsidR="00EA7AC5" w:rsidRPr="00B672AF">
        <w:rPr>
          <w:rFonts w:ascii="Times New Roman" w:hAnsi="Times New Roman"/>
          <w:color w:val="auto"/>
          <w:sz w:val="24"/>
          <w:szCs w:val="24"/>
          <w:lang w:val="en-US"/>
        </w:rPr>
        <w:t xml:space="preserve">placed </w:t>
      </w:r>
      <w:r w:rsidRPr="00B672AF">
        <w:rPr>
          <w:rFonts w:ascii="Times New Roman" w:hAnsi="Times New Roman"/>
          <w:color w:val="auto"/>
          <w:sz w:val="24"/>
          <w:szCs w:val="24"/>
          <w:lang w:val="en-US"/>
        </w:rPr>
        <w:t xml:space="preserve">in dorsal </w:t>
      </w:r>
      <w:r w:rsidR="00EA7AC5" w:rsidRPr="00B672AF">
        <w:rPr>
          <w:rFonts w:ascii="Times New Roman" w:hAnsi="Times New Roman"/>
          <w:color w:val="auto"/>
          <w:sz w:val="24"/>
          <w:szCs w:val="24"/>
          <w:lang w:val="en-US"/>
        </w:rPr>
        <w:t xml:space="preserve">recumbency for </w:t>
      </w:r>
      <w:r w:rsidR="004246B7" w:rsidRPr="00B672AF">
        <w:rPr>
          <w:rFonts w:ascii="Times New Roman" w:hAnsi="Times New Roman"/>
          <w:color w:val="auto"/>
          <w:sz w:val="24"/>
          <w:szCs w:val="24"/>
          <w:lang w:val="en-US"/>
        </w:rPr>
        <w:t>computed tomography (</w:t>
      </w:r>
      <w:r w:rsidRPr="00B672AF">
        <w:rPr>
          <w:rFonts w:ascii="Times New Roman" w:hAnsi="Times New Roman"/>
          <w:color w:val="auto"/>
          <w:sz w:val="24"/>
          <w:szCs w:val="24"/>
          <w:lang w:val="en-US"/>
        </w:rPr>
        <w:t>CT</w:t>
      </w:r>
      <w:r w:rsidR="004246B7" w:rsidRPr="00B672AF">
        <w:rPr>
          <w:rFonts w:ascii="Times New Roman" w:hAnsi="Times New Roman"/>
          <w:color w:val="auto"/>
          <w:sz w:val="24"/>
          <w:szCs w:val="24"/>
          <w:lang w:val="en-US"/>
        </w:rPr>
        <w:t>)</w:t>
      </w:r>
      <w:r w:rsidRPr="00B672AF">
        <w:rPr>
          <w:rFonts w:ascii="Times New Roman" w:hAnsi="Times New Roman"/>
          <w:color w:val="auto"/>
          <w:sz w:val="24"/>
          <w:szCs w:val="24"/>
          <w:lang w:val="en-US"/>
        </w:rPr>
        <w:t xml:space="preserve"> </w:t>
      </w:r>
      <w:r w:rsidR="00EA7AC5" w:rsidRPr="00B672AF">
        <w:rPr>
          <w:rFonts w:ascii="Times New Roman" w:hAnsi="Times New Roman"/>
          <w:color w:val="auto"/>
          <w:sz w:val="24"/>
          <w:szCs w:val="24"/>
          <w:lang w:val="en-US"/>
        </w:rPr>
        <w:t>of the chest</w:t>
      </w:r>
      <w:r w:rsidRPr="00B672AF">
        <w:rPr>
          <w:rFonts w:ascii="Times New Roman" w:hAnsi="Times New Roman"/>
          <w:color w:val="auto"/>
          <w:sz w:val="24"/>
          <w:szCs w:val="24"/>
          <w:lang w:val="en-US"/>
        </w:rPr>
        <w:t xml:space="preserve">. Lungs were scanned lengthwise in conventional mode using a fast-rotating GE PET/CT </w:t>
      </w:r>
      <w:r w:rsidR="00EA7AC5" w:rsidRPr="00B672AF">
        <w:rPr>
          <w:rFonts w:ascii="Times New Roman" w:hAnsi="Times New Roman"/>
          <w:color w:val="auto"/>
          <w:sz w:val="24"/>
          <w:szCs w:val="24"/>
          <w:lang w:val="en-US"/>
        </w:rPr>
        <w:t xml:space="preserve">Optima </w:t>
      </w:r>
      <w:r w:rsidRPr="00B672AF">
        <w:rPr>
          <w:rFonts w:ascii="Times New Roman" w:hAnsi="Times New Roman"/>
          <w:color w:val="auto"/>
          <w:sz w:val="24"/>
          <w:szCs w:val="24"/>
          <w:lang w:val="en-US"/>
        </w:rPr>
        <w:t>560 scanner (GE Healthcare, Boston, USA) with the following settings: 120 kV peak voltage, 80 mA tube current</w:t>
      </w:r>
      <w:r w:rsidR="00EA7AC5" w:rsidRPr="00B672AF">
        <w:rPr>
          <w:rFonts w:ascii="Times New Roman" w:hAnsi="Times New Roman"/>
          <w:color w:val="auto"/>
          <w:sz w:val="24"/>
          <w:szCs w:val="24"/>
          <w:lang w:val="en-US"/>
        </w:rPr>
        <w:t xml:space="preserve">, </w:t>
      </w:r>
      <w:r w:rsidRPr="00B672AF">
        <w:rPr>
          <w:rFonts w:ascii="Times New Roman" w:hAnsi="Times New Roman"/>
          <w:color w:val="auto"/>
          <w:sz w:val="24"/>
          <w:szCs w:val="24"/>
          <w:lang w:val="en-US"/>
        </w:rPr>
        <w:t xml:space="preserve">and 16 </w:t>
      </w:r>
      <w:proofErr w:type="spellStart"/>
      <w:r w:rsidRPr="00B672AF">
        <w:rPr>
          <w:rFonts w:ascii="Times New Roman" w:hAnsi="Times New Roman"/>
          <w:color w:val="auto"/>
          <w:sz w:val="24"/>
          <w:szCs w:val="24"/>
          <w:lang w:val="en-US"/>
        </w:rPr>
        <w:t>ms</w:t>
      </w:r>
      <w:proofErr w:type="spellEnd"/>
      <w:r w:rsidRPr="00B672AF">
        <w:rPr>
          <w:rFonts w:ascii="Times New Roman" w:hAnsi="Times New Roman"/>
          <w:color w:val="auto"/>
          <w:sz w:val="24"/>
          <w:szCs w:val="24"/>
          <w:lang w:val="en-US"/>
        </w:rPr>
        <w:t xml:space="preserve"> exposure time. Contiguous </w:t>
      </w:r>
      <w:r w:rsidR="00EA7AC5" w:rsidRPr="00B672AF">
        <w:rPr>
          <w:rFonts w:ascii="Times New Roman" w:hAnsi="Times New Roman"/>
          <w:color w:val="auto"/>
          <w:sz w:val="24"/>
          <w:szCs w:val="24"/>
          <w:lang w:val="en-US"/>
        </w:rPr>
        <w:t xml:space="preserve">slices </w:t>
      </w:r>
      <w:r w:rsidR="007E7DD0" w:rsidRPr="00B672AF">
        <w:rPr>
          <w:rFonts w:ascii="Times New Roman" w:hAnsi="Times New Roman"/>
          <w:color w:val="auto"/>
          <w:sz w:val="24"/>
          <w:szCs w:val="24"/>
          <w:lang w:val="en-US"/>
        </w:rPr>
        <w:t xml:space="preserve">0.68 mm thick </w:t>
      </w:r>
      <w:r w:rsidRPr="00B672AF">
        <w:rPr>
          <w:rFonts w:ascii="Times New Roman" w:hAnsi="Times New Roman"/>
          <w:color w:val="auto"/>
          <w:sz w:val="24"/>
          <w:szCs w:val="24"/>
          <w:lang w:val="en-US"/>
        </w:rPr>
        <w:t xml:space="preserve">were obtained from the apex to the base of the lungs by incremental movement of the scanning table. Images were analyzed using a 100-mm field of view and a 512 </w:t>
      </w:r>
      <w:r w:rsidR="00EA7AC5" w:rsidRPr="00B672AF">
        <w:rPr>
          <w:rFonts w:ascii="Times New Roman" w:hAnsi="Times New Roman"/>
          <w:color w:val="auto"/>
          <w:sz w:val="24"/>
          <w:szCs w:val="24"/>
          <w:lang w:val="en-US"/>
        </w:rPr>
        <w:t>×</w:t>
      </w:r>
      <w:r w:rsidRPr="00B672AF">
        <w:rPr>
          <w:rFonts w:ascii="Times New Roman" w:hAnsi="Times New Roman"/>
          <w:color w:val="auto"/>
          <w:sz w:val="24"/>
          <w:szCs w:val="24"/>
          <w:lang w:val="en-US"/>
        </w:rPr>
        <w:t xml:space="preserve"> 512 reconstruction matrix in conventional mode. All slices were segmented and the CT number in Hounsfield </w:t>
      </w:r>
      <w:r w:rsidR="00EA7AC5" w:rsidRPr="00B672AF">
        <w:rPr>
          <w:rFonts w:ascii="Times New Roman" w:hAnsi="Times New Roman"/>
          <w:color w:val="auto"/>
          <w:sz w:val="24"/>
          <w:szCs w:val="24"/>
          <w:lang w:val="en-US"/>
        </w:rPr>
        <w:t>u</w:t>
      </w:r>
      <w:r w:rsidRPr="00B672AF">
        <w:rPr>
          <w:rFonts w:ascii="Times New Roman" w:hAnsi="Times New Roman"/>
          <w:color w:val="auto"/>
          <w:sz w:val="24"/>
          <w:szCs w:val="24"/>
          <w:lang w:val="en-US"/>
        </w:rPr>
        <w:t>nit</w:t>
      </w:r>
      <w:r w:rsidR="00EA7AC5" w:rsidRPr="00B672AF">
        <w:rPr>
          <w:rFonts w:ascii="Times New Roman" w:hAnsi="Times New Roman"/>
          <w:color w:val="auto"/>
          <w:sz w:val="24"/>
          <w:szCs w:val="24"/>
          <w:lang w:val="en-US"/>
        </w:rPr>
        <w:t>s</w:t>
      </w:r>
      <w:r w:rsidRPr="00B672AF">
        <w:rPr>
          <w:rFonts w:ascii="Times New Roman" w:hAnsi="Times New Roman"/>
          <w:color w:val="auto"/>
          <w:sz w:val="24"/>
          <w:szCs w:val="24"/>
          <w:lang w:val="en-US"/>
        </w:rPr>
        <w:t xml:space="preserve"> (HU</w:t>
      </w:r>
      <w:r w:rsidR="00EA7AC5" w:rsidRPr="00B672AF">
        <w:rPr>
          <w:rFonts w:ascii="Times New Roman" w:hAnsi="Times New Roman"/>
          <w:color w:val="auto"/>
          <w:sz w:val="24"/>
          <w:szCs w:val="24"/>
          <w:lang w:val="en-US"/>
        </w:rPr>
        <w:t>s</w:t>
      </w:r>
      <w:r w:rsidRPr="00B672AF">
        <w:rPr>
          <w:rFonts w:ascii="Times New Roman" w:hAnsi="Times New Roman"/>
          <w:color w:val="auto"/>
          <w:sz w:val="24"/>
          <w:szCs w:val="24"/>
          <w:lang w:val="en-US"/>
        </w:rPr>
        <w:t xml:space="preserve">) </w:t>
      </w:r>
      <w:r w:rsidR="00EA7AC5" w:rsidRPr="00B672AF">
        <w:rPr>
          <w:rFonts w:ascii="Times New Roman" w:hAnsi="Times New Roman"/>
          <w:color w:val="auto"/>
          <w:sz w:val="24"/>
          <w:szCs w:val="24"/>
          <w:lang w:val="en-US"/>
        </w:rPr>
        <w:t xml:space="preserve">used for </w:t>
      </w:r>
      <w:r w:rsidRPr="00B672AF">
        <w:rPr>
          <w:rFonts w:ascii="Times New Roman" w:hAnsi="Times New Roman"/>
          <w:color w:val="auto"/>
          <w:sz w:val="24"/>
          <w:szCs w:val="24"/>
          <w:lang w:val="en-US"/>
        </w:rPr>
        <w:t>classifi</w:t>
      </w:r>
      <w:r w:rsidR="00EA7AC5" w:rsidRPr="00B672AF">
        <w:rPr>
          <w:rFonts w:ascii="Times New Roman" w:hAnsi="Times New Roman"/>
          <w:color w:val="auto"/>
          <w:sz w:val="24"/>
          <w:szCs w:val="24"/>
          <w:lang w:val="en-US"/>
        </w:rPr>
        <w:t>cation as follows</w:t>
      </w:r>
      <w:r w:rsidRPr="00B672AF">
        <w:rPr>
          <w:rFonts w:ascii="Times New Roman" w:hAnsi="Times New Roman"/>
          <w:color w:val="auto"/>
          <w:sz w:val="24"/>
          <w:szCs w:val="24"/>
          <w:lang w:val="en-US"/>
        </w:rPr>
        <w:t xml:space="preserve">: </w:t>
      </w:r>
      <w:r w:rsidR="00DF4D0E">
        <w:rPr>
          <w:rFonts w:ascii="Times New Roman" w:hAnsi="Times New Roman"/>
          <w:color w:val="auto"/>
          <w:sz w:val="24"/>
          <w:szCs w:val="24"/>
          <w:lang w:val="en-US"/>
        </w:rPr>
        <w:t>−</w:t>
      </w:r>
      <w:r w:rsidRPr="00B672AF">
        <w:rPr>
          <w:rFonts w:ascii="Times New Roman" w:hAnsi="Times New Roman"/>
          <w:color w:val="auto"/>
          <w:sz w:val="24"/>
          <w:szCs w:val="24"/>
          <w:lang w:val="en-US"/>
        </w:rPr>
        <w:t xml:space="preserve">1024 </w:t>
      </w:r>
      <w:r w:rsidR="00EA7AC5" w:rsidRPr="00B672AF">
        <w:rPr>
          <w:rFonts w:ascii="Times New Roman" w:hAnsi="Times New Roman"/>
          <w:color w:val="auto"/>
          <w:sz w:val="24"/>
          <w:szCs w:val="24"/>
          <w:lang w:val="en-US"/>
        </w:rPr>
        <w:t xml:space="preserve">HU </w:t>
      </w:r>
      <w:r w:rsidRPr="00B672AF">
        <w:rPr>
          <w:rFonts w:ascii="Times New Roman" w:hAnsi="Times New Roman"/>
          <w:color w:val="auto"/>
          <w:sz w:val="24"/>
          <w:szCs w:val="24"/>
          <w:lang w:val="en-US"/>
        </w:rPr>
        <w:t xml:space="preserve">to </w:t>
      </w:r>
      <w:r w:rsidR="00DF4D0E">
        <w:rPr>
          <w:rFonts w:ascii="Times New Roman" w:hAnsi="Times New Roman"/>
          <w:color w:val="auto"/>
          <w:sz w:val="24"/>
          <w:szCs w:val="24"/>
          <w:lang w:val="en-US"/>
        </w:rPr>
        <w:t>−</w:t>
      </w:r>
      <w:r w:rsidRPr="00B672AF">
        <w:rPr>
          <w:rFonts w:ascii="Times New Roman" w:hAnsi="Times New Roman"/>
          <w:color w:val="auto"/>
          <w:sz w:val="24"/>
          <w:szCs w:val="24"/>
          <w:lang w:val="en-US"/>
        </w:rPr>
        <w:t xml:space="preserve">900 UH, </w:t>
      </w:r>
      <w:r w:rsidR="00EA7AC5" w:rsidRPr="00B672AF">
        <w:rPr>
          <w:rFonts w:ascii="Times New Roman" w:hAnsi="Times New Roman"/>
          <w:color w:val="auto"/>
          <w:sz w:val="24"/>
          <w:szCs w:val="24"/>
          <w:lang w:val="en-US"/>
        </w:rPr>
        <w:t xml:space="preserve">hyperaerated area; </w:t>
      </w:r>
      <w:r w:rsidR="00DF4D0E">
        <w:rPr>
          <w:rFonts w:ascii="Times New Roman" w:hAnsi="Times New Roman"/>
          <w:color w:val="auto"/>
          <w:sz w:val="24"/>
          <w:szCs w:val="24"/>
          <w:lang w:val="en-US"/>
        </w:rPr>
        <w:t>−</w:t>
      </w:r>
      <w:r w:rsidRPr="00B672AF">
        <w:rPr>
          <w:rFonts w:ascii="Times New Roman" w:hAnsi="Times New Roman"/>
          <w:color w:val="auto"/>
          <w:sz w:val="24"/>
          <w:szCs w:val="24"/>
          <w:lang w:val="en-US"/>
        </w:rPr>
        <w:t xml:space="preserve">900 </w:t>
      </w:r>
      <w:r w:rsidR="00EA7AC5" w:rsidRPr="00B672AF">
        <w:rPr>
          <w:rFonts w:ascii="Times New Roman" w:hAnsi="Times New Roman"/>
          <w:color w:val="auto"/>
          <w:sz w:val="24"/>
          <w:szCs w:val="24"/>
          <w:lang w:val="en-US"/>
        </w:rPr>
        <w:t xml:space="preserve">HU </w:t>
      </w:r>
      <w:r w:rsidRPr="00B672AF">
        <w:rPr>
          <w:rFonts w:ascii="Times New Roman" w:hAnsi="Times New Roman"/>
          <w:color w:val="auto"/>
          <w:sz w:val="24"/>
          <w:szCs w:val="24"/>
          <w:lang w:val="en-US"/>
        </w:rPr>
        <w:t xml:space="preserve">to </w:t>
      </w:r>
      <w:r w:rsidR="00DF4D0E">
        <w:rPr>
          <w:rFonts w:ascii="Times New Roman" w:hAnsi="Times New Roman"/>
          <w:color w:val="auto"/>
          <w:sz w:val="24"/>
          <w:szCs w:val="24"/>
          <w:lang w:val="en-US"/>
        </w:rPr>
        <w:t>−</w:t>
      </w:r>
      <w:r w:rsidRPr="00B672AF">
        <w:rPr>
          <w:rFonts w:ascii="Times New Roman" w:hAnsi="Times New Roman"/>
          <w:color w:val="auto"/>
          <w:sz w:val="24"/>
          <w:szCs w:val="24"/>
          <w:lang w:val="en-US"/>
        </w:rPr>
        <w:t xml:space="preserve">500 </w:t>
      </w:r>
      <w:r w:rsidR="00EA7AC5" w:rsidRPr="00B672AF">
        <w:rPr>
          <w:rFonts w:ascii="Times New Roman" w:hAnsi="Times New Roman"/>
          <w:color w:val="auto"/>
          <w:sz w:val="24"/>
          <w:szCs w:val="24"/>
          <w:lang w:val="en-US"/>
        </w:rPr>
        <w:t>HU</w:t>
      </w:r>
      <w:r w:rsidRPr="00B672AF">
        <w:rPr>
          <w:rFonts w:ascii="Times New Roman" w:hAnsi="Times New Roman"/>
          <w:color w:val="auto"/>
          <w:sz w:val="24"/>
          <w:szCs w:val="24"/>
          <w:lang w:val="en-US"/>
        </w:rPr>
        <w:t xml:space="preserve">, </w:t>
      </w:r>
      <w:r w:rsidR="00EA7AC5" w:rsidRPr="00B672AF">
        <w:rPr>
          <w:rFonts w:ascii="Times New Roman" w:hAnsi="Times New Roman"/>
          <w:color w:val="auto"/>
          <w:sz w:val="24"/>
          <w:szCs w:val="24"/>
          <w:lang w:val="en-US"/>
        </w:rPr>
        <w:t xml:space="preserve">normally aerated area; </w:t>
      </w:r>
      <w:r w:rsidR="00DF4D0E">
        <w:rPr>
          <w:rFonts w:ascii="Times New Roman" w:hAnsi="Times New Roman"/>
          <w:color w:val="auto"/>
          <w:sz w:val="24"/>
          <w:szCs w:val="24"/>
          <w:lang w:val="en-US"/>
        </w:rPr>
        <w:t>−</w:t>
      </w:r>
      <w:r w:rsidRPr="00B672AF">
        <w:rPr>
          <w:rFonts w:ascii="Times New Roman" w:hAnsi="Times New Roman"/>
          <w:color w:val="auto"/>
          <w:sz w:val="24"/>
          <w:szCs w:val="24"/>
          <w:lang w:val="en-US"/>
        </w:rPr>
        <w:t xml:space="preserve">500 </w:t>
      </w:r>
      <w:r w:rsidR="00EA7AC5" w:rsidRPr="00B672AF">
        <w:rPr>
          <w:rFonts w:ascii="Times New Roman" w:hAnsi="Times New Roman"/>
          <w:color w:val="auto"/>
          <w:sz w:val="24"/>
          <w:szCs w:val="24"/>
          <w:lang w:val="en-US"/>
        </w:rPr>
        <w:t xml:space="preserve">HU </w:t>
      </w:r>
      <w:r w:rsidRPr="00B672AF">
        <w:rPr>
          <w:rFonts w:ascii="Times New Roman" w:hAnsi="Times New Roman"/>
          <w:color w:val="auto"/>
          <w:sz w:val="24"/>
          <w:szCs w:val="24"/>
          <w:lang w:val="en-US"/>
        </w:rPr>
        <w:t xml:space="preserve">to </w:t>
      </w:r>
      <w:r w:rsidR="00DF4D0E">
        <w:rPr>
          <w:rFonts w:ascii="Times New Roman" w:hAnsi="Times New Roman"/>
          <w:color w:val="auto"/>
          <w:sz w:val="24"/>
          <w:szCs w:val="24"/>
          <w:lang w:val="en-US"/>
        </w:rPr>
        <w:t>−</w:t>
      </w:r>
      <w:r w:rsidRPr="00B672AF">
        <w:rPr>
          <w:rFonts w:ascii="Times New Roman" w:hAnsi="Times New Roman"/>
          <w:color w:val="auto"/>
          <w:sz w:val="24"/>
          <w:szCs w:val="24"/>
          <w:lang w:val="en-US"/>
        </w:rPr>
        <w:t xml:space="preserve">100 </w:t>
      </w:r>
      <w:r w:rsidR="00EA7AC5" w:rsidRPr="00B672AF">
        <w:rPr>
          <w:rFonts w:ascii="Times New Roman" w:hAnsi="Times New Roman"/>
          <w:color w:val="auto"/>
          <w:sz w:val="24"/>
          <w:szCs w:val="24"/>
          <w:lang w:val="en-US"/>
        </w:rPr>
        <w:t xml:space="preserve">HU, </w:t>
      </w:r>
      <w:proofErr w:type="spellStart"/>
      <w:r w:rsidR="00EA7AC5" w:rsidRPr="00B672AF">
        <w:rPr>
          <w:rFonts w:ascii="Times New Roman" w:hAnsi="Times New Roman"/>
          <w:color w:val="auto"/>
          <w:sz w:val="24"/>
          <w:szCs w:val="24"/>
          <w:lang w:val="en-US"/>
        </w:rPr>
        <w:t>hypoaerated</w:t>
      </w:r>
      <w:proofErr w:type="spellEnd"/>
      <w:r w:rsidR="00EA7AC5" w:rsidRPr="00B672AF">
        <w:rPr>
          <w:rFonts w:ascii="Times New Roman" w:hAnsi="Times New Roman"/>
          <w:color w:val="auto"/>
          <w:sz w:val="24"/>
          <w:szCs w:val="24"/>
          <w:lang w:val="en-US"/>
        </w:rPr>
        <w:t xml:space="preserve"> area; </w:t>
      </w:r>
      <w:r w:rsidRPr="00B672AF">
        <w:rPr>
          <w:rFonts w:ascii="Times New Roman" w:hAnsi="Times New Roman"/>
          <w:color w:val="auto"/>
          <w:sz w:val="24"/>
          <w:szCs w:val="24"/>
          <w:lang w:val="en-US"/>
        </w:rPr>
        <w:t xml:space="preserve">and </w:t>
      </w:r>
      <w:r w:rsidR="00DF4D0E">
        <w:rPr>
          <w:rFonts w:ascii="Times New Roman" w:hAnsi="Times New Roman"/>
          <w:color w:val="auto"/>
          <w:sz w:val="24"/>
          <w:szCs w:val="24"/>
          <w:lang w:val="en-US"/>
        </w:rPr>
        <w:t>−</w:t>
      </w:r>
      <w:r w:rsidRPr="00B672AF">
        <w:rPr>
          <w:rFonts w:ascii="Times New Roman" w:hAnsi="Times New Roman"/>
          <w:color w:val="auto"/>
          <w:sz w:val="24"/>
          <w:szCs w:val="24"/>
          <w:lang w:val="en-US"/>
        </w:rPr>
        <w:t xml:space="preserve">100 </w:t>
      </w:r>
      <w:r w:rsidR="00EA7AC5" w:rsidRPr="00B672AF">
        <w:rPr>
          <w:rFonts w:ascii="Times New Roman" w:hAnsi="Times New Roman"/>
          <w:color w:val="auto"/>
          <w:sz w:val="24"/>
          <w:szCs w:val="24"/>
          <w:lang w:val="en-US"/>
        </w:rPr>
        <w:t xml:space="preserve">HU </w:t>
      </w:r>
      <w:r w:rsidRPr="00B672AF">
        <w:rPr>
          <w:rFonts w:ascii="Times New Roman" w:hAnsi="Times New Roman"/>
          <w:color w:val="auto"/>
          <w:sz w:val="24"/>
          <w:szCs w:val="24"/>
          <w:lang w:val="en-US"/>
        </w:rPr>
        <w:t xml:space="preserve">to 100 </w:t>
      </w:r>
      <w:r w:rsidR="00EA7AC5" w:rsidRPr="00B672AF">
        <w:rPr>
          <w:rFonts w:ascii="Times New Roman" w:hAnsi="Times New Roman"/>
          <w:color w:val="auto"/>
          <w:sz w:val="24"/>
          <w:szCs w:val="24"/>
          <w:lang w:val="en-US"/>
        </w:rPr>
        <w:t xml:space="preserve">HU, non-aerated area </w:t>
      </w:r>
      <w:r w:rsidRPr="00B672AF">
        <w:rPr>
          <w:rFonts w:ascii="Times New Roman" w:hAnsi="Times New Roman"/>
          <w:color w:val="auto"/>
          <w:sz w:val="24"/>
          <w:szCs w:val="24"/>
          <w:lang w:val="en-US"/>
        </w:rPr>
        <w:t>(</w:t>
      </w:r>
      <w:proofErr w:type="spellStart"/>
      <w:r w:rsidRPr="00B672AF">
        <w:rPr>
          <w:rFonts w:ascii="Times New Roman" w:hAnsi="Times New Roman"/>
          <w:color w:val="auto"/>
          <w:sz w:val="24"/>
          <w:szCs w:val="24"/>
          <w:lang w:val="en-US"/>
        </w:rPr>
        <w:t>Gattinoni</w:t>
      </w:r>
      <w:proofErr w:type="spellEnd"/>
      <w:r w:rsidRPr="00B672AF">
        <w:rPr>
          <w:rFonts w:ascii="Times New Roman" w:hAnsi="Times New Roman"/>
          <w:color w:val="auto"/>
          <w:sz w:val="24"/>
          <w:szCs w:val="24"/>
          <w:lang w:val="en-US"/>
        </w:rPr>
        <w:t xml:space="preserve"> et al., 2001). Lung mass was calculated by assuming each voxel was a linear combination of only air and tissue</w:t>
      </w:r>
      <w:sdt>
        <w:sdtPr>
          <w:rPr>
            <w:rFonts w:ascii="Times New Roman" w:hAnsi="Times New Roman"/>
            <w:color w:val="auto"/>
            <w:sz w:val="24"/>
            <w:szCs w:val="24"/>
            <w:lang w:val="en-US"/>
          </w:rPr>
          <w:tag w:val="citation"/>
          <w:id w:val="870111744"/>
          <w:placeholder>
            <w:docPart w:val="DefaultPlaceholder_-1854013440"/>
          </w:placeholder>
        </w:sdtPr>
        <w:sdtEndPr/>
        <w:sdtContent>
          <w:r w:rsidR="00FF0C67" w:rsidRPr="00B672AF">
            <w:rPr>
              <w:rFonts w:eastAsia="Times New Roman"/>
              <w:color w:val="auto"/>
              <w:vertAlign w:val="superscript"/>
              <w:lang w:val="en-US"/>
            </w:rPr>
            <w:t>3</w:t>
          </w:r>
        </w:sdtContent>
      </w:sdt>
      <w:r w:rsidRPr="00B672AF">
        <w:rPr>
          <w:rFonts w:ascii="Times New Roman" w:hAnsi="Times New Roman"/>
          <w:color w:val="auto"/>
          <w:sz w:val="24"/>
          <w:szCs w:val="24"/>
          <w:lang w:val="en-US"/>
        </w:rPr>
        <w:t>.</w:t>
      </w:r>
    </w:p>
    <w:p w14:paraId="316703BC" w14:textId="77777777" w:rsidR="005C5469" w:rsidRPr="00B672AF" w:rsidRDefault="005C5469" w:rsidP="004246B7">
      <w:pPr>
        <w:pStyle w:val="Padro"/>
        <w:spacing w:after="0" w:line="480" w:lineRule="auto"/>
        <w:jc w:val="both"/>
        <w:rPr>
          <w:rFonts w:ascii="Times New Roman" w:hAnsi="Times New Roman"/>
          <w:color w:val="auto"/>
          <w:sz w:val="24"/>
          <w:szCs w:val="24"/>
          <w:lang w:val="en-US"/>
        </w:rPr>
      </w:pPr>
      <w:r w:rsidRPr="00B672AF">
        <w:rPr>
          <w:rFonts w:ascii="Times New Roman" w:hAnsi="Times New Roman"/>
          <w:color w:val="auto"/>
          <w:sz w:val="24"/>
          <w:szCs w:val="24"/>
          <w:lang w:val="en-US"/>
        </w:rPr>
        <w:lastRenderedPageBreak/>
        <w:t>For analysis of visceral adipose tissue</w:t>
      </w:r>
      <w:r w:rsidR="00EA7AC5" w:rsidRPr="00B672AF">
        <w:rPr>
          <w:rFonts w:ascii="Times New Roman" w:hAnsi="Times New Roman"/>
          <w:color w:val="auto"/>
          <w:sz w:val="24"/>
          <w:szCs w:val="24"/>
          <w:lang w:val="en-US"/>
        </w:rPr>
        <w:t>,</w:t>
      </w:r>
      <w:r w:rsidRPr="00B672AF">
        <w:rPr>
          <w:rFonts w:ascii="Times New Roman" w:hAnsi="Times New Roman"/>
          <w:color w:val="auto"/>
          <w:sz w:val="24"/>
          <w:szCs w:val="24"/>
          <w:lang w:val="en-US"/>
        </w:rPr>
        <w:t xml:space="preserve"> 0.68</w:t>
      </w:r>
      <w:r w:rsidR="00EA7AC5" w:rsidRPr="00B672AF">
        <w:rPr>
          <w:rFonts w:ascii="Times New Roman" w:hAnsi="Times New Roman"/>
          <w:color w:val="auto"/>
          <w:sz w:val="24"/>
          <w:szCs w:val="24"/>
          <w:lang w:val="en-US"/>
        </w:rPr>
        <w:t>-</w:t>
      </w:r>
      <w:r w:rsidRPr="00B672AF">
        <w:rPr>
          <w:rFonts w:ascii="Times New Roman" w:hAnsi="Times New Roman"/>
          <w:color w:val="auto"/>
          <w:sz w:val="24"/>
          <w:szCs w:val="24"/>
          <w:lang w:val="en-US"/>
        </w:rPr>
        <w:t xml:space="preserve">mm </w:t>
      </w:r>
      <w:r w:rsidR="00EA7AC5" w:rsidRPr="00B672AF">
        <w:rPr>
          <w:rFonts w:ascii="Times New Roman" w:hAnsi="Times New Roman"/>
          <w:color w:val="auto"/>
          <w:sz w:val="24"/>
          <w:szCs w:val="24"/>
          <w:lang w:val="en-US"/>
        </w:rPr>
        <w:t xml:space="preserve">axial slices were obtained </w:t>
      </w:r>
      <w:r w:rsidRPr="00B672AF">
        <w:rPr>
          <w:rFonts w:ascii="Times New Roman" w:hAnsi="Times New Roman"/>
          <w:color w:val="auto"/>
          <w:sz w:val="24"/>
          <w:szCs w:val="24"/>
          <w:lang w:val="en-US"/>
        </w:rPr>
        <w:t xml:space="preserve">without contrast. </w:t>
      </w:r>
      <w:r w:rsidR="00EA7AC5" w:rsidRPr="00B672AF">
        <w:rPr>
          <w:rFonts w:ascii="Times New Roman" w:hAnsi="Times New Roman"/>
          <w:color w:val="auto"/>
          <w:sz w:val="24"/>
          <w:szCs w:val="24"/>
          <w:lang w:val="en-US"/>
        </w:rPr>
        <w:t>S</w:t>
      </w:r>
      <w:r w:rsidRPr="00B672AF">
        <w:rPr>
          <w:rFonts w:ascii="Times New Roman" w:hAnsi="Times New Roman"/>
          <w:color w:val="auto"/>
          <w:sz w:val="24"/>
          <w:szCs w:val="24"/>
          <w:lang w:val="en-US"/>
        </w:rPr>
        <w:t xml:space="preserve">ections of the caudal </w:t>
      </w:r>
      <w:r w:rsidR="00EA7AC5" w:rsidRPr="00B672AF">
        <w:rPr>
          <w:rFonts w:ascii="Times New Roman" w:hAnsi="Times New Roman"/>
          <w:color w:val="auto"/>
          <w:sz w:val="24"/>
          <w:szCs w:val="24"/>
          <w:lang w:val="en-US"/>
        </w:rPr>
        <w:t xml:space="preserve">retroperitoneal </w:t>
      </w:r>
      <w:r w:rsidRPr="00B672AF">
        <w:rPr>
          <w:rFonts w:ascii="Times New Roman" w:hAnsi="Times New Roman"/>
          <w:color w:val="auto"/>
          <w:sz w:val="24"/>
          <w:szCs w:val="24"/>
          <w:lang w:val="en-US"/>
        </w:rPr>
        <w:t xml:space="preserve">region at the </w:t>
      </w:r>
      <w:r w:rsidR="00EA7AC5" w:rsidRPr="00B672AF">
        <w:rPr>
          <w:rFonts w:ascii="Times New Roman" w:hAnsi="Times New Roman"/>
          <w:color w:val="auto"/>
          <w:sz w:val="24"/>
          <w:szCs w:val="24"/>
          <w:lang w:val="en-US"/>
        </w:rPr>
        <w:t xml:space="preserve">level of the </w:t>
      </w:r>
      <w:r w:rsidRPr="00B672AF">
        <w:rPr>
          <w:rFonts w:ascii="Times New Roman" w:hAnsi="Times New Roman"/>
          <w:color w:val="auto"/>
          <w:sz w:val="24"/>
          <w:szCs w:val="24"/>
          <w:lang w:val="en-US"/>
        </w:rPr>
        <w:t xml:space="preserve">lower pole </w:t>
      </w:r>
      <w:r w:rsidR="00EA7AC5" w:rsidRPr="00B672AF">
        <w:rPr>
          <w:rFonts w:ascii="Times New Roman" w:hAnsi="Times New Roman"/>
          <w:color w:val="auto"/>
          <w:sz w:val="24"/>
          <w:szCs w:val="24"/>
          <w:lang w:val="en-US"/>
        </w:rPr>
        <w:t xml:space="preserve">of the kidneys </w:t>
      </w:r>
      <w:r w:rsidRPr="00B672AF">
        <w:rPr>
          <w:rFonts w:ascii="Times New Roman" w:hAnsi="Times New Roman"/>
          <w:color w:val="auto"/>
          <w:sz w:val="24"/>
          <w:szCs w:val="24"/>
          <w:lang w:val="en-US"/>
        </w:rPr>
        <w:t>were used</w:t>
      </w:r>
      <w:r w:rsidR="00EA7AC5" w:rsidRPr="00B672AF">
        <w:rPr>
          <w:rFonts w:ascii="Times New Roman" w:hAnsi="Times New Roman"/>
          <w:color w:val="auto"/>
          <w:sz w:val="24"/>
          <w:szCs w:val="24"/>
          <w:lang w:val="en-US"/>
        </w:rPr>
        <w:t xml:space="preserve">, </w:t>
      </w:r>
      <w:r w:rsidRPr="00B672AF">
        <w:rPr>
          <w:rFonts w:ascii="Times New Roman" w:hAnsi="Times New Roman"/>
          <w:color w:val="auto"/>
          <w:sz w:val="24"/>
          <w:szCs w:val="24"/>
          <w:lang w:val="en-US"/>
        </w:rPr>
        <w:t xml:space="preserve">since this is the region where fatty tissue </w:t>
      </w:r>
      <w:r w:rsidR="00EA7AC5" w:rsidRPr="00B672AF">
        <w:rPr>
          <w:rFonts w:ascii="Times New Roman" w:hAnsi="Times New Roman"/>
          <w:color w:val="auto"/>
          <w:sz w:val="24"/>
          <w:szCs w:val="24"/>
          <w:lang w:val="en-US"/>
        </w:rPr>
        <w:t xml:space="preserve">is </w:t>
      </w:r>
      <w:r w:rsidR="00902712" w:rsidRPr="00B672AF">
        <w:rPr>
          <w:rFonts w:ascii="Times New Roman" w:hAnsi="Times New Roman"/>
          <w:color w:val="auto"/>
          <w:sz w:val="24"/>
          <w:szCs w:val="24"/>
          <w:lang w:val="en-US"/>
        </w:rPr>
        <w:t>observed,</w:t>
      </w:r>
      <w:r w:rsidR="00EA7AC5" w:rsidRPr="00B672AF">
        <w:rPr>
          <w:rFonts w:ascii="Times New Roman" w:hAnsi="Times New Roman"/>
          <w:color w:val="auto"/>
          <w:sz w:val="24"/>
          <w:szCs w:val="24"/>
          <w:lang w:val="en-US"/>
        </w:rPr>
        <w:t xml:space="preserve"> </w:t>
      </w:r>
      <w:r w:rsidRPr="00B672AF">
        <w:rPr>
          <w:rFonts w:ascii="Times New Roman" w:hAnsi="Times New Roman"/>
          <w:color w:val="auto"/>
          <w:sz w:val="24"/>
          <w:szCs w:val="24"/>
          <w:lang w:val="en-US"/>
        </w:rPr>
        <w:t>and the mesenteric fat appears sparse</w:t>
      </w:r>
      <w:r w:rsidR="00902712" w:rsidRPr="00B672AF">
        <w:rPr>
          <w:rFonts w:ascii="Times New Roman" w:hAnsi="Times New Roman"/>
          <w:color w:val="auto"/>
          <w:sz w:val="24"/>
          <w:szCs w:val="24"/>
          <w:vertAlign w:val="superscript"/>
          <w:lang w:val="en-US"/>
        </w:rPr>
        <w:t>4</w:t>
      </w:r>
      <w:r w:rsidRPr="00B672AF">
        <w:rPr>
          <w:rFonts w:ascii="Times New Roman" w:hAnsi="Times New Roman"/>
          <w:color w:val="auto"/>
          <w:sz w:val="24"/>
          <w:szCs w:val="24"/>
          <w:lang w:val="en-US"/>
        </w:rPr>
        <w:t xml:space="preserve">. </w:t>
      </w:r>
    </w:p>
    <w:p w14:paraId="58072141" w14:textId="47D9F1CC" w:rsidR="00B568B6" w:rsidRPr="00B672AF" w:rsidRDefault="00AF1082" w:rsidP="004246B7">
      <w:pPr>
        <w:pStyle w:val="Padro"/>
        <w:spacing w:after="0" w:line="480" w:lineRule="auto"/>
        <w:jc w:val="both"/>
        <w:rPr>
          <w:rFonts w:ascii="Times New Roman" w:hAnsi="Times New Roman"/>
          <w:b/>
          <w:color w:val="auto"/>
          <w:sz w:val="24"/>
          <w:szCs w:val="24"/>
          <w:lang w:val="en-US"/>
        </w:rPr>
      </w:pPr>
      <w:r w:rsidRPr="00B672AF">
        <w:rPr>
          <w:rFonts w:ascii="Times New Roman" w:hAnsi="Times New Roman"/>
          <w:b/>
          <w:color w:val="auto"/>
          <w:sz w:val="24"/>
          <w:szCs w:val="24"/>
          <w:lang w:val="en-US"/>
        </w:rPr>
        <w:t xml:space="preserve">Experimental </w:t>
      </w:r>
      <w:r w:rsidR="007E7DD0" w:rsidRPr="00B672AF">
        <w:rPr>
          <w:rFonts w:ascii="Times New Roman" w:hAnsi="Times New Roman"/>
          <w:b/>
          <w:color w:val="auto"/>
          <w:sz w:val="24"/>
          <w:szCs w:val="24"/>
          <w:lang w:val="en-US"/>
        </w:rPr>
        <w:t>t</w:t>
      </w:r>
      <w:r w:rsidRPr="00B672AF">
        <w:rPr>
          <w:rFonts w:ascii="Times New Roman" w:hAnsi="Times New Roman"/>
          <w:b/>
          <w:color w:val="auto"/>
          <w:sz w:val="24"/>
          <w:szCs w:val="24"/>
          <w:lang w:val="en-US"/>
        </w:rPr>
        <w:t>imeline</w:t>
      </w:r>
    </w:p>
    <w:p w14:paraId="2493B247" w14:textId="087050FA" w:rsidR="002F4704" w:rsidRPr="00B672AF" w:rsidRDefault="00AF1082" w:rsidP="004246B7">
      <w:pPr>
        <w:pStyle w:val="Padro"/>
        <w:spacing w:after="0" w:line="480" w:lineRule="auto"/>
        <w:jc w:val="both"/>
        <w:rPr>
          <w:rFonts w:ascii="Times New Roman" w:hAnsi="Times New Roman"/>
          <w:bCs/>
          <w:color w:val="auto"/>
          <w:sz w:val="24"/>
          <w:szCs w:val="24"/>
          <w:lang w:val="en-US"/>
        </w:rPr>
      </w:pPr>
      <w:r w:rsidRPr="00B672AF">
        <w:rPr>
          <w:rFonts w:ascii="Times New Roman" w:hAnsi="Times New Roman"/>
          <w:bCs/>
          <w:color w:val="auto"/>
          <w:sz w:val="24"/>
          <w:lang w:val="en-US"/>
        </w:rPr>
        <w:t xml:space="preserve">At </w:t>
      </w:r>
      <w:r w:rsidR="007E7DD0" w:rsidRPr="00B672AF">
        <w:rPr>
          <w:rFonts w:ascii="Times New Roman" w:hAnsi="Times New Roman"/>
          <w:bCs/>
          <w:color w:val="auto"/>
          <w:sz w:val="24"/>
          <w:lang w:val="en-US"/>
        </w:rPr>
        <w:t>PN</w:t>
      </w:r>
      <w:r w:rsidRPr="00B672AF">
        <w:rPr>
          <w:rFonts w:ascii="Times New Roman" w:hAnsi="Times New Roman"/>
          <w:bCs/>
          <w:color w:val="auto"/>
          <w:sz w:val="24"/>
          <w:lang w:val="en-US"/>
        </w:rPr>
        <w:t xml:space="preserve">180, </w:t>
      </w:r>
      <w:proofErr w:type="spellStart"/>
      <w:r w:rsidRPr="00B672AF">
        <w:rPr>
          <w:rFonts w:ascii="Times New Roman" w:hAnsi="Times New Roman"/>
          <w:bCs/>
          <w:color w:val="auto"/>
          <w:sz w:val="24"/>
          <w:lang w:val="en-US"/>
        </w:rPr>
        <w:t>nonOb</w:t>
      </w:r>
      <w:proofErr w:type="spellEnd"/>
      <w:r w:rsidRPr="00B672AF">
        <w:rPr>
          <w:rFonts w:ascii="Times New Roman" w:hAnsi="Times New Roman"/>
          <w:bCs/>
          <w:color w:val="auto"/>
          <w:sz w:val="24"/>
          <w:lang w:val="en-US"/>
        </w:rPr>
        <w:t xml:space="preserve"> and Ob animals were sedated (10 mg/kg diazepam intraperitoneally)</w:t>
      </w:r>
      <w:r w:rsidR="00DF4D0E">
        <w:rPr>
          <w:rFonts w:ascii="Times New Roman" w:hAnsi="Times New Roman"/>
          <w:bCs/>
          <w:color w:val="auto"/>
          <w:sz w:val="24"/>
          <w:lang w:val="en-US"/>
        </w:rPr>
        <w:t xml:space="preserve">, </w:t>
      </w:r>
      <w:r w:rsidRPr="00B672AF">
        <w:rPr>
          <w:rFonts w:ascii="Times New Roman" w:hAnsi="Times New Roman"/>
          <w:bCs/>
          <w:color w:val="auto"/>
          <w:sz w:val="24"/>
          <w:lang w:val="en-US"/>
        </w:rPr>
        <w:t xml:space="preserve">anesthetized (75 mg/kg ketamine and 2 mg/kg midazolam intraperitoneally), </w:t>
      </w:r>
      <w:r w:rsidRPr="00B672AF">
        <w:rPr>
          <w:rFonts w:ascii="Times New Roman" w:hAnsi="Times New Roman"/>
          <w:bCs/>
          <w:color w:val="auto"/>
          <w:sz w:val="24"/>
          <w:szCs w:val="24"/>
          <w:lang w:val="en-US"/>
        </w:rPr>
        <w:t>paralyzed (</w:t>
      </w:r>
      <w:proofErr w:type="spellStart"/>
      <w:r w:rsidR="00417E3D" w:rsidRPr="00B672AF">
        <w:rPr>
          <w:rFonts w:ascii="Times New Roman" w:hAnsi="Times New Roman"/>
          <w:bCs/>
          <w:color w:val="auto"/>
          <w:sz w:val="24"/>
          <w:szCs w:val="24"/>
          <w:lang w:val="en-US"/>
        </w:rPr>
        <w:t>pancuronium</w:t>
      </w:r>
      <w:proofErr w:type="spellEnd"/>
      <w:r w:rsidR="00417E3D" w:rsidRPr="00B672AF">
        <w:rPr>
          <w:rFonts w:ascii="Times New Roman" w:hAnsi="Times New Roman"/>
          <w:bCs/>
          <w:color w:val="auto"/>
          <w:sz w:val="24"/>
          <w:szCs w:val="24"/>
          <w:lang w:val="en-US"/>
        </w:rPr>
        <w:t xml:space="preserve"> </w:t>
      </w:r>
      <w:r w:rsidR="00417E3D" w:rsidRPr="00B672AF">
        <w:rPr>
          <w:rFonts w:ascii="Times New Roman" w:hAnsi="Times New Roman"/>
          <w:color w:val="auto"/>
          <w:sz w:val="24"/>
          <w:szCs w:val="24"/>
          <w:shd w:val="clear" w:color="auto" w:fill="FFFFFF"/>
          <w:lang w:val="en-US"/>
        </w:rPr>
        <w:t>0.4 mg</w:t>
      </w:r>
      <w:r w:rsidR="00417E3D" w:rsidRPr="00B672AF">
        <w:rPr>
          <w:rFonts w:ascii="Times New Roman" w:hAnsi="Times New Roman"/>
          <w:bCs/>
          <w:color w:val="auto"/>
          <w:sz w:val="24"/>
          <w:szCs w:val="24"/>
          <w:lang w:val="en-US"/>
        </w:rPr>
        <w:t xml:space="preserve"> intramuscularly, followed by 1 mg/kg/h intravenously</w:t>
      </w:r>
      <w:r w:rsidRPr="00B672AF">
        <w:rPr>
          <w:rFonts w:ascii="Times New Roman" w:hAnsi="Times New Roman"/>
          <w:bCs/>
          <w:color w:val="auto"/>
          <w:sz w:val="24"/>
          <w:szCs w:val="24"/>
          <w:lang w:val="en-US"/>
        </w:rPr>
        <w:t>)</w:t>
      </w:r>
      <w:r w:rsidR="00EA7AC5" w:rsidRPr="00B672AF">
        <w:rPr>
          <w:rFonts w:ascii="Times New Roman" w:hAnsi="Times New Roman"/>
          <w:bCs/>
          <w:color w:val="auto"/>
          <w:sz w:val="24"/>
          <w:szCs w:val="24"/>
          <w:lang w:val="en-US"/>
        </w:rPr>
        <w:t xml:space="preserve">, </w:t>
      </w:r>
      <w:r w:rsidRPr="00B672AF">
        <w:rPr>
          <w:rFonts w:ascii="Times New Roman" w:hAnsi="Times New Roman"/>
          <w:bCs/>
          <w:color w:val="auto"/>
          <w:sz w:val="24"/>
          <w:szCs w:val="24"/>
          <w:lang w:val="en-US"/>
        </w:rPr>
        <w:t xml:space="preserve">and mechanically ventilated (Servo-I; MAQUET, </w:t>
      </w:r>
      <w:proofErr w:type="spellStart"/>
      <w:r w:rsidRPr="00B672AF">
        <w:rPr>
          <w:rFonts w:ascii="Times New Roman" w:hAnsi="Times New Roman"/>
          <w:bCs/>
          <w:color w:val="auto"/>
          <w:sz w:val="24"/>
          <w:szCs w:val="24"/>
          <w:lang w:val="en-US"/>
        </w:rPr>
        <w:t>Solna</w:t>
      </w:r>
      <w:proofErr w:type="spellEnd"/>
      <w:r w:rsidRPr="00B672AF">
        <w:rPr>
          <w:rFonts w:ascii="Times New Roman" w:hAnsi="Times New Roman"/>
          <w:bCs/>
          <w:color w:val="auto"/>
          <w:sz w:val="24"/>
          <w:szCs w:val="24"/>
          <w:lang w:val="en-US"/>
        </w:rPr>
        <w:t xml:space="preserve">, Sweden) in volume-controlled mode for 4 hours according to the </w:t>
      </w:r>
      <w:r w:rsidR="002F4704" w:rsidRPr="00B672AF">
        <w:rPr>
          <w:rFonts w:ascii="Times New Roman" w:hAnsi="Times New Roman"/>
          <w:bCs/>
          <w:color w:val="auto"/>
          <w:sz w:val="24"/>
          <w:szCs w:val="24"/>
          <w:lang w:val="en-US"/>
        </w:rPr>
        <w:t>timeline below.</w:t>
      </w:r>
    </w:p>
    <w:p w14:paraId="512B0457" w14:textId="584B0E0F" w:rsidR="00AF1082" w:rsidRPr="00B672AF" w:rsidRDefault="00C90C02" w:rsidP="004246B7">
      <w:pPr>
        <w:pStyle w:val="Padro"/>
        <w:spacing w:after="0" w:line="480" w:lineRule="auto"/>
        <w:jc w:val="center"/>
        <w:rPr>
          <w:rFonts w:ascii="Times New Roman" w:hAnsi="Times New Roman"/>
          <w:b/>
          <w:color w:val="auto"/>
          <w:sz w:val="24"/>
          <w:szCs w:val="24"/>
          <w:lang w:val="en-US"/>
        </w:rPr>
      </w:pPr>
      <w:r w:rsidRPr="00B672AF">
        <w:rPr>
          <w:rFonts w:ascii="Times New Roman" w:hAnsi="Times New Roman"/>
          <w:b/>
          <w:noProof/>
          <w:color w:val="auto"/>
          <w:sz w:val="24"/>
          <w:szCs w:val="24"/>
          <w:lang w:eastAsia="pt-BR"/>
        </w:rPr>
        <w:drawing>
          <wp:inline distT="0" distB="0" distL="0" distR="0" wp14:anchorId="6F59ABBA" wp14:editId="2AA90049">
            <wp:extent cx="5921375" cy="3042836"/>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48" cy="3050684"/>
                    </a:xfrm>
                    <a:prstGeom prst="rect">
                      <a:avLst/>
                    </a:prstGeom>
                    <a:noFill/>
                  </pic:spPr>
                </pic:pic>
              </a:graphicData>
            </a:graphic>
          </wp:inline>
        </w:drawing>
      </w:r>
    </w:p>
    <w:p w14:paraId="7A52606F" w14:textId="41747991" w:rsidR="002F4704" w:rsidRPr="00B672AF" w:rsidRDefault="002F4704" w:rsidP="00BF3137">
      <w:pPr>
        <w:spacing w:after="0" w:line="360" w:lineRule="auto"/>
        <w:jc w:val="both"/>
        <w:rPr>
          <w:szCs w:val="24"/>
          <w:lang w:val="en-US"/>
        </w:rPr>
      </w:pPr>
      <w:r w:rsidRPr="00B672AF">
        <w:rPr>
          <w:rFonts w:ascii="Times New Roman" w:hAnsi="Times New Roman"/>
          <w:b/>
          <w:sz w:val="24"/>
          <w:szCs w:val="24"/>
          <w:lang w:val="en-US"/>
        </w:rPr>
        <w:t xml:space="preserve">Figure S1: </w:t>
      </w:r>
      <w:r w:rsidRPr="00B672AF">
        <w:rPr>
          <w:rFonts w:ascii="Times New Roman" w:hAnsi="Times New Roman"/>
          <w:sz w:val="24"/>
          <w:szCs w:val="24"/>
          <w:lang w:val="en-US"/>
        </w:rPr>
        <w:t>Timeline of experiments. V</w:t>
      </w:r>
      <w:r w:rsidRPr="00B672AF">
        <w:rPr>
          <w:rFonts w:ascii="Times New Roman" w:hAnsi="Times New Roman"/>
          <w:sz w:val="24"/>
          <w:szCs w:val="24"/>
          <w:vertAlign w:val="subscript"/>
          <w:lang w:val="en-US"/>
        </w:rPr>
        <w:t>T</w:t>
      </w:r>
      <w:r w:rsidRPr="00B672AF">
        <w:rPr>
          <w:rFonts w:ascii="Times New Roman" w:hAnsi="Times New Roman"/>
          <w:sz w:val="24"/>
          <w:szCs w:val="24"/>
          <w:lang w:val="en-US"/>
        </w:rPr>
        <w:t xml:space="preserve">, tidal volume; RR, respiratory rate; </w:t>
      </w:r>
      <w:proofErr w:type="gramStart"/>
      <w:r w:rsidRPr="00B672AF">
        <w:rPr>
          <w:rFonts w:ascii="Times New Roman" w:hAnsi="Times New Roman"/>
          <w:sz w:val="24"/>
          <w:szCs w:val="24"/>
          <w:lang w:val="en-US"/>
        </w:rPr>
        <w:t>I:E</w:t>
      </w:r>
      <w:proofErr w:type="gramEnd"/>
      <w:r w:rsidRPr="00B672AF">
        <w:rPr>
          <w:rFonts w:ascii="Times New Roman" w:hAnsi="Times New Roman"/>
          <w:sz w:val="24"/>
          <w:szCs w:val="24"/>
          <w:lang w:val="en-US"/>
        </w:rPr>
        <w:t>, inspiratory-to-expiratory ratio; PEEP, positive end-expiratory pressure; FiO</w:t>
      </w:r>
      <w:r w:rsidRPr="00B672AF">
        <w:rPr>
          <w:rFonts w:ascii="Times New Roman" w:hAnsi="Times New Roman"/>
          <w:sz w:val="24"/>
          <w:szCs w:val="24"/>
          <w:vertAlign w:val="subscript"/>
          <w:lang w:val="en-US"/>
        </w:rPr>
        <w:t>2</w:t>
      </w:r>
      <w:r w:rsidRPr="00B672AF">
        <w:rPr>
          <w:rFonts w:ascii="Times New Roman" w:hAnsi="Times New Roman"/>
          <w:sz w:val="24"/>
          <w:szCs w:val="24"/>
          <w:lang w:val="en-US"/>
        </w:rPr>
        <w:t>, fraction of inspired oxygen; FDA, functional data acquisition; RL, Ringer’s lactate</w:t>
      </w:r>
      <w:r w:rsidR="00417E3D" w:rsidRPr="00B672AF">
        <w:rPr>
          <w:rFonts w:ascii="Times New Roman" w:hAnsi="Times New Roman"/>
          <w:sz w:val="24"/>
          <w:szCs w:val="24"/>
          <w:lang w:val="en-US"/>
        </w:rPr>
        <w:t>.</w:t>
      </w:r>
    </w:p>
    <w:p w14:paraId="454A7291" w14:textId="77777777" w:rsidR="00EA7AC5" w:rsidRPr="00B672AF" w:rsidRDefault="00EA7AC5" w:rsidP="004246B7">
      <w:pPr>
        <w:spacing w:line="480" w:lineRule="auto"/>
        <w:rPr>
          <w:rFonts w:ascii="Times New Roman" w:hAnsi="Times New Roman"/>
          <w:b/>
          <w:sz w:val="24"/>
          <w:szCs w:val="24"/>
          <w:lang w:val="en-US"/>
        </w:rPr>
      </w:pPr>
    </w:p>
    <w:p w14:paraId="3A4D0C8F" w14:textId="77777777" w:rsidR="00C90C02" w:rsidRPr="00B672AF" w:rsidRDefault="00C90C02">
      <w:pPr>
        <w:rPr>
          <w:rFonts w:ascii="Times New Roman" w:hAnsi="Times New Roman"/>
          <w:b/>
          <w:sz w:val="24"/>
          <w:szCs w:val="24"/>
          <w:lang w:val="en-US"/>
        </w:rPr>
      </w:pPr>
      <w:r w:rsidRPr="00B672AF">
        <w:rPr>
          <w:rFonts w:ascii="Times New Roman" w:hAnsi="Times New Roman"/>
          <w:b/>
          <w:sz w:val="24"/>
          <w:szCs w:val="24"/>
          <w:lang w:val="en-US"/>
        </w:rPr>
        <w:br w:type="page"/>
      </w:r>
    </w:p>
    <w:p w14:paraId="541A0269" w14:textId="307CAEDC" w:rsidR="005C5469" w:rsidRPr="00B672AF" w:rsidRDefault="005C5469" w:rsidP="004246B7">
      <w:pPr>
        <w:spacing w:line="480" w:lineRule="auto"/>
        <w:rPr>
          <w:rFonts w:ascii="Times New Roman" w:hAnsi="Times New Roman"/>
          <w:b/>
          <w:sz w:val="24"/>
          <w:szCs w:val="24"/>
          <w:lang w:val="en-US"/>
        </w:rPr>
      </w:pPr>
      <w:r w:rsidRPr="00B672AF">
        <w:rPr>
          <w:rFonts w:ascii="Times New Roman" w:hAnsi="Times New Roman"/>
          <w:b/>
          <w:sz w:val="24"/>
          <w:szCs w:val="24"/>
          <w:lang w:val="en-US"/>
        </w:rPr>
        <w:lastRenderedPageBreak/>
        <w:t>Primers</w:t>
      </w:r>
    </w:p>
    <w:p w14:paraId="04DB58E7" w14:textId="77777777" w:rsidR="00FF32A2" w:rsidRPr="00B672AF" w:rsidRDefault="00FF32A2" w:rsidP="00902712">
      <w:pPr>
        <w:spacing w:after="0" w:line="480" w:lineRule="auto"/>
        <w:jc w:val="both"/>
        <w:rPr>
          <w:rFonts w:ascii="Times New Roman" w:hAnsi="Times New Roman"/>
          <w:sz w:val="24"/>
          <w:szCs w:val="24"/>
          <w:lang w:val="en-US"/>
        </w:rPr>
      </w:pPr>
      <w:r w:rsidRPr="00B672AF">
        <w:rPr>
          <w:rFonts w:ascii="Times New Roman" w:hAnsi="Times New Roman"/>
          <w:b/>
          <w:sz w:val="24"/>
          <w:szCs w:val="24"/>
          <w:lang w:val="en-US"/>
        </w:rPr>
        <w:t>Table S1.</w:t>
      </w:r>
      <w:r w:rsidRPr="00B672AF">
        <w:rPr>
          <w:rFonts w:ascii="Times New Roman" w:hAnsi="Times New Roman"/>
          <w:sz w:val="24"/>
          <w:szCs w:val="24"/>
          <w:lang w:val="en-US"/>
        </w:rPr>
        <w:t xml:space="preserve"> Primers used for analysis of biological markers associated with inflammation,</w:t>
      </w:r>
    </w:p>
    <w:p w14:paraId="6DEE58D4" w14:textId="7190661C" w:rsidR="00FF32A2" w:rsidRPr="00B672AF" w:rsidRDefault="00FF32A2" w:rsidP="00902712">
      <w:pPr>
        <w:spacing w:after="0" w:line="480" w:lineRule="auto"/>
        <w:jc w:val="both"/>
        <w:rPr>
          <w:rFonts w:ascii="Times New Roman" w:hAnsi="Times New Roman"/>
          <w:sz w:val="24"/>
          <w:szCs w:val="24"/>
          <w:lang w:val="en-US"/>
        </w:rPr>
      </w:pPr>
      <w:r w:rsidRPr="00B672AF">
        <w:rPr>
          <w:rFonts w:ascii="Times New Roman" w:hAnsi="Times New Roman"/>
          <w:sz w:val="24"/>
          <w:szCs w:val="24"/>
          <w:lang w:val="en-US"/>
        </w:rPr>
        <w:t>alveolar pulmonary stretch, and damage to epithelial and endothelial cell</w:t>
      </w:r>
      <w:r w:rsidR="00DF4D0E">
        <w:rPr>
          <w:rFonts w:ascii="Times New Roman" w:hAnsi="Times New Roman"/>
          <w:sz w:val="24"/>
          <w:szCs w:val="24"/>
          <w:lang w:val="en-US"/>
        </w:rPr>
        <w:t>s</w:t>
      </w:r>
      <w:r w:rsidRPr="00B672AF">
        <w:rPr>
          <w:rFonts w:ascii="Times New Roman" w:hAnsi="Times New Roman"/>
          <w:sz w:val="24"/>
          <w:szCs w:val="24"/>
          <w:lang w:val="en-US"/>
        </w:rPr>
        <w:t xml:space="preserve"> and extracellular</w:t>
      </w:r>
      <w:r w:rsidR="00EA7AC5" w:rsidRPr="00B672AF">
        <w:rPr>
          <w:rFonts w:ascii="Times New Roman" w:hAnsi="Times New Roman"/>
          <w:sz w:val="24"/>
          <w:szCs w:val="24"/>
          <w:lang w:val="en-US"/>
        </w:rPr>
        <w:t xml:space="preserve"> </w:t>
      </w:r>
      <w:r w:rsidRPr="00B672AF">
        <w:rPr>
          <w:rFonts w:ascii="Times New Roman" w:hAnsi="Times New Roman"/>
          <w:sz w:val="24"/>
          <w:szCs w:val="24"/>
          <w:lang w:val="en-US"/>
        </w:rPr>
        <w:t>matrix.</w:t>
      </w:r>
    </w:p>
    <w:tbl>
      <w:tblPr>
        <w:tblStyle w:val="Tabelacomgrade1"/>
        <w:tblW w:w="8931" w:type="dxa"/>
        <w:tblBorders>
          <w:left w:val="none" w:sz="0" w:space="0" w:color="auto"/>
          <w:right w:val="none" w:sz="0" w:space="0" w:color="auto"/>
        </w:tblBorders>
        <w:tblLook w:val="04A0" w:firstRow="1" w:lastRow="0" w:firstColumn="1" w:lastColumn="0" w:noHBand="0" w:noVBand="1"/>
      </w:tblPr>
      <w:tblGrid>
        <w:gridCol w:w="2694"/>
        <w:gridCol w:w="1984"/>
        <w:gridCol w:w="4253"/>
      </w:tblGrid>
      <w:tr w:rsidR="00B672AF" w:rsidRPr="00B672AF" w14:paraId="6BF60B09" w14:textId="77777777" w:rsidTr="00244425">
        <w:tc>
          <w:tcPr>
            <w:tcW w:w="2694" w:type="dxa"/>
            <w:tcBorders>
              <w:left w:val="single" w:sz="4" w:space="0" w:color="auto"/>
            </w:tcBorders>
            <w:vAlign w:val="center"/>
          </w:tcPr>
          <w:p w14:paraId="6BD29EB8" w14:textId="77777777" w:rsidR="00244425" w:rsidRPr="00B672AF" w:rsidRDefault="00244425" w:rsidP="004246B7">
            <w:pPr>
              <w:spacing w:line="480" w:lineRule="auto"/>
              <w:rPr>
                <w:b/>
                <w:spacing w:val="-3"/>
                <w:sz w:val="24"/>
                <w:lang w:val="en-US"/>
              </w:rPr>
            </w:pPr>
            <w:r w:rsidRPr="00B672AF">
              <w:rPr>
                <w:b/>
                <w:spacing w:val="-3"/>
                <w:sz w:val="24"/>
                <w:lang w:val="en-US"/>
              </w:rPr>
              <w:t>Gene</w:t>
            </w:r>
          </w:p>
        </w:tc>
        <w:tc>
          <w:tcPr>
            <w:tcW w:w="1984" w:type="dxa"/>
            <w:vAlign w:val="center"/>
          </w:tcPr>
          <w:p w14:paraId="0A1FF3A8" w14:textId="77777777" w:rsidR="00244425" w:rsidRPr="00B672AF" w:rsidRDefault="00244425" w:rsidP="004246B7">
            <w:pPr>
              <w:spacing w:line="480" w:lineRule="auto"/>
              <w:rPr>
                <w:b/>
                <w:spacing w:val="-3"/>
                <w:sz w:val="24"/>
                <w:lang w:val="en-US"/>
              </w:rPr>
            </w:pPr>
            <w:r w:rsidRPr="00B672AF">
              <w:rPr>
                <w:b/>
                <w:spacing w:val="-3"/>
                <w:sz w:val="24"/>
                <w:lang w:val="en-US"/>
              </w:rPr>
              <w:t>Primer</w:t>
            </w:r>
          </w:p>
        </w:tc>
        <w:tc>
          <w:tcPr>
            <w:tcW w:w="4253" w:type="dxa"/>
            <w:tcBorders>
              <w:right w:val="single" w:sz="4" w:space="0" w:color="auto"/>
            </w:tcBorders>
            <w:vAlign w:val="center"/>
          </w:tcPr>
          <w:p w14:paraId="06D31C6C" w14:textId="77777777" w:rsidR="00244425" w:rsidRPr="00B672AF" w:rsidRDefault="00244425" w:rsidP="004246B7">
            <w:pPr>
              <w:spacing w:line="480" w:lineRule="auto"/>
              <w:rPr>
                <w:b/>
                <w:spacing w:val="-3"/>
                <w:sz w:val="24"/>
                <w:lang w:val="en-US"/>
              </w:rPr>
            </w:pPr>
            <w:r w:rsidRPr="00B672AF">
              <w:rPr>
                <w:b/>
                <w:spacing w:val="-3"/>
                <w:sz w:val="24"/>
                <w:lang w:val="en-US"/>
              </w:rPr>
              <w:t>Primer sequences (5′-3′)</w:t>
            </w:r>
          </w:p>
        </w:tc>
      </w:tr>
      <w:tr w:rsidR="00B672AF" w:rsidRPr="00DA05FA" w14:paraId="2F5EBC18" w14:textId="77777777" w:rsidTr="00B05028">
        <w:tblPrEx>
          <w:tblBorders>
            <w:left w:val="single" w:sz="4" w:space="0" w:color="auto"/>
            <w:right w:val="single" w:sz="4" w:space="0" w:color="auto"/>
          </w:tblBorders>
        </w:tblPrEx>
        <w:tc>
          <w:tcPr>
            <w:tcW w:w="2694" w:type="dxa"/>
            <w:vMerge w:val="restart"/>
            <w:vAlign w:val="center"/>
          </w:tcPr>
          <w:p w14:paraId="59125420" w14:textId="77777777" w:rsidR="00244425" w:rsidRPr="00B672AF" w:rsidRDefault="00244425" w:rsidP="004246B7">
            <w:pPr>
              <w:spacing w:line="480" w:lineRule="auto"/>
              <w:ind w:left="467" w:hanging="141"/>
              <w:jc w:val="center"/>
              <w:rPr>
                <w:spacing w:val="-3"/>
                <w:sz w:val="24"/>
                <w:lang w:val="en-US"/>
              </w:rPr>
            </w:pPr>
            <w:r w:rsidRPr="00B672AF">
              <w:rPr>
                <w:spacing w:val="-3"/>
                <w:sz w:val="24"/>
                <w:lang w:val="en-US"/>
              </w:rPr>
              <w:t>IL-6</w:t>
            </w:r>
          </w:p>
        </w:tc>
        <w:tc>
          <w:tcPr>
            <w:tcW w:w="1984" w:type="dxa"/>
          </w:tcPr>
          <w:p w14:paraId="2F323335" w14:textId="77777777" w:rsidR="00244425" w:rsidRPr="00B672AF" w:rsidRDefault="00244425" w:rsidP="004246B7">
            <w:pPr>
              <w:spacing w:line="480" w:lineRule="auto"/>
              <w:ind w:left="467" w:hanging="467"/>
              <w:rPr>
                <w:spacing w:val="-3"/>
                <w:sz w:val="24"/>
                <w:lang w:val="en-US"/>
              </w:rPr>
            </w:pPr>
            <w:r w:rsidRPr="00B672AF">
              <w:rPr>
                <w:spacing w:val="-3"/>
                <w:sz w:val="24"/>
                <w:lang w:val="en-US"/>
              </w:rPr>
              <w:t>Forward</w:t>
            </w:r>
          </w:p>
        </w:tc>
        <w:tc>
          <w:tcPr>
            <w:tcW w:w="4253" w:type="dxa"/>
          </w:tcPr>
          <w:p w14:paraId="33E33B17" w14:textId="77777777" w:rsidR="00244425" w:rsidRPr="00B672AF" w:rsidRDefault="00244425" w:rsidP="004246B7">
            <w:pPr>
              <w:spacing w:line="480" w:lineRule="auto"/>
              <w:rPr>
                <w:spacing w:val="-3"/>
                <w:sz w:val="24"/>
                <w:lang w:val="en-US"/>
              </w:rPr>
            </w:pPr>
            <w:r w:rsidRPr="00B672AF">
              <w:rPr>
                <w:spacing w:val="-3"/>
                <w:sz w:val="24"/>
                <w:lang w:val="en-US"/>
              </w:rPr>
              <w:t xml:space="preserve">CTC CGC AAG AGA CTT CCA G </w:t>
            </w:r>
          </w:p>
        </w:tc>
      </w:tr>
      <w:tr w:rsidR="00B672AF" w:rsidRPr="00DA05FA" w14:paraId="68C658F2" w14:textId="77777777" w:rsidTr="00B05028">
        <w:tblPrEx>
          <w:tblBorders>
            <w:left w:val="single" w:sz="4" w:space="0" w:color="auto"/>
            <w:right w:val="single" w:sz="4" w:space="0" w:color="auto"/>
          </w:tblBorders>
        </w:tblPrEx>
        <w:tc>
          <w:tcPr>
            <w:tcW w:w="2694" w:type="dxa"/>
            <w:vMerge/>
            <w:vAlign w:val="center"/>
          </w:tcPr>
          <w:p w14:paraId="6062BD48" w14:textId="77777777" w:rsidR="00244425" w:rsidRPr="00B672AF" w:rsidRDefault="00244425" w:rsidP="004246B7">
            <w:pPr>
              <w:spacing w:line="480" w:lineRule="auto"/>
              <w:ind w:left="467" w:hanging="141"/>
              <w:jc w:val="center"/>
              <w:rPr>
                <w:spacing w:val="-3"/>
                <w:sz w:val="24"/>
                <w:lang w:val="en-US"/>
              </w:rPr>
            </w:pPr>
          </w:p>
        </w:tc>
        <w:tc>
          <w:tcPr>
            <w:tcW w:w="1984" w:type="dxa"/>
          </w:tcPr>
          <w:p w14:paraId="470467D2" w14:textId="77777777" w:rsidR="00244425" w:rsidRPr="00B672AF" w:rsidRDefault="00244425" w:rsidP="004246B7">
            <w:pPr>
              <w:spacing w:line="480" w:lineRule="auto"/>
              <w:ind w:left="467" w:hanging="467"/>
              <w:rPr>
                <w:spacing w:val="-3"/>
                <w:sz w:val="24"/>
                <w:lang w:val="en-US"/>
              </w:rPr>
            </w:pPr>
            <w:r w:rsidRPr="00B672AF">
              <w:rPr>
                <w:spacing w:val="-3"/>
                <w:sz w:val="24"/>
                <w:lang w:val="en-US"/>
              </w:rPr>
              <w:t>Reverse</w:t>
            </w:r>
          </w:p>
        </w:tc>
        <w:tc>
          <w:tcPr>
            <w:tcW w:w="4253" w:type="dxa"/>
          </w:tcPr>
          <w:p w14:paraId="0F0FB603" w14:textId="77777777" w:rsidR="00244425" w:rsidRPr="00B672AF" w:rsidRDefault="00244425" w:rsidP="004246B7">
            <w:pPr>
              <w:spacing w:line="480" w:lineRule="auto"/>
              <w:rPr>
                <w:spacing w:val="-3"/>
                <w:sz w:val="24"/>
                <w:lang w:val="en-US"/>
              </w:rPr>
            </w:pPr>
            <w:r w:rsidRPr="00B672AF">
              <w:rPr>
                <w:spacing w:val="-3"/>
                <w:sz w:val="24"/>
                <w:lang w:val="en-US"/>
              </w:rPr>
              <w:t xml:space="preserve">CTC </w:t>
            </w:r>
            <w:proofErr w:type="spellStart"/>
            <w:r w:rsidRPr="00B672AF">
              <w:rPr>
                <w:spacing w:val="-3"/>
                <w:sz w:val="24"/>
                <w:lang w:val="en-US"/>
              </w:rPr>
              <w:t>CTC</w:t>
            </w:r>
            <w:proofErr w:type="spellEnd"/>
            <w:r w:rsidRPr="00B672AF">
              <w:rPr>
                <w:spacing w:val="-3"/>
                <w:sz w:val="24"/>
                <w:lang w:val="en-US"/>
              </w:rPr>
              <w:t xml:space="preserve"> TCC GGA CTT GTG A</w:t>
            </w:r>
          </w:p>
        </w:tc>
      </w:tr>
      <w:tr w:rsidR="00B672AF" w:rsidRPr="00DA05FA" w14:paraId="6D4D7471" w14:textId="77777777" w:rsidTr="00B05028">
        <w:tblPrEx>
          <w:tblBorders>
            <w:left w:val="single" w:sz="4" w:space="0" w:color="auto"/>
            <w:right w:val="single" w:sz="4" w:space="0" w:color="auto"/>
          </w:tblBorders>
        </w:tblPrEx>
        <w:tc>
          <w:tcPr>
            <w:tcW w:w="2694" w:type="dxa"/>
            <w:vMerge w:val="restart"/>
            <w:vAlign w:val="center"/>
          </w:tcPr>
          <w:p w14:paraId="1C4F1D2C" w14:textId="77777777" w:rsidR="004246B7" w:rsidRPr="00B672AF" w:rsidRDefault="004246B7" w:rsidP="004246B7">
            <w:pPr>
              <w:spacing w:line="480" w:lineRule="auto"/>
              <w:ind w:left="467" w:hanging="141"/>
              <w:jc w:val="center"/>
              <w:rPr>
                <w:spacing w:val="-3"/>
                <w:sz w:val="24"/>
                <w:lang w:val="en-US"/>
              </w:rPr>
            </w:pPr>
            <w:r w:rsidRPr="00B672AF">
              <w:rPr>
                <w:sz w:val="24"/>
                <w:lang w:val="en-US"/>
              </w:rPr>
              <w:t>Amphiregulin</w:t>
            </w:r>
          </w:p>
        </w:tc>
        <w:tc>
          <w:tcPr>
            <w:tcW w:w="1984" w:type="dxa"/>
          </w:tcPr>
          <w:p w14:paraId="221EF1FC" w14:textId="77777777" w:rsidR="004246B7" w:rsidRPr="00B672AF" w:rsidRDefault="004246B7" w:rsidP="004246B7">
            <w:pPr>
              <w:spacing w:line="480" w:lineRule="auto"/>
              <w:ind w:left="467" w:hanging="467"/>
              <w:rPr>
                <w:spacing w:val="-3"/>
                <w:sz w:val="24"/>
                <w:lang w:val="en-US"/>
              </w:rPr>
            </w:pPr>
            <w:r w:rsidRPr="00B672AF">
              <w:rPr>
                <w:spacing w:val="-3"/>
                <w:sz w:val="24"/>
                <w:lang w:val="en-US"/>
              </w:rPr>
              <w:t>Forward</w:t>
            </w:r>
          </w:p>
        </w:tc>
        <w:tc>
          <w:tcPr>
            <w:tcW w:w="4253" w:type="dxa"/>
          </w:tcPr>
          <w:p w14:paraId="18361196" w14:textId="77777777" w:rsidR="004246B7" w:rsidRPr="00B672AF" w:rsidRDefault="004246B7" w:rsidP="004246B7">
            <w:pPr>
              <w:spacing w:line="480" w:lineRule="auto"/>
              <w:rPr>
                <w:spacing w:val="-3"/>
                <w:sz w:val="24"/>
                <w:lang w:val="en-US"/>
              </w:rPr>
            </w:pPr>
            <w:r w:rsidRPr="00B672AF">
              <w:rPr>
                <w:sz w:val="24"/>
                <w:lang w:val="en-US"/>
              </w:rPr>
              <w:t xml:space="preserve">TTT CGC TGG CGC TCT CA </w:t>
            </w:r>
          </w:p>
        </w:tc>
      </w:tr>
      <w:tr w:rsidR="00B672AF" w:rsidRPr="00B672AF" w14:paraId="4140388E" w14:textId="77777777" w:rsidTr="00B05028">
        <w:tblPrEx>
          <w:tblBorders>
            <w:left w:val="single" w:sz="4" w:space="0" w:color="auto"/>
            <w:right w:val="single" w:sz="4" w:space="0" w:color="auto"/>
          </w:tblBorders>
        </w:tblPrEx>
        <w:tc>
          <w:tcPr>
            <w:tcW w:w="2694" w:type="dxa"/>
            <w:vMerge/>
            <w:vAlign w:val="center"/>
          </w:tcPr>
          <w:p w14:paraId="4F7901CB" w14:textId="77777777" w:rsidR="004246B7" w:rsidRPr="00B672AF" w:rsidRDefault="004246B7" w:rsidP="004246B7">
            <w:pPr>
              <w:spacing w:line="480" w:lineRule="auto"/>
              <w:ind w:left="467" w:hanging="141"/>
              <w:jc w:val="center"/>
              <w:rPr>
                <w:spacing w:val="-3"/>
                <w:sz w:val="24"/>
                <w:lang w:val="en-US"/>
              </w:rPr>
            </w:pPr>
          </w:p>
        </w:tc>
        <w:tc>
          <w:tcPr>
            <w:tcW w:w="1984" w:type="dxa"/>
          </w:tcPr>
          <w:p w14:paraId="7046B491" w14:textId="77777777" w:rsidR="004246B7" w:rsidRPr="00B672AF" w:rsidRDefault="004246B7" w:rsidP="004246B7">
            <w:pPr>
              <w:spacing w:line="480" w:lineRule="auto"/>
              <w:ind w:left="467" w:hanging="467"/>
              <w:rPr>
                <w:spacing w:val="-3"/>
                <w:sz w:val="24"/>
                <w:lang w:val="en-US"/>
              </w:rPr>
            </w:pPr>
            <w:r w:rsidRPr="00B672AF">
              <w:rPr>
                <w:spacing w:val="-3"/>
                <w:sz w:val="24"/>
                <w:lang w:val="en-US"/>
              </w:rPr>
              <w:t>Reverse</w:t>
            </w:r>
          </w:p>
        </w:tc>
        <w:tc>
          <w:tcPr>
            <w:tcW w:w="4253" w:type="dxa"/>
          </w:tcPr>
          <w:p w14:paraId="638A0720" w14:textId="77777777" w:rsidR="004246B7" w:rsidRPr="00B672AF" w:rsidRDefault="004246B7" w:rsidP="004246B7">
            <w:pPr>
              <w:spacing w:line="480" w:lineRule="auto"/>
              <w:rPr>
                <w:spacing w:val="-3"/>
                <w:sz w:val="24"/>
              </w:rPr>
            </w:pPr>
            <w:r w:rsidRPr="00B672AF">
              <w:rPr>
                <w:sz w:val="24"/>
              </w:rPr>
              <w:t>TTC CAA CCC AGC TGC ATA ATG</w:t>
            </w:r>
          </w:p>
        </w:tc>
      </w:tr>
      <w:tr w:rsidR="00B672AF" w:rsidRPr="00DA05FA" w14:paraId="77769CB3" w14:textId="77777777" w:rsidTr="00B05028">
        <w:tblPrEx>
          <w:tblBorders>
            <w:left w:val="single" w:sz="4" w:space="0" w:color="auto"/>
            <w:right w:val="single" w:sz="4" w:space="0" w:color="auto"/>
          </w:tblBorders>
        </w:tblPrEx>
        <w:tc>
          <w:tcPr>
            <w:tcW w:w="2694" w:type="dxa"/>
            <w:vMerge w:val="restart"/>
            <w:vAlign w:val="center"/>
          </w:tcPr>
          <w:p w14:paraId="57C688EF" w14:textId="77777777" w:rsidR="004246B7" w:rsidRPr="00B672AF" w:rsidRDefault="004246B7" w:rsidP="004246B7">
            <w:pPr>
              <w:spacing w:line="480" w:lineRule="auto"/>
              <w:ind w:left="467" w:hanging="141"/>
              <w:jc w:val="center"/>
              <w:rPr>
                <w:spacing w:val="-3"/>
                <w:sz w:val="24"/>
                <w:lang w:val="en-US"/>
              </w:rPr>
            </w:pPr>
            <w:r w:rsidRPr="00B672AF">
              <w:rPr>
                <w:sz w:val="24"/>
                <w:lang w:val="en-US"/>
              </w:rPr>
              <w:t>CC</w:t>
            </w:r>
            <w:r w:rsidR="00FF32A2" w:rsidRPr="00B672AF">
              <w:rPr>
                <w:sz w:val="24"/>
                <w:lang w:val="en-US"/>
              </w:rPr>
              <w:t>-</w:t>
            </w:r>
            <w:r w:rsidRPr="00B672AF">
              <w:rPr>
                <w:sz w:val="24"/>
                <w:lang w:val="en-US"/>
              </w:rPr>
              <w:t>16</w:t>
            </w:r>
          </w:p>
        </w:tc>
        <w:tc>
          <w:tcPr>
            <w:tcW w:w="1984" w:type="dxa"/>
          </w:tcPr>
          <w:p w14:paraId="7680217F" w14:textId="77777777" w:rsidR="004246B7" w:rsidRPr="00B672AF" w:rsidRDefault="004246B7" w:rsidP="004246B7">
            <w:pPr>
              <w:spacing w:line="480" w:lineRule="auto"/>
              <w:ind w:left="467" w:hanging="467"/>
              <w:rPr>
                <w:spacing w:val="-3"/>
                <w:sz w:val="24"/>
                <w:lang w:val="en-US"/>
              </w:rPr>
            </w:pPr>
            <w:r w:rsidRPr="00B672AF">
              <w:rPr>
                <w:spacing w:val="-3"/>
                <w:sz w:val="24"/>
                <w:lang w:val="en-US"/>
              </w:rPr>
              <w:t>Forward</w:t>
            </w:r>
          </w:p>
        </w:tc>
        <w:tc>
          <w:tcPr>
            <w:tcW w:w="4253" w:type="dxa"/>
          </w:tcPr>
          <w:p w14:paraId="2C91FBD3" w14:textId="77777777" w:rsidR="004246B7" w:rsidRPr="00B672AF" w:rsidRDefault="004246B7" w:rsidP="004246B7">
            <w:pPr>
              <w:spacing w:line="480" w:lineRule="auto"/>
              <w:rPr>
                <w:spacing w:val="-3"/>
                <w:sz w:val="24"/>
                <w:lang w:val="en-US"/>
              </w:rPr>
            </w:pPr>
            <w:r w:rsidRPr="00B672AF">
              <w:rPr>
                <w:sz w:val="24"/>
                <w:lang w:val="en-US"/>
              </w:rPr>
              <w:t>GAT CG CCA TCA CAA TCA CTG</w:t>
            </w:r>
          </w:p>
        </w:tc>
      </w:tr>
      <w:tr w:rsidR="00B672AF" w:rsidRPr="00DA05FA" w14:paraId="066A6D37" w14:textId="77777777" w:rsidTr="00B2739F">
        <w:tblPrEx>
          <w:tblBorders>
            <w:left w:val="single" w:sz="4" w:space="0" w:color="auto"/>
            <w:right w:val="single" w:sz="4" w:space="0" w:color="auto"/>
          </w:tblBorders>
        </w:tblPrEx>
        <w:tc>
          <w:tcPr>
            <w:tcW w:w="2694" w:type="dxa"/>
            <w:vMerge/>
            <w:vAlign w:val="center"/>
          </w:tcPr>
          <w:p w14:paraId="1C667112" w14:textId="77777777" w:rsidR="004246B7" w:rsidRPr="00B672AF" w:rsidRDefault="004246B7" w:rsidP="004246B7">
            <w:pPr>
              <w:spacing w:line="480" w:lineRule="auto"/>
              <w:ind w:left="467" w:hanging="141"/>
              <w:jc w:val="center"/>
              <w:rPr>
                <w:sz w:val="24"/>
                <w:lang w:val="en-US"/>
              </w:rPr>
            </w:pPr>
          </w:p>
        </w:tc>
        <w:tc>
          <w:tcPr>
            <w:tcW w:w="1984" w:type="dxa"/>
            <w:vAlign w:val="center"/>
          </w:tcPr>
          <w:p w14:paraId="210C84B3" w14:textId="77777777" w:rsidR="004246B7" w:rsidRPr="00B672AF" w:rsidRDefault="004246B7" w:rsidP="004246B7">
            <w:pPr>
              <w:spacing w:line="480" w:lineRule="auto"/>
              <w:ind w:left="467" w:hanging="467"/>
              <w:rPr>
                <w:spacing w:val="-3"/>
                <w:sz w:val="24"/>
                <w:lang w:val="en-US"/>
              </w:rPr>
            </w:pPr>
            <w:r w:rsidRPr="00B672AF">
              <w:rPr>
                <w:spacing w:val="-3"/>
                <w:sz w:val="24"/>
                <w:lang w:val="en-US"/>
              </w:rPr>
              <w:t>Reverse</w:t>
            </w:r>
          </w:p>
        </w:tc>
        <w:tc>
          <w:tcPr>
            <w:tcW w:w="4253" w:type="dxa"/>
            <w:vAlign w:val="center"/>
          </w:tcPr>
          <w:p w14:paraId="784B939A" w14:textId="77777777" w:rsidR="004246B7" w:rsidRPr="00B672AF" w:rsidRDefault="004246B7" w:rsidP="004246B7">
            <w:pPr>
              <w:spacing w:line="480" w:lineRule="auto"/>
              <w:rPr>
                <w:sz w:val="24"/>
                <w:lang w:val="en-US"/>
              </w:rPr>
            </w:pPr>
            <w:r w:rsidRPr="00B672AF">
              <w:rPr>
                <w:sz w:val="24"/>
                <w:lang w:val="en-US"/>
              </w:rPr>
              <w:t>GGT ATC CAC CAG CCT CTT CA</w:t>
            </w:r>
          </w:p>
        </w:tc>
      </w:tr>
      <w:tr w:rsidR="00B672AF" w:rsidRPr="00DA05FA" w14:paraId="6EFEF85D" w14:textId="77777777" w:rsidTr="004246B7">
        <w:tblPrEx>
          <w:tblBorders>
            <w:left w:val="single" w:sz="4" w:space="0" w:color="auto"/>
            <w:right w:val="single" w:sz="4" w:space="0" w:color="auto"/>
          </w:tblBorders>
        </w:tblPrEx>
        <w:trPr>
          <w:trHeight w:val="199"/>
        </w:trPr>
        <w:tc>
          <w:tcPr>
            <w:tcW w:w="2694" w:type="dxa"/>
            <w:vMerge w:val="restart"/>
            <w:vAlign w:val="center"/>
          </w:tcPr>
          <w:p w14:paraId="3BEC8A9B" w14:textId="77777777" w:rsidR="004246B7" w:rsidRPr="00B672AF" w:rsidRDefault="004246B7" w:rsidP="004246B7">
            <w:pPr>
              <w:spacing w:line="480" w:lineRule="auto"/>
              <w:ind w:left="467" w:hanging="141"/>
              <w:jc w:val="center"/>
              <w:rPr>
                <w:spacing w:val="-3"/>
                <w:sz w:val="24"/>
                <w:lang w:val="en-US"/>
              </w:rPr>
            </w:pPr>
            <w:r w:rsidRPr="00B672AF">
              <w:rPr>
                <w:spacing w:val="-3"/>
                <w:sz w:val="24"/>
                <w:lang w:val="en-US"/>
              </w:rPr>
              <w:t>VCAM-1</w:t>
            </w:r>
          </w:p>
        </w:tc>
        <w:tc>
          <w:tcPr>
            <w:tcW w:w="1984" w:type="dxa"/>
          </w:tcPr>
          <w:p w14:paraId="7C8E3BEA" w14:textId="77777777" w:rsidR="004246B7" w:rsidRPr="00B672AF" w:rsidRDefault="004246B7" w:rsidP="004246B7">
            <w:pPr>
              <w:spacing w:line="480" w:lineRule="auto"/>
              <w:ind w:left="467" w:hanging="467"/>
              <w:rPr>
                <w:spacing w:val="-3"/>
                <w:sz w:val="24"/>
                <w:lang w:val="en-US"/>
              </w:rPr>
            </w:pPr>
            <w:r w:rsidRPr="00B672AF">
              <w:rPr>
                <w:spacing w:val="-3"/>
                <w:sz w:val="24"/>
                <w:lang w:val="en-US"/>
              </w:rPr>
              <w:t>Forward</w:t>
            </w:r>
          </w:p>
        </w:tc>
        <w:tc>
          <w:tcPr>
            <w:tcW w:w="4253" w:type="dxa"/>
          </w:tcPr>
          <w:p w14:paraId="779D7784" w14:textId="77777777" w:rsidR="004246B7" w:rsidRPr="00B672AF" w:rsidRDefault="004246B7" w:rsidP="004246B7">
            <w:pPr>
              <w:spacing w:line="480" w:lineRule="auto"/>
              <w:rPr>
                <w:spacing w:val="-3"/>
                <w:sz w:val="24"/>
                <w:lang w:val="en-US"/>
              </w:rPr>
            </w:pPr>
            <w:r w:rsidRPr="00B672AF">
              <w:rPr>
                <w:sz w:val="24"/>
                <w:lang w:val="en-US"/>
              </w:rPr>
              <w:t>TGC ACG GTC CCT AAT GTG TA</w:t>
            </w:r>
          </w:p>
        </w:tc>
      </w:tr>
      <w:tr w:rsidR="00B672AF" w:rsidRPr="00DA05FA" w14:paraId="48E48F50" w14:textId="77777777" w:rsidTr="00B05028">
        <w:tblPrEx>
          <w:tblBorders>
            <w:left w:val="single" w:sz="4" w:space="0" w:color="auto"/>
            <w:right w:val="single" w:sz="4" w:space="0" w:color="auto"/>
          </w:tblBorders>
        </w:tblPrEx>
        <w:trPr>
          <w:trHeight w:val="199"/>
        </w:trPr>
        <w:tc>
          <w:tcPr>
            <w:tcW w:w="2694" w:type="dxa"/>
            <w:vMerge/>
            <w:vAlign w:val="center"/>
          </w:tcPr>
          <w:p w14:paraId="468AF9E7" w14:textId="77777777" w:rsidR="004246B7" w:rsidRPr="00B672AF" w:rsidRDefault="004246B7" w:rsidP="004246B7">
            <w:pPr>
              <w:spacing w:line="480" w:lineRule="auto"/>
              <w:ind w:left="467" w:hanging="141"/>
              <w:jc w:val="center"/>
              <w:rPr>
                <w:spacing w:val="-3"/>
                <w:sz w:val="24"/>
                <w:lang w:val="en-US"/>
              </w:rPr>
            </w:pPr>
          </w:p>
        </w:tc>
        <w:tc>
          <w:tcPr>
            <w:tcW w:w="1984" w:type="dxa"/>
          </w:tcPr>
          <w:p w14:paraId="5CA1DEF8" w14:textId="77777777" w:rsidR="004246B7" w:rsidRPr="00B672AF" w:rsidRDefault="004246B7" w:rsidP="004246B7">
            <w:pPr>
              <w:spacing w:line="480" w:lineRule="auto"/>
              <w:ind w:left="467" w:hanging="467"/>
              <w:rPr>
                <w:spacing w:val="-3"/>
                <w:sz w:val="24"/>
                <w:lang w:val="en-US"/>
              </w:rPr>
            </w:pPr>
            <w:r w:rsidRPr="00B672AF">
              <w:rPr>
                <w:spacing w:val="-3"/>
                <w:sz w:val="24"/>
                <w:lang w:val="en-US"/>
              </w:rPr>
              <w:t>Reverse</w:t>
            </w:r>
          </w:p>
        </w:tc>
        <w:tc>
          <w:tcPr>
            <w:tcW w:w="4253" w:type="dxa"/>
          </w:tcPr>
          <w:p w14:paraId="48F3B7F2" w14:textId="77777777" w:rsidR="004246B7" w:rsidRPr="00B672AF" w:rsidRDefault="004246B7" w:rsidP="004246B7">
            <w:pPr>
              <w:spacing w:line="480" w:lineRule="auto"/>
              <w:rPr>
                <w:sz w:val="24"/>
                <w:lang w:val="en-US"/>
              </w:rPr>
            </w:pPr>
            <w:r w:rsidRPr="00B672AF">
              <w:rPr>
                <w:sz w:val="24"/>
                <w:lang w:val="en-US"/>
              </w:rPr>
              <w:t>TGC CAA TTT CCT CCC TTA AA</w:t>
            </w:r>
          </w:p>
        </w:tc>
      </w:tr>
      <w:tr w:rsidR="00B672AF" w:rsidRPr="00B672AF" w14:paraId="69E0AAC5" w14:textId="77777777" w:rsidTr="00B05028">
        <w:tblPrEx>
          <w:tblBorders>
            <w:left w:val="single" w:sz="4" w:space="0" w:color="auto"/>
            <w:right w:val="single" w:sz="4" w:space="0" w:color="auto"/>
          </w:tblBorders>
        </w:tblPrEx>
        <w:tc>
          <w:tcPr>
            <w:tcW w:w="2694" w:type="dxa"/>
            <w:vMerge w:val="restart"/>
            <w:vAlign w:val="center"/>
          </w:tcPr>
          <w:p w14:paraId="035AC616" w14:textId="77777777" w:rsidR="004246B7" w:rsidRPr="00B672AF" w:rsidRDefault="004246B7" w:rsidP="004246B7">
            <w:pPr>
              <w:spacing w:line="480" w:lineRule="auto"/>
              <w:ind w:left="467" w:hanging="141"/>
              <w:jc w:val="center"/>
              <w:rPr>
                <w:spacing w:val="-3"/>
                <w:sz w:val="24"/>
                <w:lang w:val="en-US"/>
              </w:rPr>
            </w:pPr>
            <w:r w:rsidRPr="00B672AF">
              <w:rPr>
                <w:spacing w:val="-3"/>
                <w:sz w:val="24"/>
                <w:lang w:val="en-US"/>
              </w:rPr>
              <w:t>PCIII</w:t>
            </w:r>
          </w:p>
        </w:tc>
        <w:tc>
          <w:tcPr>
            <w:tcW w:w="1984" w:type="dxa"/>
          </w:tcPr>
          <w:p w14:paraId="4C6DDB2F" w14:textId="77777777" w:rsidR="004246B7" w:rsidRPr="00B672AF" w:rsidRDefault="004246B7" w:rsidP="004246B7">
            <w:pPr>
              <w:spacing w:line="480" w:lineRule="auto"/>
              <w:ind w:left="467" w:hanging="467"/>
              <w:rPr>
                <w:spacing w:val="-3"/>
                <w:sz w:val="24"/>
                <w:lang w:val="en-US"/>
              </w:rPr>
            </w:pPr>
            <w:r w:rsidRPr="00B672AF">
              <w:rPr>
                <w:spacing w:val="-3"/>
                <w:sz w:val="24"/>
                <w:lang w:val="en-US"/>
              </w:rPr>
              <w:t>Forward</w:t>
            </w:r>
          </w:p>
        </w:tc>
        <w:tc>
          <w:tcPr>
            <w:tcW w:w="4253" w:type="dxa"/>
          </w:tcPr>
          <w:p w14:paraId="2D7E85D3" w14:textId="77777777" w:rsidR="004246B7" w:rsidRPr="00B672AF" w:rsidRDefault="004246B7" w:rsidP="004246B7">
            <w:pPr>
              <w:spacing w:line="480" w:lineRule="auto"/>
              <w:rPr>
                <w:spacing w:val="-3"/>
                <w:sz w:val="24"/>
              </w:rPr>
            </w:pPr>
            <w:r w:rsidRPr="00B672AF">
              <w:rPr>
                <w:spacing w:val="-3"/>
                <w:sz w:val="24"/>
              </w:rPr>
              <w:t>ACC TGG ACC ACA AGG ACA C</w:t>
            </w:r>
          </w:p>
        </w:tc>
      </w:tr>
      <w:tr w:rsidR="00B672AF" w:rsidRPr="00DA05FA" w14:paraId="23147326" w14:textId="77777777" w:rsidTr="00B05028">
        <w:tblPrEx>
          <w:tblBorders>
            <w:left w:val="single" w:sz="4" w:space="0" w:color="auto"/>
            <w:right w:val="single" w:sz="4" w:space="0" w:color="auto"/>
          </w:tblBorders>
        </w:tblPrEx>
        <w:tc>
          <w:tcPr>
            <w:tcW w:w="2694" w:type="dxa"/>
            <w:vMerge/>
            <w:vAlign w:val="center"/>
          </w:tcPr>
          <w:p w14:paraId="6B042D77" w14:textId="77777777" w:rsidR="004246B7" w:rsidRPr="00B672AF" w:rsidRDefault="004246B7" w:rsidP="004246B7">
            <w:pPr>
              <w:spacing w:line="480" w:lineRule="auto"/>
              <w:ind w:left="467" w:hanging="141"/>
              <w:jc w:val="center"/>
              <w:rPr>
                <w:spacing w:val="-3"/>
                <w:sz w:val="24"/>
              </w:rPr>
            </w:pPr>
          </w:p>
        </w:tc>
        <w:tc>
          <w:tcPr>
            <w:tcW w:w="1984" w:type="dxa"/>
          </w:tcPr>
          <w:p w14:paraId="1A512FA2" w14:textId="77777777" w:rsidR="004246B7" w:rsidRPr="00B672AF" w:rsidRDefault="004246B7" w:rsidP="004246B7">
            <w:pPr>
              <w:spacing w:line="480" w:lineRule="auto"/>
              <w:ind w:left="467" w:hanging="467"/>
              <w:rPr>
                <w:spacing w:val="-3"/>
                <w:sz w:val="24"/>
                <w:lang w:val="en-US"/>
              </w:rPr>
            </w:pPr>
            <w:r w:rsidRPr="00B672AF">
              <w:rPr>
                <w:spacing w:val="-3"/>
                <w:sz w:val="24"/>
                <w:lang w:val="en-US"/>
              </w:rPr>
              <w:t>Reverse</w:t>
            </w:r>
          </w:p>
        </w:tc>
        <w:tc>
          <w:tcPr>
            <w:tcW w:w="4253" w:type="dxa"/>
          </w:tcPr>
          <w:p w14:paraId="379D2801" w14:textId="77777777" w:rsidR="004246B7" w:rsidRPr="00B672AF" w:rsidRDefault="004246B7" w:rsidP="004246B7">
            <w:pPr>
              <w:spacing w:line="480" w:lineRule="auto"/>
              <w:rPr>
                <w:spacing w:val="-3"/>
                <w:sz w:val="24"/>
                <w:lang w:val="en-US"/>
              </w:rPr>
            </w:pPr>
            <w:r w:rsidRPr="00B672AF">
              <w:rPr>
                <w:spacing w:val="-3"/>
                <w:sz w:val="24"/>
                <w:lang w:val="en-US"/>
              </w:rPr>
              <w:t>TGG ACC CAT TTC ACC TTT C</w:t>
            </w:r>
          </w:p>
        </w:tc>
      </w:tr>
      <w:tr w:rsidR="00B672AF" w:rsidRPr="00DA05FA" w14:paraId="40D80677" w14:textId="77777777" w:rsidTr="00B05028">
        <w:tblPrEx>
          <w:tblBorders>
            <w:left w:val="single" w:sz="4" w:space="0" w:color="auto"/>
            <w:right w:val="single" w:sz="4" w:space="0" w:color="auto"/>
          </w:tblBorders>
        </w:tblPrEx>
        <w:tc>
          <w:tcPr>
            <w:tcW w:w="2694" w:type="dxa"/>
            <w:vMerge w:val="restart"/>
            <w:vAlign w:val="center"/>
          </w:tcPr>
          <w:p w14:paraId="629248E7" w14:textId="77777777" w:rsidR="004246B7" w:rsidRPr="00B672AF" w:rsidRDefault="004246B7" w:rsidP="004246B7">
            <w:pPr>
              <w:spacing w:line="480" w:lineRule="auto"/>
              <w:ind w:left="467" w:hanging="141"/>
              <w:jc w:val="center"/>
              <w:rPr>
                <w:sz w:val="24"/>
                <w:lang w:val="en-US"/>
              </w:rPr>
            </w:pPr>
            <w:proofErr w:type="spellStart"/>
            <w:r w:rsidRPr="00B672AF">
              <w:rPr>
                <w:spacing w:val="-3"/>
                <w:sz w:val="24"/>
                <w:lang w:val="en-US"/>
              </w:rPr>
              <w:t>Decorin</w:t>
            </w:r>
            <w:proofErr w:type="spellEnd"/>
          </w:p>
        </w:tc>
        <w:tc>
          <w:tcPr>
            <w:tcW w:w="1984" w:type="dxa"/>
          </w:tcPr>
          <w:p w14:paraId="2103A66E" w14:textId="77777777" w:rsidR="004246B7" w:rsidRPr="00B672AF" w:rsidRDefault="004246B7" w:rsidP="004246B7">
            <w:pPr>
              <w:spacing w:line="480" w:lineRule="auto"/>
              <w:ind w:left="467" w:hanging="467"/>
              <w:rPr>
                <w:spacing w:val="-3"/>
                <w:sz w:val="24"/>
                <w:lang w:val="en-US"/>
              </w:rPr>
            </w:pPr>
            <w:r w:rsidRPr="00B672AF">
              <w:rPr>
                <w:spacing w:val="-3"/>
                <w:sz w:val="24"/>
                <w:lang w:val="en-US"/>
              </w:rPr>
              <w:t>Forward</w:t>
            </w:r>
          </w:p>
        </w:tc>
        <w:tc>
          <w:tcPr>
            <w:tcW w:w="4253" w:type="dxa"/>
          </w:tcPr>
          <w:p w14:paraId="24147BA4" w14:textId="77777777" w:rsidR="004246B7" w:rsidRPr="00B672AF" w:rsidRDefault="004246B7" w:rsidP="004246B7">
            <w:pPr>
              <w:spacing w:line="480" w:lineRule="auto"/>
              <w:rPr>
                <w:sz w:val="24"/>
                <w:shd w:val="clear" w:color="auto" w:fill="FFFFFF"/>
                <w:lang w:val="en-US"/>
              </w:rPr>
            </w:pPr>
            <w:r w:rsidRPr="00B672AF">
              <w:rPr>
                <w:sz w:val="24"/>
                <w:shd w:val="clear" w:color="auto" w:fill="FFFFFF"/>
                <w:lang w:val="en-US"/>
              </w:rPr>
              <w:t>GAT CAG CCC AGA GGC ATT TA</w:t>
            </w:r>
          </w:p>
        </w:tc>
      </w:tr>
      <w:tr w:rsidR="00B672AF" w:rsidRPr="00DA05FA" w14:paraId="38FC0FF0" w14:textId="77777777" w:rsidTr="00B05028">
        <w:tblPrEx>
          <w:tblBorders>
            <w:left w:val="single" w:sz="4" w:space="0" w:color="auto"/>
            <w:right w:val="single" w:sz="4" w:space="0" w:color="auto"/>
          </w:tblBorders>
        </w:tblPrEx>
        <w:tc>
          <w:tcPr>
            <w:tcW w:w="2694" w:type="dxa"/>
            <w:vMerge/>
            <w:vAlign w:val="center"/>
          </w:tcPr>
          <w:p w14:paraId="3A7CCC70" w14:textId="77777777" w:rsidR="004246B7" w:rsidRPr="00B672AF" w:rsidRDefault="004246B7" w:rsidP="004246B7">
            <w:pPr>
              <w:spacing w:line="480" w:lineRule="auto"/>
              <w:ind w:left="467" w:hanging="141"/>
              <w:jc w:val="center"/>
              <w:rPr>
                <w:spacing w:val="-3"/>
                <w:sz w:val="24"/>
                <w:lang w:val="en-US"/>
              </w:rPr>
            </w:pPr>
          </w:p>
        </w:tc>
        <w:tc>
          <w:tcPr>
            <w:tcW w:w="1984" w:type="dxa"/>
          </w:tcPr>
          <w:p w14:paraId="60BBA9EB" w14:textId="77777777" w:rsidR="004246B7" w:rsidRPr="00B672AF" w:rsidRDefault="004246B7" w:rsidP="004246B7">
            <w:pPr>
              <w:spacing w:line="480" w:lineRule="auto"/>
              <w:ind w:left="467" w:hanging="467"/>
              <w:rPr>
                <w:spacing w:val="-3"/>
                <w:sz w:val="24"/>
                <w:lang w:val="en-US"/>
              </w:rPr>
            </w:pPr>
            <w:r w:rsidRPr="00B672AF">
              <w:rPr>
                <w:spacing w:val="-3"/>
                <w:sz w:val="24"/>
                <w:lang w:val="en-US"/>
              </w:rPr>
              <w:t>Reverse</w:t>
            </w:r>
          </w:p>
        </w:tc>
        <w:tc>
          <w:tcPr>
            <w:tcW w:w="4253" w:type="dxa"/>
          </w:tcPr>
          <w:p w14:paraId="1A729648" w14:textId="77777777" w:rsidR="004246B7" w:rsidRPr="00B672AF" w:rsidRDefault="004246B7" w:rsidP="004246B7">
            <w:pPr>
              <w:spacing w:line="480" w:lineRule="auto"/>
              <w:rPr>
                <w:spacing w:val="-3"/>
                <w:sz w:val="24"/>
                <w:lang w:val="en-US"/>
              </w:rPr>
            </w:pPr>
            <w:r w:rsidRPr="00B672AF">
              <w:rPr>
                <w:sz w:val="24"/>
                <w:shd w:val="clear" w:color="auto" w:fill="FFFFFF"/>
                <w:lang w:val="en-US"/>
              </w:rPr>
              <w:t>GCT CCA TTT TCA ATC CCA GA</w:t>
            </w:r>
          </w:p>
        </w:tc>
      </w:tr>
      <w:tr w:rsidR="00B672AF" w:rsidRPr="00DA05FA" w14:paraId="01CEE8F5" w14:textId="77777777" w:rsidTr="00B05028">
        <w:tblPrEx>
          <w:tblBorders>
            <w:left w:val="single" w:sz="4" w:space="0" w:color="auto"/>
            <w:right w:val="single" w:sz="4" w:space="0" w:color="auto"/>
          </w:tblBorders>
        </w:tblPrEx>
        <w:tc>
          <w:tcPr>
            <w:tcW w:w="2694" w:type="dxa"/>
            <w:vMerge w:val="restart"/>
            <w:vAlign w:val="center"/>
          </w:tcPr>
          <w:p w14:paraId="38FC447A" w14:textId="77777777" w:rsidR="004246B7" w:rsidRPr="00B672AF" w:rsidRDefault="004246B7" w:rsidP="004246B7">
            <w:pPr>
              <w:spacing w:line="480" w:lineRule="auto"/>
              <w:ind w:left="467" w:hanging="141"/>
              <w:jc w:val="center"/>
              <w:rPr>
                <w:spacing w:val="-3"/>
                <w:sz w:val="24"/>
                <w:lang w:val="en-US"/>
              </w:rPr>
            </w:pPr>
            <w:r w:rsidRPr="00B672AF">
              <w:rPr>
                <w:spacing w:val="-3"/>
                <w:sz w:val="24"/>
                <w:lang w:val="en-US"/>
              </w:rPr>
              <w:t>MMP-9</w:t>
            </w:r>
          </w:p>
        </w:tc>
        <w:tc>
          <w:tcPr>
            <w:tcW w:w="1984" w:type="dxa"/>
          </w:tcPr>
          <w:p w14:paraId="40DBD170" w14:textId="77777777" w:rsidR="004246B7" w:rsidRPr="00B672AF" w:rsidRDefault="004246B7" w:rsidP="004246B7">
            <w:pPr>
              <w:spacing w:line="480" w:lineRule="auto"/>
              <w:ind w:left="467" w:hanging="467"/>
              <w:rPr>
                <w:spacing w:val="-3"/>
                <w:sz w:val="24"/>
                <w:lang w:val="en-US"/>
              </w:rPr>
            </w:pPr>
            <w:r w:rsidRPr="00B672AF">
              <w:rPr>
                <w:spacing w:val="-3"/>
                <w:sz w:val="24"/>
                <w:lang w:val="en-US"/>
              </w:rPr>
              <w:t>Forward</w:t>
            </w:r>
          </w:p>
        </w:tc>
        <w:tc>
          <w:tcPr>
            <w:tcW w:w="4253" w:type="dxa"/>
          </w:tcPr>
          <w:p w14:paraId="4BFE9CB7" w14:textId="77777777" w:rsidR="004246B7" w:rsidRPr="00B672AF" w:rsidRDefault="004246B7" w:rsidP="004246B7">
            <w:pPr>
              <w:spacing w:line="480" w:lineRule="auto"/>
              <w:rPr>
                <w:spacing w:val="-3"/>
                <w:sz w:val="24"/>
                <w:lang w:val="en-US"/>
              </w:rPr>
            </w:pPr>
            <w:r w:rsidRPr="00B672AF">
              <w:rPr>
                <w:sz w:val="24"/>
                <w:shd w:val="clear" w:color="auto" w:fill="FFFFFF"/>
                <w:lang w:val="en-US"/>
              </w:rPr>
              <w:t>CCA CCG AGC TAT CCA CTC AT</w:t>
            </w:r>
          </w:p>
        </w:tc>
      </w:tr>
      <w:tr w:rsidR="00B672AF" w:rsidRPr="00DA05FA" w14:paraId="47F350B0" w14:textId="77777777" w:rsidTr="00B05028">
        <w:tblPrEx>
          <w:tblBorders>
            <w:left w:val="single" w:sz="4" w:space="0" w:color="auto"/>
            <w:right w:val="single" w:sz="4" w:space="0" w:color="auto"/>
          </w:tblBorders>
        </w:tblPrEx>
        <w:tc>
          <w:tcPr>
            <w:tcW w:w="2694" w:type="dxa"/>
            <w:vMerge/>
            <w:vAlign w:val="center"/>
          </w:tcPr>
          <w:p w14:paraId="79CBB5A0" w14:textId="77777777" w:rsidR="004246B7" w:rsidRPr="00B672AF" w:rsidRDefault="004246B7" w:rsidP="004246B7">
            <w:pPr>
              <w:spacing w:line="480" w:lineRule="auto"/>
              <w:ind w:left="467" w:hanging="141"/>
              <w:jc w:val="center"/>
              <w:rPr>
                <w:spacing w:val="-3"/>
                <w:sz w:val="24"/>
                <w:lang w:val="en-US"/>
              </w:rPr>
            </w:pPr>
          </w:p>
        </w:tc>
        <w:tc>
          <w:tcPr>
            <w:tcW w:w="1984" w:type="dxa"/>
          </w:tcPr>
          <w:p w14:paraId="1703A4EE" w14:textId="77777777" w:rsidR="004246B7" w:rsidRPr="00B672AF" w:rsidRDefault="004246B7" w:rsidP="004246B7">
            <w:pPr>
              <w:spacing w:line="480" w:lineRule="auto"/>
              <w:ind w:left="467" w:hanging="467"/>
              <w:rPr>
                <w:spacing w:val="-3"/>
                <w:sz w:val="24"/>
                <w:lang w:val="en-US"/>
              </w:rPr>
            </w:pPr>
            <w:r w:rsidRPr="00B672AF">
              <w:rPr>
                <w:spacing w:val="-3"/>
                <w:sz w:val="24"/>
                <w:lang w:val="en-US"/>
              </w:rPr>
              <w:t>Reverse</w:t>
            </w:r>
          </w:p>
        </w:tc>
        <w:tc>
          <w:tcPr>
            <w:tcW w:w="4253" w:type="dxa"/>
          </w:tcPr>
          <w:p w14:paraId="01DAF4F0" w14:textId="77777777" w:rsidR="004246B7" w:rsidRPr="00B672AF" w:rsidRDefault="004246B7" w:rsidP="004246B7">
            <w:pPr>
              <w:spacing w:line="480" w:lineRule="auto"/>
              <w:rPr>
                <w:spacing w:val="-3"/>
                <w:sz w:val="24"/>
                <w:lang w:val="en-US"/>
              </w:rPr>
            </w:pPr>
            <w:r w:rsidRPr="00B672AF">
              <w:rPr>
                <w:sz w:val="24"/>
                <w:shd w:val="clear" w:color="auto" w:fill="FFFFFF"/>
                <w:lang w:val="en-US"/>
              </w:rPr>
              <w:t>GTC CGG TTT CAG CAT GTT TT</w:t>
            </w:r>
          </w:p>
        </w:tc>
      </w:tr>
      <w:tr w:rsidR="00B672AF" w:rsidRPr="00DA05FA" w14:paraId="4E45A0E2" w14:textId="77777777" w:rsidTr="00B05028">
        <w:tc>
          <w:tcPr>
            <w:tcW w:w="2694" w:type="dxa"/>
            <w:vMerge w:val="restart"/>
            <w:tcBorders>
              <w:left w:val="single" w:sz="4" w:space="0" w:color="auto"/>
            </w:tcBorders>
            <w:vAlign w:val="center"/>
          </w:tcPr>
          <w:p w14:paraId="5C6B3DF0" w14:textId="77777777" w:rsidR="004246B7" w:rsidRPr="002B56DC" w:rsidRDefault="004246B7" w:rsidP="004246B7">
            <w:pPr>
              <w:spacing w:line="480" w:lineRule="auto"/>
              <w:ind w:firstLine="284"/>
              <w:jc w:val="center"/>
              <w:rPr>
                <w:i/>
                <w:spacing w:val="-3"/>
                <w:sz w:val="24"/>
                <w:lang w:val="en-US"/>
              </w:rPr>
            </w:pPr>
            <w:r w:rsidRPr="002B56DC">
              <w:rPr>
                <w:i/>
                <w:spacing w:val="-3"/>
                <w:sz w:val="24"/>
                <w:lang w:val="en-US"/>
              </w:rPr>
              <w:t>36B4</w:t>
            </w:r>
          </w:p>
        </w:tc>
        <w:tc>
          <w:tcPr>
            <w:tcW w:w="1984" w:type="dxa"/>
            <w:vAlign w:val="center"/>
          </w:tcPr>
          <w:p w14:paraId="19341467" w14:textId="77777777" w:rsidR="004246B7" w:rsidRPr="00B672AF" w:rsidRDefault="004246B7" w:rsidP="004246B7">
            <w:pPr>
              <w:spacing w:line="480" w:lineRule="auto"/>
              <w:rPr>
                <w:spacing w:val="-3"/>
                <w:sz w:val="24"/>
                <w:lang w:val="en-US"/>
              </w:rPr>
            </w:pPr>
            <w:r w:rsidRPr="00B672AF">
              <w:rPr>
                <w:spacing w:val="-3"/>
                <w:sz w:val="24"/>
                <w:lang w:val="en-US"/>
              </w:rPr>
              <w:t>Forward</w:t>
            </w:r>
          </w:p>
        </w:tc>
        <w:tc>
          <w:tcPr>
            <w:tcW w:w="4253" w:type="dxa"/>
            <w:tcBorders>
              <w:right w:val="single" w:sz="4" w:space="0" w:color="auto"/>
            </w:tcBorders>
            <w:vAlign w:val="center"/>
          </w:tcPr>
          <w:p w14:paraId="7DFF82B0" w14:textId="77777777" w:rsidR="004246B7" w:rsidRPr="00B672AF" w:rsidRDefault="00FF32A2" w:rsidP="004246B7">
            <w:pPr>
              <w:spacing w:line="480" w:lineRule="auto"/>
              <w:rPr>
                <w:sz w:val="24"/>
                <w:lang w:val="en-US"/>
              </w:rPr>
            </w:pPr>
            <w:r w:rsidRPr="00B672AF">
              <w:rPr>
                <w:sz w:val="24"/>
                <w:lang w:val="en-US"/>
              </w:rPr>
              <w:t>AAT CCT GAG CGA TGT GCA G</w:t>
            </w:r>
          </w:p>
        </w:tc>
      </w:tr>
      <w:tr w:rsidR="00B672AF" w:rsidRPr="00DA05FA" w14:paraId="1683A981" w14:textId="77777777" w:rsidTr="00244425">
        <w:tc>
          <w:tcPr>
            <w:tcW w:w="2694" w:type="dxa"/>
            <w:vMerge/>
            <w:tcBorders>
              <w:left w:val="single" w:sz="4" w:space="0" w:color="auto"/>
            </w:tcBorders>
            <w:vAlign w:val="center"/>
          </w:tcPr>
          <w:p w14:paraId="6039DD2F" w14:textId="77777777" w:rsidR="004246B7" w:rsidRPr="00B672AF" w:rsidRDefault="004246B7" w:rsidP="004246B7">
            <w:pPr>
              <w:spacing w:line="480" w:lineRule="auto"/>
              <w:rPr>
                <w:spacing w:val="-3"/>
                <w:sz w:val="24"/>
                <w:lang w:val="en-US"/>
              </w:rPr>
            </w:pPr>
          </w:p>
        </w:tc>
        <w:tc>
          <w:tcPr>
            <w:tcW w:w="1984" w:type="dxa"/>
            <w:vAlign w:val="center"/>
          </w:tcPr>
          <w:p w14:paraId="26E7412C" w14:textId="77777777" w:rsidR="004246B7" w:rsidRPr="00B672AF" w:rsidRDefault="004246B7" w:rsidP="004246B7">
            <w:pPr>
              <w:spacing w:line="480" w:lineRule="auto"/>
              <w:rPr>
                <w:spacing w:val="-3"/>
                <w:sz w:val="24"/>
                <w:lang w:val="en-US"/>
              </w:rPr>
            </w:pPr>
            <w:r w:rsidRPr="00B672AF">
              <w:rPr>
                <w:spacing w:val="-3"/>
                <w:sz w:val="24"/>
                <w:lang w:val="en-US"/>
              </w:rPr>
              <w:t>Reverse</w:t>
            </w:r>
          </w:p>
        </w:tc>
        <w:tc>
          <w:tcPr>
            <w:tcW w:w="4253" w:type="dxa"/>
            <w:tcBorders>
              <w:right w:val="single" w:sz="4" w:space="0" w:color="auto"/>
            </w:tcBorders>
            <w:vAlign w:val="center"/>
          </w:tcPr>
          <w:p w14:paraId="10BBFA72" w14:textId="77777777" w:rsidR="004246B7" w:rsidRPr="00B672AF" w:rsidRDefault="00FF32A2" w:rsidP="00FF32A2">
            <w:pPr>
              <w:spacing w:line="480" w:lineRule="auto"/>
              <w:rPr>
                <w:sz w:val="24"/>
                <w:lang w:val="en-US"/>
              </w:rPr>
            </w:pPr>
            <w:r w:rsidRPr="00B672AF">
              <w:rPr>
                <w:sz w:val="24"/>
                <w:lang w:val="en-US"/>
              </w:rPr>
              <w:t>GCT GCC ATT GTC AAA CAC</w:t>
            </w:r>
          </w:p>
        </w:tc>
      </w:tr>
    </w:tbl>
    <w:p w14:paraId="540A7548" w14:textId="77777777" w:rsidR="00565CDE" w:rsidRPr="00B672AF" w:rsidRDefault="00FF32A2" w:rsidP="00BF3137">
      <w:pPr>
        <w:spacing w:line="360" w:lineRule="auto"/>
        <w:jc w:val="both"/>
        <w:rPr>
          <w:rFonts w:ascii="Times New Roman" w:hAnsi="Times New Roman"/>
          <w:sz w:val="24"/>
          <w:szCs w:val="24"/>
          <w:lang w:val="en-US"/>
        </w:rPr>
      </w:pPr>
      <w:r w:rsidRPr="00B672AF">
        <w:rPr>
          <w:rFonts w:ascii="Times New Roman" w:hAnsi="Times New Roman"/>
          <w:sz w:val="24"/>
          <w:szCs w:val="24"/>
          <w:lang w:val="en-US"/>
        </w:rPr>
        <w:t xml:space="preserve">Forward and reverse oligonucleotide sequences of target gene primers: </w:t>
      </w:r>
      <w:r w:rsidR="00244425" w:rsidRPr="00B672AF">
        <w:rPr>
          <w:rFonts w:ascii="Times New Roman" w:hAnsi="Times New Roman"/>
          <w:sz w:val="24"/>
          <w:szCs w:val="24"/>
          <w:lang w:val="en-US"/>
        </w:rPr>
        <w:t xml:space="preserve">IL-6, interleukin-6; </w:t>
      </w:r>
      <w:r w:rsidRPr="00B672AF">
        <w:rPr>
          <w:rFonts w:ascii="Times New Roman" w:hAnsi="Times New Roman"/>
          <w:sz w:val="24"/>
          <w:szCs w:val="24"/>
          <w:lang w:val="en-US"/>
        </w:rPr>
        <w:t xml:space="preserve">CC-16, club cell protein; VCAM-1, vascular cell adhesion molecule; </w:t>
      </w:r>
      <w:r w:rsidR="00244425" w:rsidRPr="00B672AF">
        <w:rPr>
          <w:rFonts w:ascii="Times New Roman" w:hAnsi="Times New Roman"/>
          <w:sz w:val="24"/>
          <w:szCs w:val="24"/>
          <w:lang w:val="en-US"/>
        </w:rPr>
        <w:t xml:space="preserve">PCIII, </w:t>
      </w:r>
      <w:r w:rsidR="00BF3137" w:rsidRPr="00B672AF">
        <w:rPr>
          <w:rFonts w:ascii="Times New Roman" w:hAnsi="Times New Roman"/>
          <w:sz w:val="24"/>
          <w:szCs w:val="24"/>
          <w:lang w:val="en-US"/>
        </w:rPr>
        <w:t xml:space="preserve">type III </w:t>
      </w:r>
      <w:r w:rsidR="00244425" w:rsidRPr="00B672AF">
        <w:rPr>
          <w:rFonts w:ascii="Times New Roman" w:hAnsi="Times New Roman"/>
          <w:sz w:val="24"/>
          <w:szCs w:val="24"/>
          <w:lang w:val="en-US"/>
        </w:rPr>
        <w:t xml:space="preserve">procollagen; MMP-9, metalloproteinase-9; </w:t>
      </w:r>
      <w:r w:rsidR="00244425" w:rsidRPr="002B56DC">
        <w:rPr>
          <w:rFonts w:ascii="Times New Roman" w:hAnsi="Times New Roman"/>
          <w:i/>
          <w:sz w:val="24"/>
          <w:szCs w:val="24"/>
          <w:lang w:val="en-US"/>
        </w:rPr>
        <w:t>36B4</w:t>
      </w:r>
      <w:r w:rsidR="00244425" w:rsidRPr="00B672AF">
        <w:rPr>
          <w:rFonts w:ascii="Times New Roman" w:hAnsi="Times New Roman"/>
          <w:sz w:val="24"/>
          <w:szCs w:val="24"/>
          <w:lang w:val="en-US"/>
        </w:rPr>
        <w:t>, acidic ribosomal phosphoprotein P0.</w:t>
      </w:r>
    </w:p>
    <w:p w14:paraId="594A0487" w14:textId="77777777" w:rsidR="00DF4D0E" w:rsidRDefault="00DF4D0E" w:rsidP="004246B7">
      <w:pPr>
        <w:spacing w:line="480" w:lineRule="auto"/>
        <w:jc w:val="both"/>
        <w:rPr>
          <w:rFonts w:ascii="Times New Roman" w:hAnsi="Times New Roman"/>
          <w:b/>
          <w:sz w:val="24"/>
          <w:szCs w:val="24"/>
          <w:lang w:val="en-US"/>
        </w:rPr>
      </w:pPr>
    </w:p>
    <w:p w14:paraId="30422692" w14:textId="6ADF090B" w:rsidR="00BF3137" w:rsidRDefault="00BF3137" w:rsidP="004246B7">
      <w:pPr>
        <w:spacing w:line="480" w:lineRule="auto"/>
        <w:jc w:val="both"/>
        <w:rPr>
          <w:rFonts w:ascii="Times New Roman" w:hAnsi="Times New Roman"/>
          <w:b/>
          <w:sz w:val="24"/>
          <w:szCs w:val="24"/>
          <w:lang w:val="en-US"/>
        </w:rPr>
      </w:pPr>
      <w:r w:rsidRPr="00B672AF">
        <w:rPr>
          <w:rFonts w:ascii="Times New Roman" w:hAnsi="Times New Roman"/>
          <w:b/>
          <w:sz w:val="24"/>
          <w:szCs w:val="24"/>
          <w:lang w:val="en-US"/>
        </w:rPr>
        <w:lastRenderedPageBreak/>
        <w:t>REFERENCES</w:t>
      </w:r>
    </w:p>
    <w:p w14:paraId="096AE1B0" w14:textId="6460C59F" w:rsidR="002B56DC" w:rsidRDefault="002B56DC" w:rsidP="004246B7">
      <w:pPr>
        <w:spacing w:line="480" w:lineRule="auto"/>
        <w:jc w:val="both"/>
        <w:rPr>
          <w:rFonts w:ascii="Times New Roman" w:hAnsi="Times New Roman"/>
          <w:b/>
          <w:sz w:val="24"/>
          <w:szCs w:val="24"/>
          <w:lang w:val="en-US"/>
        </w:rPr>
      </w:pPr>
    </w:p>
    <w:p w14:paraId="74CE7997" w14:textId="2699626F" w:rsidR="00BF3137" w:rsidRPr="00B672AF" w:rsidRDefault="00BF3137" w:rsidP="00BF3137">
      <w:pPr>
        <w:pStyle w:val="PargrafodaLista"/>
        <w:numPr>
          <w:ilvl w:val="0"/>
          <w:numId w:val="1"/>
        </w:numPr>
        <w:spacing w:line="480" w:lineRule="auto"/>
        <w:jc w:val="both"/>
        <w:rPr>
          <w:rStyle w:val="csl-right-inline"/>
          <w:rFonts w:ascii="Times New Roman" w:eastAsia="Times New Roman" w:hAnsi="Times New Roman" w:cs="Times New Roman"/>
          <w:sz w:val="24"/>
          <w:lang w:val="en-US"/>
        </w:rPr>
      </w:pPr>
      <w:proofErr w:type="spellStart"/>
      <w:r w:rsidRPr="00B672AF">
        <w:rPr>
          <w:rStyle w:val="csl-right-inline"/>
          <w:rFonts w:ascii="Times New Roman" w:eastAsia="Times New Roman" w:hAnsi="Times New Roman" w:cs="Times New Roman"/>
          <w:sz w:val="24"/>
          <w:lang w:val="en-US"/>
        </w:rPr>
        <w:t>Plagemann</w:t>
      </w:r>
      <w:proofErr w:type="spellEnd"/>
      <w:r w:rsidR="00DA05FA">
        <w:rPr>
          <w:rStyle w:val="csl-right-inline"/>
          <w:rFonts w:ascii="Times New Roman" w:eastAsia="Times New Roman" w:hAnsi="Times New Roman" w:cs="Times New Roman"/>
          <w:sz w:val="24"/>
          <w:lang w:val="en-US"/>
        </w:rPr>
        <w:t>,</w:t>
      </w:r>
      <w:r w:rsidRPr="00B672AF">
        <w:rPr>
          <w:rStyle w:val="csl-right-inline"/>
          <w:rFonts w:ascii="Times New Roman" w:eastAsia="Times New Roman" w:hAnsi="Times New Roman" w:cs="Times New Roman"/>
          <w:sz w:val="24"/>
          <w:lang w:val="en-US"/>
        </w:rPr>
        <w:t xml:space="preserve"> A</w:t>
      </w:r>
      <w:r w:rsidR="00DA05FA">
        <w:rPr>
          <w:rStyle w:val="csl-right-inline"/>
          <w:rFonts w:ascii="Times New Roman" w:eastAsia="Times New Roman" w:hAnsi="Times New Roman" w:cs="Times New Roman"/>
          <w:sz w:val="24"/>
          <w:lang w:val="en-US"/>
        </w:rPr>
        <w:t>.</w:t>
      </w:r>
      <w:r w:rsidRPr="00B672AF">
        <w:rPr>
          <w:rStyle w:val="csl-right-inline"/>
          <w:rFonts w:ascii="Times New Roman" w:eastAsia="Times New Roman" w:hAnsi="Times New Roman" w:cs="Times New Roman"/>
          <w:sz w:val="24"/>
          <w:lang w:val="en-US"/>
        </w:rPr>
        <w:t>, Heidrich</w:t>
      </w:r>
      <w:r w:rsidR="00DA05FA">
        <w:rPr>
          <w:rStyle w:val="csl-right-inline"/>
          <w:rFonts w:ascii="Times New Roman" w:eastAsia="Times New Roman" w:hAnsi="Times New Roman" w:cs="Times New Roman"/>
          <w:sz w:val="24"/>
          <w:lang w:val="en-US"/>
        </w:rPr>
        <w:t>,</w:t>
      </w:r>
      <w:r w:rsidRPr="00B672AF">
        <w:rPr>
          <w:rStyle w:val="csl-right-inline"/>
          <w:rFonts w:ascii="Times New Roman" w:eastAsia="Times New Roman" w:hAnsi="Times New Roman" w:cs="Times New Roman"/>
          <w:sz w:val="24"/>
          <w:lang w:val="en-US"/>
        </w:rPr>
        <w:t xml:space="preserve"> I</w:t>
      </w:r>
      <w:r w:rsidR="00DA05FA">
        <w:rPr>
          <w:rStyle w:val="csl-right-inline"/>
          <w:rFonts w:ascii="Times New Roman" w:eastAsia="Times New Roman" w:hAnsi="Times New Roman" w:cs="Times New Roman"/>
          <w:sz w:val="24"/>
          <w:lang w:val="en-US"/>
        </w:rPr>
        <w:t>.</w:t>
      </w:r>
      <w:r w:rsidRPr="00B672AF">
        <w:rPr>
          <w:rStyle w:val="csl-right-inline"/>
          <w:rFonts w:ascii="Times New Roman" w:eastAsia="Times New Roman" w:hAnsi="Times New Roman" w:cs="Times New Roman"/>
          <w:sz w:val="24"/>
          <w:lang w:val="en-US"/>
        </w:rPr>
        <w:t xml:space="preserve">, </w:t>
      </w:r>
      <w:proofErr w:type="spellStart"/>
      <w:r w:rsidRPr="00B672AF">
        <w:rPr>
          <w:rStyle w:val="csl-right-inline"/>
          <w:rFonts w:ascii="Times New Roman" w:eastAsia="Times New Roman" w:hAnsi="Times New Roman" w:cs="Times New Roman"/>
          <w:sz w:val="24"/>
          <w:lang w:val="en-US"/>
        </w:rPr>
        <w:t>Götz</w:t>
      </w:r>
      <w:proofErr w:type="spellEnd"/>
      <w:r w:rsidR="00DA05FA">
        <w:rPr>
          <w:rStyle w:val="csl-right-inline"/>
          <w:rFonts w:ascii="Times New Roman" w:eastAsia="Times New Roman" w:hAnsi="Times New Roman" w:cs="Times New Roman"/>
          <w:sz w:val="24"/>
          <w:lang w:val="en-US"/>
        </w:rPr>
        <w:t>,</w:t>
      </w:r>
      <w:r w:rsidRPr="00B672AF">
        <w:rPr>
          <w:rStyle w:val="csl-right-inline"/>
          <w:rFonts w:ascii="Times New Roman" w:eastAsia="Times New Roman" w:hAnsi="Times New Roman" w:cs="Times New Roman"/>
          <w:sz w:val="24"/>
          <w:lang w:val="en-US"/>
        </w:rPr>
        <w:t xml:space="preserve"> F</w:t>
      </w:r>
      <w:r w:rsidR="00DA05FA">
        <w:rPr>
          <w:rStyle w:val="csl-right-inline"/>
          <w:rFonts w:ascii="Times New Roman" w:eastAsia="Times New Roman" w:hAnsi="Times New Roman" w:cs="Times New Roman"/>
          <w:sz w:val="24"/>
          <w:lang w:val="en-US"/>
        </w:rPr>
        <w:t>.</w:t>
      </w:r>
      <w:r w:rsidRPr="00B672AF">
        <w:rPr>
          <w:rStyle w:val="csl-right-inline"/>
          <w:rFonts w:ascii="Times New Roman" w:eastAsia="Times New Roman" w:hAnsi="Times New Roman" w:cs="Times New Roman"/>
          <w:sz w:val="24"/>
          <w:lang w:val="en-US"/>
        </w:rPr>
        <w:t>, Rohde</w:t>
      </w:r>
      <w:r w:rsidR="00DA05FA">
        <w:rPr>
          <w:rStyle w:val="csl-right-inline"/>
          <w:rFonts w:ascii="Times New Roman" w:eastAsia="Times New Roman" w:hAnsi="Times New Roman" w:cs="Times New Roman"/>
          <w:sz w:val="24"/>
          <w:lang w:val="en-US"/>
        </w:rPr>
        <w:t>,</w:t>
      </w:r>
      <w:r w:rsidRPr="00B672AF">
        <w:rPr>
          <w:rStyle w:val="csl-right-inline"/>
          <w:rFonts w:ascii="Times New Roman" w:eastAsia="Times New Roman" w:hAnsi="Times New Roman" w:cs="Times New Roman"/>
          <w:sz w:val="24"/>
          <w:lang w:val="en-US"/>
        </w:rPr>
        <w:t xml:space="preserve"> W</w:t>
      </w:r>
      <w:r w:rsidR="00DA05FA">
        <w:rPr>
          <w:rStyle w:val="csl-right-inline"/>
          <w:rFonts w:ascii="Times New Roman" w:eastAsia="Times New Roman" w:hAnsi="Times New Roman" w:cs="Times New Roman"/>
          <w:sz w:val="24"/>
          <w:lang w:val="en-US"/>
        </w:rPr>
        <w:t>.</w:t>
      </w:r>
      <w:r w:rsidRPr="00B672AF">
        <w:rPr>
          <w:rStyle w:val="csl-right-inline"/>
          <w:rFonts w:ascii="Times New Roman" w:eastAsia="Times New Roman" w:hAnsi="Times New Roman" w:cs="Times New Roman"/>
          <w:sz w:val="24"/>
          <w:lang w:val="en-US"/>
        </w:rPr>
        <w:t xml:space="preserve">, </w:t>
      </w:r>
      <w:proofErr w:type="spellStart"/>
      <w:r w:rsidRPr="00B672AF">
        <w:rPr>
          <w:rStyle w:val="csl-right-inline"/>
          <w:rFonts w:ascii="Times New Roman" w:eastAsia="Times New Roman" w:hAnsi="Times New Roman" w:cs="Times New Roman"/>
          <w:sz w:val="24"/>
          <w:lang w:val="en-US"/>
        </w:rPr>
        <w:t>Dörner</w:t>
      </w:r>
      <w:proofErr w:type="spellEnd"/>
      <w:r w:rsidR="00DA05FA">
        <w:rPr>
          <w:rStyle w:val="csl-right-inline"/>
          <w:rFonts w:ascii="Times New Roman" w:eastAsia="Times New Roman" w:hAnsi="Times New Roman" w:cs="Times New Roman"/>
          <w:sz w:val="24"/>
          <w:lang w:val="en-US"/>
        </w:rPr>
        <w:t>,</w:t>
      </w:r>
      <w:r w:rsidRPr="00B672AF">
        <w:rPr>
          <w:rStyle w:val="csl-right-inline"/>
          <w:rFonts w:ascii="Times New Roman" w:eastAsia="Times New Roman" w:hAnsi="Times New Roman" w:cs="Times New Roman"/>
          <w:sz w:val="24"/>
          <w:lang w:val="en-US"/>
        </w:rPr>
        <w:t xml:space="preserve"> G</w:t>
      </w:r>
      <w:r w:rsidR="00DA05FA">
        <w:rPr>
          <w:rStyle w:val="csl-right-inline"/>
          <w:rFonts w:ascii="Times New Roman" w:eastAsia="Times New Roman" w:hAnsi="Times New Roman" w:cs="Times New Roman"/>
          <w:sz w:val="24"/>
          <w:lang w:val="en-US"/>
        </w:rPr>
        <w:t>.</w:t>
      </w:r>
      <w:r w:rsidR="002B56DC">
        <w:rPr>
          <w:rStyle w:val="csl-right-inline"/>
          <w:rFonts w:ascii="Times New Roman" w:eastAsia="Times New Roman" w:hAnsi="Times New Roman" w:cs="Times New Roman"/>
          <w:sz w:val="24"/>
          <w:lang w:val="en-US"/>
        </w:rPr>
        <w:t xml:space="preserve"> (</w:t>
      </w:r>
      <w:r w:rsidR="00E61EF2">
        <w:rPr>
          <w:rStyle w:val="csl-right-inline"/>
          <w:rFonts w:ascii="Times New Roman" w:eastAsia="Times New Roman" w:hAnsi="Times New Roman" w:cs="Times New Roman"/>
          <w:sz w:val="24"/>
          <w:lang w:val="en-US"/>
        </w:rPr>
        <w:t>1992</w:t>
      </w:r>
      <w:r w:rsidR="002B56DC">
        <w:rPr>
          <w:rStyle w:val="csl-right-inline"/>
          <w:rFonts w:ascii="Times New Roman" w:eastAsia="Times New Roman" w:hAnsi="Times New Roman" w:cs="Times New Roman"/>
          <w:sz w:val="24"/>
          <w:lang w:val="en-US"/>
        </w:rPr>
        <w:t>)</w:t>
      </w:r>
      <w:r w:rsidRPr="00B672AF">
        <w:rPr>
          <w:rStyle w:val="csl-right-inline"/>
          <w:rFonts w:ascii="Times New Roman" w:eastAsia="Times New Roman" w:hAnsi="Times New Roman" w:cs="Times New Roman"/>
          <w:sz w:val="24"/>
          <w:lang w:val="en-US"/>
        </w:rPr>
        <w:t xml:space="preserve">. Obesity and Enhanced Diabetes and Cardiovascular Risk in Adult Rats due to Early Postnatal Overfeeding. </w:t>
      </w:r>
      <w:r w:rsidRPr="00B672AF">
        <w:rPr>
          <w:rStyle w:val="csl-right-inline"/>
          <w:rFonts w:ascii="Times New Roman" w:eastAsia="Times New Roman" w:hAnsi="Times New Roman" w:cs="Times New Roman"/>
          <w:i/>
          <w:sz w:val="24"/>
          <w:lang w:val="en-US"/>
        </w:rPr>
        <w:t>Exp</w:t>
      </w:r>
      <w:r w:rsidR="00E61EF2">
        <w:rPr>
          <w:rStyle w:val="csl-right-inline"/>
          <w:rFonts w:ascii="Times New Roman" w:eastAsia="Times New Roman" w:hAnsi="Times New Roman" w:cs="Times New Roman"/>
          <w:i/>
          <w:sz w:val="24"/>
          <w:lang w:val="en-US"/>
        </w:rPr>
        <w:t>.</w:t>
      </w:r>
      <w:r w:rsidRPr="00B672AF">
        <w:rPr>
          <w:rStyle w:val="csl-right-inline"/>
          <w:rFonts w:ascii="Times New Roman" w:eastAsia="Times New Roman" w:hAnsi="Times New Roman" w:cs="Times New Roman"/>
          <w:i/>
          <w:sz w:val="24"/>
          <w:lang w:val="en-US"/>
        </w:rPr>
        <w:t xml:space="preserve"> Clin</w:t>
      </w:r>
      <w:r w:rsidR="00E61EF2">
        <w:rPr>
          <w:rStyle w:val="csl-right-inline"/>
          <w:rFonts w:ascii="Times New Roman" w:eastAsia="Times New Roman" w:hAnsi="Times New Roman" w:cs="Times New Roman"/>
          <w:i/>
          <w:sz w:val="24"/>
          <w:lang w:val="en-US"/>
        </w:rPr>
        <w:t>.</w:t>
      </w:r>
      <w:r w:rsidRPr="00B672AF">
        <w:rPr>
          <w:rStyle w:val="csl-right-inline"/>
          <w:rFonts w:ascii="Times New Roman" w:eastAsia="Times New Roman" w:hAnsi="Times New Roman" w:cs="Times New Roman"/>
          <w:i/>
          <w:sz w:val="24"/>
          <w:lang w:val="en-US"/>
        </w:rPr>
        <w:t xml:space="preserve"> Endocr</w:t>
      </w:r>
      <w:r w:rsidR="00E61EF2">
        <w:rPr>
          <w:rStyle w:val="csl-right-inline"/>
          <w:rFonts w:ascii="Times New Roman" w:eastAsia="Times New Roman" w:hAnsi="Times New Roman" w:cs="Times New Roman"/>
          <w:i/>
          <w:sz w:val="24"/>
          <w:lang w:val="en-US"/>
        </w:rPr>
        <w:t>inol</w:t>
      </w:r>
      <w:r w:rsidRPr="00B672AF">
        <w:rPr>
          <w:rStyle w:val="csl-right-inline"/>
          <w:rFonts w:ascii="Times New Roman" w:eastAsia="Times New Roman" w:hAnsi="Times New Roman" w:cs="Times New Roman"/>
          <w:sz w:val="24"/>
          <w:lang w:val="en-US"/>
        </w:rPr>
        <w:t xml:space="preserve"> </w:t>
      </w:r>
      <w:r w:rsidRPr="002B56DC">
        <w:rPr>
          <w:rStyle w:val="csl-right-inline"/>
          <w:rFonts w:ascii="Times New Roman" w:eastAsia="Times New Roman" w:hAnsi="Times New Roman" w:cs="Times New Roman"/>
          <w:bCs/>
          <w:sz w:val="24"/>
          <w:lang w:val="en-US"/>
        </w:rPr>
        <w:t>99</w:t>
      </w:r>
      <w:r w:rsidRPr="00B672AF">
        <w:rPr>
          <w:rStyle w:val="csl-right-inline"/>
          <w:rFonts w:ascii="Times New Roman" w:eastAsia="Times New Roman" w:hAnsi="Times New Roman" w:cs="Times New Roman"/>
          <w:sz w:val="24"/>
          <w:lang w:val="en-US"/>
        </w:rPr>
        <w:t>:154–</w:t>
      </w:r>
      <w:r w:rsidR="002B56DC">
        <w:rPr>
          <w:rStyle w:val="csl-right-inline"/>
          <w:rFonts w:ascii="Times New Roman" w:eastAsia="Times New Roman" w:hAnsi="Times New Roman" w:cs="Times New Roman"/>
          <w:sz w:val="24"/>
          <w:lang w:val="en-US"/>
        </w:rPr>
        <w:t>15</w:t>
      </w:r>
      <w:r w:rsidRPr="00B672AF">
        <w:rPr>
          <w:rStyle w:val="csl-right-inline"/>
          <w:rFonts w:ascii="Times New Roman" w:eastAsia="Times New Roman" w:hAnsi="Times New Roman" w:cs="Times New Roman"/>
          <w:sz w:val="24"/>
          <w:lang w:val="en-US"/>
        </w:rPr>
        <w:t xml:space="preserve">8. </w:t>
      </w:r>
    </w:p>
    <w:p w14:paraId="301B8BCB" w14:textId="65620D65" w:rsidR="00BF3137" w:rsidRPr="00E61EF2" w:rsidRDefault="00DA05FA" w:rsidP="00BF3137">
      <w:pPr>
        <w:pStyle w:val="PargrafodaLista"/>
        <w:numPr>
          <w:ilvl w:val="0"/>
          <w:numId w:val="1"/>
        </w:numPr>
        <w:spacing w:line="480" w:lineRule="auto"/>
        <w:jc w:val="both"/>
        <w:rPr>
          <w:rFonts w:ascii="Times New Roman" w:hAnsi="Times New Roman" w:cs="Times New Roman"/>
          <w:sz w:val="24"/>
          <w:szCs w:val="24"/>
          <w:lang w:val="en-US"/>
        </w:rPr>
      </w:pPr>
      <w:r w:rsidRPr="00E61EF2">
        <w:rPr>
          <w:rStyle w:val="csl-right-inline"/>
          <w:rFonts w:ascii="Times New Roman" w:eastAsia="Times New Roman" w:hAnsi="Times New Roman" w:cs="Times New Roman"/>
          <w:sz w:val="24"/>
          <w:szCs w:val="24"/>
        </w:rPr>
        <w:t xml:space="preserve">De Albuquerque Maia L, </w:t>
      </w:r>
      <w:r w:rsidR="00BF3137" w:rsidRPr="00E61EF2">
        <w:rPr>
          <w:rStyle w:val="csl-right-inline"/>
          <w:rFonts w:ascii="Times New Roman" w:eastAsia="Times New Roman" w:hAnsi="Times New Roman" w:cs="Times New Roman"/>
          <w:sz w:val="24"/>
          <w:szCs w:val="24"/>
        </w:rPr>
        <w:t>Lisboa P,</w:t>
      </w:r>
      <w:r w:rsidR="00BF3137" w:rsidRPr="00E61EF2">
        <w:rPr>
          <w:rStyle w:val="csl-right-inline"/>
          <w:rFonts w:ascii="Times New Roman" w:eastAsia="Times New Roman" w:hAnsi="Times New Roman" w:cs="Times New Roman"/>
          <w:color w:val="000000"/>
          <w:sz w:val="24"/>
          <w:szCs w:val="24"/>
        </w:rPr>
        <w:t xml:space="preserve"> </w:t>
      </w:r>
      <w:r w:rsidRPr="00E61EF2">
        <w:rPr>
          <w:rStyle w:val="csl-right-inline"/>
          <w:rFonts w:ascii="Times New Roman" w:eastAsia="Times New Roman" w:hAnsi="Times New Roman" w:cs="Times New Roman"/>
          <w:color w:val="000000"/>
          <w:sz w:val="24"/>
          <w:szCs w:val="24"/>
        </w:rPr>
        <w:t xml:space="preserve">de </w:t>
      </w:r>
      <w:r w:rsidR="00BF3137" w:rsidRPr="00E61EF2">
        <w:rPr>
          <w:rStyle w:val="csl-right-inline"/>
          <w:rFonts w:ascii="Times New Roman" w:eastAsia="Times New Roman" w:hAnsi="Times New Roman" w:cs="Times New Roman"/>
          <w:color w:val="000000"/>
          <w:sz w:val="24"/>
          <w:szCs w:val="24"/>
        </w:rPr>
        <w:t>Oliveira</w:t>
      </w:r>
      <w:r w:rsidRPr="00E61EF2">
        <w:rPr>
          <w:rStyle w:val="csl-right-inline"/>
          <w:rFonts w:ascii="Times New Roman" w:eastAsia="Times New Roman" w:hAnsi="Times New Roman" w:cs="Times New Roman"/>
          <w:color w:val="000000"/>
          <w:sz w:val="24"/>
          <w:szCs w:val="24"/>
        </w:rPr>
        <w:t>,</w:t>
      </w:r>
      <w:r w:rsidR="00BF3137" w:rsidRPr="00E61EF2">
        <w:rPr>
          <w:rStyle w:val="csl-right-inline"/>
          <w:rFonts w:ascii="Times New Roman" w:eastAsia="Times New Roman" w:hAnsi="Times New Roman" w:cs="Times New Roman"/>
          <w:color w:val="000000"/>
          <w:sz w:val="24"/>
          <w:szCs w:val="24"/>
        </w:rPr>
        <w:t xml:space="preserve"> E</w:t>
      </w:r>
      <w:r w:rsidRPr="00E61EF2">
        <w:rPr>
          <w:rStyle w:val="csl-right-inline"/>
          <w:rFonts w:ascii="Times New Roman" w:eastAsia="Times New Roman" w:hAnsi="Times New Roman" w:cs="Times New Roman"/>
          <w:color w:val="000000"/>
          <w:sz w:val="24"/>
          <w:szCs w:val="24"/>
        </w:rPr>
        <w:t>.,</w:t>
      </w:r>
      <w:r w:rsidR="00E61EF2" w:rsidRPr="00E61EF2">
        <w:rPr>
          <w:rStyle w:val="csl-right-inline"/>
          <w:rFonts w:ascii="Times New Roman" w:eastAsia="Times New Roman" w:hAnsi="Times New Roman" w:cs="Times New Roman"/>
          <w:color w:val="000000"/>
          <w:sz w:val="24"/>
          <w:szCs w:val="24"/>
        </w:rPr>
        <w:t xml:space="preserve"> da Conceição, E.P., Lima, I.C., Lopes, R.T., </w:t>
      </w:r>
      <w:r w:rsidR="00BF3137" w:rsidRPr="00E61EF2">
        <w:rPr>
          <w:rStyle w:val="csl-right-inline"/>
          <w:rFonts w:ascii="Times New Roman" w:eastAsia="Times New Roman" w:hAnsi="Times New Roman" w:cs="Times New Roman"/>
          <w:color w:val="000000"/>
          <w:sz w:val="24"/>
          <w:szCs w:val="24"/>
        </w:rPr>
        <w:t>et al.</w:t>
      </w:r>
      <w:r w:rsidR="002B56DC" w:rsidRPr="00E61EF2">
        <w:rPr>
          <w:rStyle w:val="csl-right-inline"/>
          <w:rFonts w:ascii="Times New Roman" w:eastAsia="Times New Roman" w:hAnsi="Times New Roman" w:cs="Times New Roman"/>
          <w:color w:val="000000"/>
          <w:sz w:val="24"/>
          <w:szCs w:val="24"/>
        </w:rPr>
        <w:t xml:space="preserve"> </w:t>
      </w:r>
      <w:r w:rsidR="002B56DC" w:rsidRPr="00E61EF2">
        <w:rPr>
          <w:rStyle w:val="csl-right-inline"/>
          <w:rFonts w:ascii="Times New Roman" w:eastAsia="Times New Roman" w:hAnsi="Times New Roman" w:cs="Times New Roman"/>
          <w:color w:val="000000"/>
          <w:sz w:val="24"/>
          <w:szCs w:val="24"/>
          <w:lang w:val="en-US"/>
        </w:rPr>
        <w:t>(2014)</w:t>
      </w:r>
      <w:r w:rsidR="00BF3137" w:rsidRPr="00E61EF2">
        <w:rPr>
          <w:rStyle w:val="csl-right-inline"/>
          <w:rFonts w:ascii="Times New Roman" w:eastAsia="Times New Roman" w:hAnsi="Times New Roman" w:cs="Times New Roman"/>
          <w:color w:val="000000"/>
          <w:sz w:val="24"/>
          <w:szCs w:val="24"/>
          <w:lang w:val="en-US"/>
        </w:rPr>
        <w:t xml:space="preserve"> Bone structure and strength are enhanced in rats programmed by early overfeeding. </w:t>
      </w:r>
      <w:r w:rsidR="00BF3137" w:rsidRPr="00E61EF2">
        <w:rPr>
          <w:rStyle w:val="csl-right-inline"/>
          <w:rFonts w:ascii="Times New Roman" w:eastAsia="Times New Roman" w:hAnsi="Times New Roman" w:cs="Times New Roman"/>
          <w:i/>
          <w:color w:val="000000"/>
          <w:sz w:val="24"/>
          <w:szCs w:val="24"/>
          <w:lang w:val="en-US"/>
        </w:rPr>
        <w:t xml:space="preserve">Hormone </w:t>
      </w:r>
      <w:proofErr w:type="spellStart"/>
      <w:r w:rsidR="00BF3137" w:rsidRPr="00E61EF2">
        <w:rPr>
          <w:rStyle w:val="csl-right-inline"/>
          <w:rFonts w:ascii="Times New Roman" w:eastAsia="Times New Roman" w:hAnsi="Times New Roman" w:cs="Times New Roman"/>
          <w:i/>
          <w:color w:val="000000"/>
          <w:sz w:val="24"/>
          <w:szCs w:val="24"/>
          <w:lang w:val="en-US"/>
        </w:rPr>
        <w:t>Metab</w:t>
      </w:r>
      <w:proofErr w:type="spellEnd"/>
      <w:r w:rsidR="00BF3137" w:rsidRPr="00E61EF2">
        <w:rPr>
          <w:rStyle w:val="csl-right-inline"/>
          <w:rFonts w:ascii="Times New Roman" w:eastAsia="Times New Roman" w:hAnsi="Times New Roman" w:cs="Times New Roman"/>
          <w:i/>
          <w:color w:val="000000"/>
          <w:sz w:val="24"/>
          <w:szCs w:val="24"/>
          <w:lang w:val="en-US"/>
        </w:rPr>
        <w:t xml:space="preserve"> Res</w:t>
      </w:r>
      <w:r w:rsidR="00E61EF2">
        <w:rPr>
          <w:rStyle w:val="csl-right-inline"/>
          <w:rFonts w:ascii="Times New Roman" w:eastAsia="Times New Roman" w:hAnsi="Times New Roman" w:cs="Times New Roman"/>
          <w:i/>
          <w:color w:val="000000"/>
          <w:sz w:val="24"/>
          <w:szCs w:val="24"/>
          <w:lang w:val="en-US"/>
        </w:rPr>
        <w:t>.</w:t>
      </w:r>
      <w:r w:rsidR="00BF3137" w:rsidRPr="00E61EF2">
        <w:rPr>
          <w:rStyle w:val="csl-right-inline"/>
          <w:rFonts w:ascii="Times New Roman" w:eastAsia="Times New Roman" w:hAnsi="Times New Roman" w:cs="Times New Roman"/>
          <w:color w:val="000000"/>
          <w:sz w:val="24"/>
          <w:szCs w:val="24"/>
          <w:lang w:val="en-US"/>
        </w:rPr>
        <w:t xml:space="preserve"> </w:t>
      </w:r>
      <w:r w:rsidR="00BF3137" w:rsidRPr="00E61EF2">
        <w:rPr>
          <w:rStyle w:val="csl-right-inline"/>
          <w:rFonts w:ascii="Times New Roman" w:eastAsia="Times New Roman" w:hAnsi="Times New Roman" w:cs="Times New Roman"/>
          <w:bCs/>
          <w:color w:val="000000"/>
          <w:sz w:val="24"/>
          <w:szCs w:val="24"/>
          <w:lang w:val="en-US"/>
        </w:rPr>
        <w:t>46:</w:t>
      </w:r>
      <w:r w:rsidR="00BF3137" w:rsidRPr="00E61EF2">
        <w:rPr>
          <w:rStyle w:val="csl-right-inline"/>
          <w:rFonts w:ascii="Times New Roman" w:eastAsia="Times New Roman" w:hAnsi="Times New Roman" w:cs="Times New Roman"/>
          <w:color w:val="000000"/>
          <w:sz w:val="24"/>
          <w:szCs w:val="24"/>
          <w:lang w:val="en-US"/>
        </w:rPr>
        <w:t>259–</w:t>
      </w:r>
      <w:r w:rsidR="002B56DC" w:rsidRPr="00E61EF2">
        <w:rPr>
          <w:rStyle w:val="csl-right-inline"/>
          <w:rFonts w:ascii="Times New Roman" w:eastAsia="Times New Roman" w:hAnsi="Times New Roman" w:cs="Times New Roman"/>
          <w:color w:val="000000"/>
          <w:sz w:val="24"/>
          <w:szCs w:val="24"/>
          <w:lang w:val="en-US"/>
        </w:rPr>
        <w:t>2</w:t>
      </w:r>
      <w:r w:rsidR="00BF3137" w:rsidRPr="00E61EF2">
        <w:rPr>
          <w:rStyle w:val="csl-right-inline"/>
          <w:rFonts w:ascii="Times New Roman" w:eastAsia="Times New Roman" w:hAnsi="Times New Roman" w:cs="Times New Roman"/>
          <w:color w:val="000000"/>
          <w:sz w:val="24"/>
          <w:szCs w:val="24"/>
          <w:lang w:val="en-US"/>
        </w:rPr>
        <w:t xml:space="preserve">68. </w:t>
      </w:r>
    </w:p>
    <w:p w14:paraId="2BCEC0FD" w14:textId="37AD82AF" w:rsidR="00BF3137" w:rsidRPr="00EA7AC5" w:rsidRDefault="00BF3137" w:rsidP="00BF3137">
      <w:pPr>
        <w:pStyle w:val="PargrafodaLista"/>
        <w:numPr>
          <w:ilvl w:val="0"/>
          <w:numId w:val="1"/>
        </w:numPr>
        <w:spacing w:line="480" w:lineRule="auto"/>
        <w:jc w:val="both"/>
        <w:rPr>
          <w:rFonts w:ascii="Times New Roman" w:hAnsi="Times New Roman"/>
          <w:sz w:val="24"/>
          <w:szCs w:val="24"/>
          <w:lang w:val="en-US"/>
        </w:rPr>
      </w:pPr>
      <w:proofErr w:type="spellStart"/>
      <w:r w:rsidRPr="00EA7AC5">
        <w:rPr>
          <w:rStyle w:val="csl-right-inline"/>
          <w:rFonts w:ascii="Times New Roman" w:eastAsia="Times New Roman" w:hAnsi="Times New Roman" w:cs="Times New Roman"/>
          <w:color w:val="000000"/>
          <w:sz w:val="24"/>
          <w:lang w:val="en-US"/>
        </w:rPr>
        <w:t>Busse</w:t>
      </w:r>
      <w:proofErr w:type="spellEnd"/>
      <w:r w:rsidR="00E61EF2">
        <w:rPr>
          <w:rStyle w:val="csl-right-inline"/>
          <w:rFonts w:ascii="Times New Roman" w:eastAsia="Times New Roman" w:hAnsi="Times New Roman" w:cs="Times New Roman"/>
          <w:color w:val="000000"/>
          <w:sz w:val="24"/>
          <w:lang w:val="en-US"/>
        </w:rPr>
        <w:t>,</w:t>
      </w:r>
      <w:r w:rsidRPr="00EA7AC5">
        <w:rPr>
          <w:rStyle w:val="csl-right-inline"/>
          <w:rFonts w:ascii="Times New Roman" w:eastAsia="Times New Roman" w:hAnsi="Times New Roman" w:cs="Times New Roman"/>
          <w:color w:val="000000"/>
          <w:sz w:val="24"/>
          <w:lang w:val="en-US"/>
        </w:rPr>
        <w:t xml:space="preserve"> N</w:t>
      </w:r>
      <w:r w:rsidR="00E61EF2">
        <w:rPr>
          <w:rStyle w:val="csl-right-inline"/>
          <w:rFonts w:ascii="Times New Roman" w:eastAsia="Times New Roman" w:hAnsi="Times New Roman" w:cs="Times New Roman"/>
          <w:color w:val="000000"/>
          <w:sz w:val="24"/>
          <w:lang w:val="en-US"/>
        </w:rPr>
        <w:t>.</w:t>
      </w:r>
      <w:r w:rsidRPr="00EA7AC5">
        <w:rPr>
          <w:rStyle w:val="csl-right-inline"/>
          <w:rFonts w:ascii="Times New Roman" w:eastAsia="Times New Roman" w:hAnsi="Times New Roman" w:cs="Times New Roman"/>
          <w:color w:val="000000"/>
          <w:sz w:val="24"/>
          <w:lang w:val="en-US"/>
        </w:rPr>
        <w:t>, Erwin</w:t>
      </w:r>
      <w:r w:rsidR="00E61EF2">
        <w:rPr>
          <w:rStyle w:val="csl-right-inline"/>
          <w:rFonts w:ascii="Times New Roman" w:eastAsia="Times New Roman" w:hAnsi="Times New Roman" w:cs="Times New Roman"/>
          <w:color w:val="000000"/>
          <w:sz w:val="24"/>
          <w:lang w:val="en-US"/>
        </w:rPr>
        <w:t>,</w:t>
      </w:r>
      <w:r w:rsidRPr="00EA7AC5">
        <w:rPr>
          <w:rStyle w:val="csl-right-inline"/>
          <w:rFonts w:ascii="Times New Roman" w:eastAsia="Times New Roman" w:hAnsi="Times New Roman" w:cs="Times New Roman"/>
          <w:color w:val="000000"/>
          <w:sz w:val="24"/>
          <w:lang w:val="en-US"/>
        </w:rPr>
        <w:t xml:space="preserve"> W</w:t>
      </w:r>
      <w:r w:rsidR="00E61EF2">
        <w:rPr>
          <w:rStyle w:val="csl-right-inline"/>
          <w:rFonts w:ascii="Times New Roman" w:eastAsia="Times New Roman" w:hAnsi="Times New Roman" w:cs="Times New Roman"/>
          <w:color w:val="000000"/>
          <w:sz w:val="24"/>
          <w:lang w:val="en-US"/>
        </w:rPr>
        <w:t>.</w:t>
      </w:r>
      <w:r w:rsidRPr="00EA7AC5">
        <w:rPr>
          <w:rStyle w:val="csl-right-inline"/>
          <w:rFonts w:ascii="Times New Roman" w:eastAsia="Times New Roman" w:hAnsi="Times New Roman" w:cs="Times New Roman"/>
          <w:color w:val="000000"/>
          <w:sz w:val="24"/>
          <w:lang w:val="en-US"/>
        </w:rPr>
        <w:t>, Pan</w:t>
      </w:r>
      <w:r w:rsidR="00E61EF2">
        <w:rPr>
          <w:rStyle w:val="csl-right-inline"/>
          <w:rFonts w:ascii="Times New Roman" w:eastAsia="Times New Roman" w:hAnsi="Times New Roman" w:cs="Times New Roman"/>
          <w:color w:val="000000"/>
          <w:sz w:val="24"/>
          <w:lang w:val="en-US"/>
        </w:rPr>
        <w:t>,</w:t>
      </w:r>
      <w:r w:rsidRPr="00EA7AC5">
        <w:rPr>
          <w:rStyle w:val="csl-right-inline"/>
          <w:rFonts w:ascii="Times New Roman" w:eastAsia="Times New Roman" w:hAnsi="Times New Roman" w:cs="Times New Roman"/>
          <w:color w:val="000000"/>
          <w:sz w:val="24"/>
          <w:lang w:val="en-US"/>
        </w:rPr>
        <w:t xml:space="preserve"> T</w:t>
      </w:r>
      <w:r w:rsidR="00E61EF2">
        <w:rPr>
          <w:rStyle w:val="csl-right-inline"/>
          <w:rFonts w:ascii="Times New Roman" w:eastAsia="Times New Roman" w:hAnsi="Times New Roman" w:cs="Times New Roman"/>
          <w:color w:val="000000"/>
          <w:sz w:val="24"/>
          <w:lang w:val="en-US"/>
        </w:rPr>
        <w:t>.</w:t>
      </w:r>
      <w:r w:rsidR="002B56DC">
        <w:rPr>
          <w:rStyle w:val="csl-right-inline"/>
          <w:rFonts w:ascii="Times New Roman" w:eastAsia="Times New Roman" w:hAnsi="Times New Roman" w:cs="Times New Roman"/>
          <w:color w:val="000000"/>
          <w:sz w:val="24"/>
          <w:lang w:val="en-US"/>
        </w:rPr>
        <w:t xml:space="preserve"> (2013)</w:t>
      </w:r>
      <w:r w:rsidRPr="00EA7AC5">
        <w:rPr>
          <w:rStyle w:val="csl-right-inline"/>
          <w:rFonts w:ascii="Times New Roman" w:eastAsia="Times New Roman" w:hAnsi="Times New Roman" w:cs="Times New Roman"/>
          <w:color w:val="000000"/>
          <w:sz w:val="24"/>
          <w:lang w:val="en-US"/>
        </w:rPr>
        <w:t xml:space="preserve">. Evaluation of a semiautomated lung mass calculation technique for internal dosimetry applications. </w:t>
      </w:r>
      <w:r w:rsidRPr="005276FE">
        <w:rPr>
          <w:rStyle w:val="csl-right-inline"/>
          <w:rFonts w:ascii="Times New Roman" w:eastAsia="Times New Roman" w:hAnsi="Times New Roman" w:cs="Times New Roman"/>
          <w:i/>
          <w:color w:val="000000"/>
          <w:sz w:val="24"/>
          <w:lang w:val="en-US"/>
        </w:rPr>
        <w:t>Med</w:t>
      </w:r>
      <w:r w:rsidR="00E61EF2">
        <w:rPr>
          <w:rStyle w:val="csl-right-inline"/>
          <w:rFonts w:ascii="Times New Roman" w:eastAsia="Times New Roman" w:hAnsi="Times New Roman" w:cs="Times New Roman"/>
          <w:i/>
          <w:color w:val="000000"/>
          <w:sz w:val="24"/>
          <w:lang w:val="en-US"/>
        </w:rPr>
        <w:t>.</w:t>
      </w:r>
      <w:r w:rsidRPr="005276FE">
        <w:rPr>
          <w:rStyle w:val="csl-right-inline"/>
          <w:rFonts w:ascii="Times New Roman" w:eastAsia="Times New Roman" w:hAnsi="Times New Roman" w:cs="Times New Roman"/>
          <w:i/>
          <w:color w:val="000000"/>
          <w:sz w:val="24"/>
          <w:lang w:val="en-US"/>
        </w:rPr>
        <w:t xml:space="preserve"> Phys</w:t>
      </w:r>
      <w:r w:rsidR="00E61EF2">
        <w:rPr>
          <w:rStyle w:val="csl-right-inline"/>
          <w:rFonts w:ascii="Times New Roman" w:eastAsia="Times New Roman" w:hAnsi="Times New Roman" w:cs="Times New Roman"/>
          <w:i/>
          <w:color w:val="000000"/>
          <w:sz w:val="24"/>
          <w:lang w:val="en-US"/>
        </w:rPr>
        <w:t>.</w:t>
      </w:r>
      <w:r w:rsidRPr="00EA7AC5">
        <w:rPr>
          <w:rStyle w:val="csl-right-inline"/>
          <w:rFonts w:ascii="Times New Roman" w:eastAsia="Times New Roman" w:hAnsi="Times New Roman" w:cs="Times New Roman"/>
          <w:color w:val="000000"/>
          <w:sz w:val="24"/>
          <w:lang w:val="en-US"/>
        </w:rPr>
        <w:t xml:space="preserve"> </w:t>
      </w:r>
      <w:r w:rsidRPr="002B56DC">
        <w:rPr>
          <w:rStyle w:val="csl-right-inline"/>
          <w:rFonts w:ascii="Times New Roman" w:eastAsia="Times New Roman" w:hAnsi="Times New Roman" w:cs="Times New Roman"/>
          <w:bCs/>
          <w:color w:val="000000"/>
          <w:sz w:val="24"/>
          <w:lang w:val="en-US"/>
        </w:rPr>
        <w:t>40:</w:t>
      </w:r>
      <w:r w:rsidRPr="00EA7AC5">
        <w:rPr>
          <w:rStyle w:val="csl-right-inline"/>
          <w:rFonts w:ascii="Times New Roman" w:eastAsia="Times New Roman" w:hAnsi="Times New Roman" w:cs="Times New Roman"/>
          <w:color w:val="000000"/>
          <w:sz w:val="24"/>
          <w:lang w:val="en-US"/>
        </w:rPr>
        <w:t xml:space="preserve">122503. </w:t>
      </w:r>
    </w:p>
    <w:p w14:paraId="35CE865F" w14:textId="31F1C04E" w:rsidR="00BF3137" w:rsidRPr="00EA7AC5" w:rsidRDefault="00BF3137" w:rsidP="00BF3137">
      <w:pPr>
        <w:pStyle w:val="PargrafodaLista"/>
        <w:numPr>
          <w:ilvl w:val="0"/>
          <w:numId w:val="1"/>
        </w:numPr>
        <w:spacing w:line="480" w:lineRule="auto"/>
        <w:jc w:val="both"/>
        <w:rPr>
          <w:rFonts w:ascii="Times New Roman" w:hAnsi="Times New Roman"/>
          <w:sz w:val="24"/>
          <w:szCs w:val="24"/>
          <w:lang w:val="en-US"/>
        </w:rPr>
      </w:pPr>
      <w:r w:rsidRPr="002B56DC">
        <w:rPr>
          <w:rStyle w:val="csl-right-inline"/>
          <w:rFonts w:ascii="Times New Roman" w:eastAsia="Times New Roman" w:hAnsi="Times New Roman" w:cs="Times New Roman"/>
          <w:color w:val="000000"/>
          <w:sz w:val="24"/>
        </w:rPr>
        <w:t>Raso</w:t>
      </w:r>
      <w:r w:rsidR="00E61EF2">
        <w:rPr>
          <w:rStyle w:val="csl-right-inline"/>
          <w:rFonts w:ascii="Times New Roman" w:eastAsia="Times New Roman" w:hAnsi="Times New Roman" w:cs="Times New Roman"/>
          <w:color w:val="000000"/>
          <w:sz w:val="24"/>
        </w:rPr>
        <w:t>,</w:t>
      </w:r>
      <w:r w:rsidRPr="002B56DC">
        <w:rPr>
          <w:rStyle w:val="csl-right-inline"/>
          <w:rFonts w:ascii="Times New Roman" w:eastAsia="Times New Roman" w:hAnsi="Times New Roman" w:cs="Times New Roman"/>
          <w:color w:val="000000"/>
          <w:sz w:val="24"/>
        </w:rPr>
        <w:t xml:space="preserve"> R</w:t>
      </w:r>
      <w:r w:rsidR="00E61EF2">
        <w:rPr>
          <w:rStyle w:val="csl-right-inline"/>
          <w:rFonts w:ascii="Times New Roman" w:eastAsia="Times New Roman" w:hAnsi="Times New Roman" w:cs="Times New Roman"/>
          <w:color w:val="000000"/>
          <w:sz w:val="24"/>
        </w:rPr>
        <w:t>.</w:t>
      </w:r>
      <w:r w:rsidRPr="002B56DC">
        <w:rPr>
          <w:rStyle w:val="csl-right-inline"/>
          <w:rFonts w:ascii="Times New Roman" w:eastAsia="Times New Roman" w:hAnsi="Times New Roman" w:cs="Times New Roman"/>
          <w:color w:val="000000"/>
          <w:sz w:val="24"/>
        </w:rPr>
        <w:t>, Paim</w:t>
      </w:r>
      <w:r w:rsidR="00E61EF2">
        <w:rPr>
          <w:rStyle w:val="csl-right-inline"/>
          <w:rFonts w:ascii="Times New Roman" w:eastAsia="Times New Roman" w:hAnsi="Times New Roman" w:cs="Times New Roman"/>
          <w:color w:val="000000"/>
          <w:sz w:val="24"/>
        </w:rPr>
        <w:t>,</w:t>
      </w:r>
      <w:r w:rsidRPr="002B56DC">
        <w:rPr>
          <w:rStyle w:val="csl-right-inline"/>
          <w:rFonts w:ascii="Times New Roman" w:eastAsia="Times New Roman" w:hAnsi="Times New Roman" w:cs="Times New Roman"/>
          <w:color w:val="000000"/>
          <w:sz w:val="24"/>
        </w:rPr>
        <w:t xml:space="preserve"> R</w:t>
      </w:r>
      <w:r w:rsidR="00E61EF2">
        <w:rPr>
          <w:rStyle w:val="csl-right-inline"/>
          <w:rFonts w:ascii="Times New Roman" w:eastAsia="Times New Roman" w:hAnsi="Times New Roman" w:cs="Times New Roman"/>
          <w:color w:val="000000"/>
          <w:sz w:val="24"/>
        </w:rPr>
        <w:t>.</w:t>
      </w:r>
      <w:r w:rsidRPr="002B56DC">
        <w:rPr>
          <w:rStyle w:val="csl-right-inline"/>
          <w:rFonts w:ascii="Times New Roman" w:eastAsia="Times New Roman" w:hAnsi="Times New Roman" w:cs="Times New Roman"/>
          <w:color w:val="000000"/>
          <w:sz w:val="24"/>
        </w:rPr>
        <w:t>, Pinheiro</w:t>
      </w:r>
      <w:r w:rsidR="00E61EF2">
        <w:rPr>
          <w:rStyle w:val="csl-right-inline"/>
          <w:rFonts w:ascii="Times New Roman" w:eastAsia="Times New Roman" w:hAnsi="Times New Roman" w:cs="Times New Roman"/>
          <w:color w:val="000000"/>
          <w:sz w:val="24"/>
        </w:rPr>
        <w:t>,</w:t>
      </w:r>
      <w:r w:rsidRPr="002B56DC">
        <w:rPr>
          <w:rStyle w:val="csl-right-inline"/>
          <w:rFonts w:ascii="Times New Roman" w:eastAsia="Times New Roman" w:hAnsi="Times New Roman" w:cs="Times New Roman"/>
          <w:color w:val="000000"/>
          <w:sz w:val="24"/>
        </w:rPr>
        <w:t xml:space="preserve"> S</w:t>
      </w:r>
      <w:r w:rsidR="00E61EF2">
        <w:rPr>
          <w:rStyle w:val="csl-right-inline"/>
          <w:rFonts w:ascii="Times New Roman" w:eastAsia="Times New Roman" w:hAnsi="Times New Roman" w:cs="Times New Roman"/>
          <w:color w:val="000000"/>
          <w:sz w:val="24"/>
        </w:rPr>
        <w:t>.</w:t>
      </w:r>
      <w:r w:rsidRPr="002B56DC">
        <w:rPr>
          <w:rStyle w:val="csl-right-inline"/>
          <w:rFonts w:ascii="Times New Roman" w:eastAsia="Times New Roman" w:hAnsi="Times New Roman" w:cs="Times New Roman"/>
          <w:color w:val="000000"/>
          <w:sz w:val="24"/>
        </w:rPr>
        <w:t xml:space="preserve">, </w:t>
      </w:r>
      <w:r w:rsidR="00E61EF2">
        <w:rPr>
          <w:rStyle w:val="csl-right-inline"/>
          <w:rFonts w:ascii="Times New Roman" w:eastAsia="Times New Roman" w:hAnsi="Times New Roman" w:cs="Times New Roman"/>
          <w:color w:val="000000"/>
          <w:sz w:val="24"/>
        </w:rPr>
        <w:t xml:space="preserve">Tavares, W.C. </w:t>
      </w:r>
      <w:r w:rsidRPr="002B56DC">
        <w:rPr>
          <w:rStyle w:val="csl-right-inline"/>
          <w:rFonts w:ascii="Times New Roman" w:eastAsia="Times New Roman" w:hAnsi="Times New Roman" w:cs="Times New Roman"/>
          <w:color w:val="000000"/>
          <w:sz w:val="24"/>
        </w:rPr>
        <w:t>Júnior</w:t>
      </w:r>
      <w:r w:rsidR="00E61EF2">
        <w:rPr>
          <w:rStyle w:val="csl-right-inline"/>
          <w:rFonts w:ascii="Times New Roman" w:eastAsia="Times New Roman" w:hAnsi="Times New Roman" w:cs="Times New Roman"/>
          <w:color w:val="000000"/>
          <w:sz w:val="24"/>
        </w:rPr>
        <w:t>,</w:t>
      </w:r>
      <w:r w:rsidRPr="002B56DC">
        <w:rPr>
          <w:rStyle w:val="csl-right-inline"/>
          <w:rFonts w:ascii="Times New Roman" w:eastAsia="Times New Roman" w:hAnsi="Times New Roman" w:cs="Times New Roman"/>
          <w:color w:val="000000"/>
          <w:sz w:val="24"/>
        </w:rPr>
        <w:t xml:space="preserve"> Vasconcellos</w:t>
      </w:r>
      <w:r w:rsidR="00E61EF2">
        <w:rPr>
          <w:rStyle w:val="csl-right-inline"/>
          <w:rFonts w:ascii="Times New Roman" w:eastAsia="Times New Roman" w:hAnsi="Times New Roman" w:cs="Times New Roman"/>
          <w:color w:val="000000"/>
          <w:sz w:val="24"/>
        </w:rPr>
        <w:t>,</w:t>
      </w:r>
      <w:r w:rsidRPr="002B56DC">
        <w:rPr>
          <w:rStyle w:val="csl-right-inline"/>
          <w:rFonts w:ascii="Times New Roman" w:eastAsia="Times New Roman" w:hAnsi="Times New Roman" w:cs="Times New Roman"/>
          <w:color w:val="000000"/>
          <w:sz w:val="24"/>
        </w:rPr>
        <w:t xml:space="preserve"> L</w:t>
      </w:r>
      <w:r w:rsidR="00E61EF2">
        <w:rPr>
          <w:rStyle w:val="csl-right-inline"/>
          <w:rFonts w:ascii="Times New Roman" w:eastAsia="Times New Roman" w:hAnsi="Times New Roman" w:cs="Times New Roman"/>
          <w:color w:val="000000"/>
          <w:sz w:val="24"/>
        </w:rPr>
        <w:t>.S</w:t>
      </w:r>
      <w:r w:rsidRPr="002B56DC">
        <w:rPr>
          <w:rStyle w:val="csl-right-inline"/>
          <w:rFonts w:ascii="Times New Roman" w:eastAsia="Times New Roman" w:hAnsi="Times New Roman" w:cs="Times New Roman"/>
          <w:color w:val="000000"/>
          <w:sz w:val="24"/>
        </w:rPr>
        <w:t>, Alberti</w:t>
      </w:r>
      <w:r w:rsidR="00E61EF2">
        <w:rPr>
          <w:rStyle w:val="csl-right-inline"/>
          <w:rFonts w:ascii="Times New Roman" w:eastAsia="Times New Roman" w:hAnsi="Times New Roman" w:cs="Times New Roman"/>
          <w:color w:val="000000"/>
          <w:sz w:val="24"/>
        </w:rPr>
        <w:t>,</w:t>
      </w:r>
      <w:r w:rsidRPr="002B56DC">
        <w:rPr>
          <w:rStyle w:val="csl-right-inline"/>
          <w:rFonts w:ascii="Times New Roman" w:eastAsia="Times New Roman" w:hAnsi="Times New Roman" w:cs="Times New Roman"/>
          <w:color w:val="000000"/>
          <w:sz w:val="24"/>
        </w:rPr>
        <w:t xml:space="preserve"> L</w:t>
      </w:r>
      <w:r w:rsidR="00E61EF2">
        <w:rPr>
          <w:rStyle w:val="csl-right-inline"/>
          <w:rFonts w:ascii="Times New Roman" w:eastAsia="Times New Roman" w:hAnsi="Times New Roman" w:cs="Times New Roman"/>
          <w:color w:val="000000"/>
          <w:sz w:val="24"/>
        </w:rPr>
        <w:t>.</w:t>
      </w:r>
      <w:bookmarkStart w:id="4" w:name="_GoBack"/>
      <w:bookmarkEnd w:id="4"/>
      <w:r w:rsidR="002B56DC" w:rsidRPr="002B56DC">
        <w:rPr>
          <w:rStyle w:val="csl-right-inline"/>
          <w:rFonts w:ascii="Times New Roman" w:eastAsia="Times New Roman" w:hAnsi="Times New Roman" w:cs="Times New Roman"/>
          <w:color w:val="000000"/>
          <w:sz w:val="24"/>
        </w:rPr>
        <w:t xml:space="preserve"> </w:t>
      </w:r>
      <w:r w:rsidR="002B56DC">
        <w:rPr>
          <w:rStyle w:val="csl-right-inline"/>
          <w:rFonts w:ascii="Times New Roman" w:eastAsia="Times New Roman" w:hAnsi="Times New Roman" w:cs="Times New Roman"/>
          <w:color w:val="000000"/>
          <w:sz w:val="24"/>
        </w:rPr>
        <w:t>(2017)</w:t>
      </w:r>
      <w:r w:rsidRPr="002B56DC">
        <w:rPr>
          <w:rStyle w:val="csl-right-inline"/>
          <w:rFonts w:ascii="Times New Roman" w:eastAsia="Times New Roman" w:hAnsi="Times New Roman" w:cs="Times New Roman"/>
          <w:color w:val="000000"/>
          <w:sz w:val="24"/>
        </w:rPr>
        <w:t xml:space="preserve">. </w:t>
      </w:r>
      <w:r w:rsidRPr="00EA7AC5">
        <w:rPr>
          <w:rStyle w:val="csl-right-inline"/>
          <w:rFonts w:ascii="Times New Roman" w:eastAsia="Times New Roman" w:hAnsi="Times New Roman" w:cs="Times New Roman"/>
          <w:color w:val="000000"/>
          <w:sz w:val="24"/>
          <w:lang w:val="en-US"/>
        </w:rPr>
        <w:t xml:space="preserve">Effects of chronic consumption of green tea on weight and body fat distribution of Wistar rats evaluated by computed tomography. </w:t>
      </w:r>
      <w:r w:rsidRPr="005276FE">
        <w:rPr>
          <w:rStyle w:val="csl-right-inline"/>
          <w:rFonts w:ascii="Times New Roman" w:eastAsia="Times New Roman" w:hAnsi="Times New Roman" w:cs="Times New Roman"/>
          <w:i/>
          <w:color w:val="000000"/>
          <w:sz w:val="24"/>
          <w:lang w:val="en-US"/>
        </w:rPr>
        <w:t>Acta Cir Bras</w:t>
      </w:r>
      <w:r w:rsidRPr="00EA7AC5">
        <w:rPr>
          <w:rStyle w:val="csl-right-inline"/>
          <w:rFonts w:ascii="Times New Roman" w:eastAsia="Times New Roman" w:hAnsi="Times New Roman" w:cs="Times New Roman"/>
          <w:color w:val="000000"/>
          <w:sz w:val="24"/>
          <w:lang w:val="en-US"/>
        </w:rPr>
        <w:t xml:space="preserve"> </w:t>
      </w:r>
      <w:r w:rsidRPr="002B56DC">
        <w:rPr>
          <w:rStyle w:val="csl-right-inline"/>
          <w:rFonts w:ascii="Times New Roman" w:eastAsia="Times New Roman" w:hAnsi="Times New Roman" w:cs="Times New Roman"/>
          <w:bCs/>
          <w:color w:val="000000"/>
          <w:sz w:val="24"/>
          <w:lang w:val="en-US"/>
        </w:rPr>
        <w:t>32:</w:t>
      </w:r>
      <w:r w:rsidRPr="00EA7AC5">
        <w:rPr>
          <w:rStyle w:val="csl-right-inline"/>
          <w:rFonts w:ascii="Times New Roman" w:eastAsia="Times New Roman" w:hAnsi="Times New Roman" w:cs="Times New Roman"/>
          <w:color w:val="000000"/>
          <w:sz w:val="24"/>
          <w:lang w:val="en-US"/>
        </w:rPr>
        <w:t>342–</w:t>
      </w:r>
      <w:r w:rsidR="002B56DC">
        <w:rPr>
          <w:rStyle w:val="csl-right-inline"/>
          <w:rFonts w:ascii="Times New Roman" w:eastAsia="Times New Roman" w:hAnsi="Times New Roman" w:cs="Times New Roman"/>
          <w:color w:val="000000"/>
          <w:sz w:val="24"/>
          <w:lang w:val="en-US"/>
        </w:rPr>
        <w:t>34</w:t>
      </w:r>
      <w:r w:rsidRPr="00EA7AC5">
        <w:rPr>
          <w:rStyle w:val="csl-right-inline"/>
          <w:rFonts w:ascii="Times New Roman" w:eastAsia="Times New Roman" w:hAnsi="Times New Roman" w:cs="Times New Roman"/>
          <w:color w:val="000000"/>
          <w:sz w:val="24"/>
          <w:lang w:val="en-US"/>
        </w:rPr>
        <w:t>9.</w:t>
      </w:r>
    </w:p>
    <w:sectPr w:rsidR="00BF3137" w:rsidRPr="00EA7AC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67225" w14:textId="77777777" w:rsidR="00802158" w:rsidRDefault="00802158" w:rsidP="00A86B5E">
      <w:pPr>
        <w:spacing w:after="0" w:line="240" w:lineRule="auto"/>
      </w:pPr>
      <w:r>
        <w:separator/>
      </w:r>
    </w:p>
  </w:endnote>
  <w:endnote w:type="continuationSeparator" w:id="0">
    <w:p w14:paraId="6FCE91AC" w14:textId="77777777" w:rsidR="00802158" w:rsidRDefault="00802158" w:rsidP="00A8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nQuanYi Micro Hei">
    <w:charset w:val="80"/>
    <w:family w:val="auto"/>
    <w:pitch w:val="variable"/>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EAC5" w14:textId="77777777" w:rsidR="00802158" w:rsidRDefault="00802158" w:rsidP="00A86B5E">
      <w:pPr>
        <w:spacing w:after="0" w:line="240" w:lineRule="auto"/>
      </w:pPr>
      <w:r>
        <w:separator/>
      </w:r>
    </w:p>
  </w:footnote>
  <w:footnote w:type="continuationSeparator" w:id="0">
    <w:p w14:paraId="5ABB780A" w14:textId="77777777" w:rsidR="00802158" w:rsidRDefault="00802158" w:rsidP="00A86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80177"/>
    <w:multiLevelType w:val="hybridMultilevel"/>
    <w:tmpl w:val="0C3E0E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AAD"/>
    <w:rsid w:val="000C4A97"/>
    <w:rsid w:val="00117FC4"/>
    <w:rsid w:val="00136BCA"/>
    <w:rsid w:val="00244425"/>
    <w:rsid w:val="00266246"/>
    <w:rsid w:val="002B019D"/>
    <w:rsid w:val="002B56DC"/>
    <w:rsid w:val="002F40AF"/>
    <w:rsid w:val="002F4704"/>
    <w:rsid w:val="00344B97"/>
    <w:rsid w:val="00357C83"/>
    <w:rsid w:val="0039141D"/>
    <w:rsid w:val="00417E3D"/>
    <w:rsid w:val="004246B7"/>
    <w:rsid w:val="004619EC"/>
    <w:rsid w:val="00524C40"/>
    <w:rsid w:val="005276FE"/>
    <w:rsid w:val="00565CDE"/>
    <w:rsid w:val="005C5469"/>
    <w:rsid w:val="00662B04"/>
    <w:rsid w:val="00665961"/>
    <w:rsid w:val="0068380D"/>
    <w:rsid w:val="006E763D"/>
    <w:rsid w:val="007164CA"/>
    <w:rsid w:val="007E7DD0"/>
    <w:rsid w:val="00802158"/>
    <w:rsid w:val="0081578B"/>
    <w:rsid w:val="008D610C"/>
    <w:rsid w:val="008F3D63"/>
    <w:rsid w:val="008F730D"/>
    <w:rsid w:val="0090133E"/>
    <w:rsid w:val="00902712"/>
    <w:rsid w:val="00950326"/>
    <w:rsid w:val="0097583F"/>
    <w:rsid w:val="00A86B5E"/>
    <w:rsid w:val="00AF1082"/>
    <w:rsid w:val="00B05028"/>
    <w:rsid w:val="00B568B6"/>
    <w:rsid w:val="00B672AF"/>
    <w:rsid w:val="00BB0878"/>
    <w:rsid w:val="00BF3137"/>
    <w:rsid w:val="00BF7C8A"/>
    <w:rsid w:val="00C0478D"/>
    <w:rsid w:val="00C86AAD"/>
    <w:rsid w:val="00C90C02"/>
    <w:rsid w:val="00DA05FA"/>
    <w:rsid w:val="00DC3712"/>
    <w:rsid w:val="00DF4D0E"/>
    <w:rsid w:val="00E61EF2"/>
    <w:rsid w:val="00EA7AC5"/>
    <w:rsid w:val="00EB4178"/>
    <w:rsid w:val="00EE136A"/>
    <w:rsid w:val="00FB10CA"/>
    <w:rsid w:val="00FD326E"/>
    <w:rsid w:val="00FD7556"/>
    <w:rsid w:val="00FF0C67"/>
    <w:rsid w:val="00FF32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898A"/>
  <w15:docId w15:val="{05906F45-4D2E-4637-915E-4B96E8B1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6A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5C5469"/>
    <w:pPr>
      <w:tabs>
        <w:tab w:val="left" w:pos="708"/>
      </w:tabs>
      <w:suppressAutoHyphens/>
      <w:spacing w:after="200" w:line="276" w:lineRule="auto"/>
    </w:pPr>
    <w:rPr>
      <w:rFonts w:ascii="Calibri" w:eastAsia="WenQuanYi Micro Hei" w:hAnsi="Calibri" w:cs="Times New Roman"/>
      <w:color w:val="00000A"/>
    </w:rPr>
  </w:style>
  <w:style w:type="character" w:styleId="Refdecomentrio">
    <w:name w:val="annotation reference"/>
    <w:basedOn w:val="Fontepargpadro"/>
    <w:uiPriority w:val="99"/>
    <w:semiHidden/>
    <w:unhideWhenUsed/>
    <w:rsid w:val="005C5469"/>
    <w:rPr>
      <w:sz w:val="16"/>
      <w:szCs w:val="16"/>
    </w:rPr>
  </w:style>
  <w:style w:type="paragraph" w:styleId="Textodecomentrio">
    <w:name w:val="annotation text"/>
    <w:basedOn w:val="Normal"/>
    <w:link w:val="TextodecomentrioChar"/>
    <w:uiPriority w:val="99"/>
    <w:semiHidden/>
    <w:unhideWhenUsed/>
    <w:rsid w:val="005C5469"/>
    <w:pPr>
      <w:spacing w:after="240" w:line="240" w:lineRule="auto"/>
      <w:ind w:firstLine="360"/>
      <w:jc w:val="both"/>
    </w:pPr>
    <w:rPr>
      <w:rFonts w:eastAsiaTheme="minorEastAsia"/>
      <w:sz w:val="20"/>
      <w:szCs w:val="20"/>
      <w:lang w:val="en-US"/>
    </w:rPr>
  </w:style>
  <w:style w:type="character" w:customStyle="1" w:styleId="TextodecomentrioChar">
    <w:name w:val="Texto de comentário Char"/>
    <w:basedOn w:val="Fontepargpadro"/>
    <w:link w:val="Textodecomentrio"/>
    <w:uiPriority w:val="99"/>
    <w:semiHidden/>
    <w:rsid w:val="005C5469"/>
    <w:rPr>
      <w:rFonts w:eastAsiaTheme="minorEastAsia"/>
      <w:sz w:val="20"/>
      <w:szCs w:val="20"/>
      <w:lang w:val="en-US"/>
    </w:rPr>
  </w:style>
  <w:style w:type="paragraph" w:styleId="Textodebalo">
    <w:name w:val="Balloon Text"/>
    <w:basedOn w:val="Normal"/>
    <w:link w:val="TextodebaloChar"/>
    <w:uiPriority w:val="99"/>
    <w:semiHidden/>
    <w:unhideWhenUsed/>
    <w:rsid w:val="005C54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5469"/>
    <w:rPr>
      <w:rFonts w:ascii="Segoe UI" w:hAnsi="Segoe UI" w:cs="Segoe UI"/>
      <w:sz w:val="18"/>
      <w:szCs w:val="18"/>
    </w:rPr>
  </w:style>
  <w:style w:type="table" w:styleId="Tabelacomgrade">
    <w:name w:val="Table Grid"/>
    <w:basedOn w:val="Tabelanormal"/>
    <w:uiPriority w:val="39"/>
    <w:rsid w:val="00565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244425"/>
    <w:pPr>
      <w:spacing w:after="0" w:line="240" w:lineRule="auto"/>
    </w:pPr>
    <w:rPr>
      <w:rFonts w:ascii="Times" w:eastAsia="Times New Roman" w:hAnsi="Times"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FF0C67"/>
    <w:rPr>
      <w:color w:val="808080"/>
    </w:rPr>
  </w:style>
  <w:style w:type="character" w:customStyle="1" w:styleId="csl-left-margin">
    <w:name w:val="csl-left-margin"/>
    <w:basedOn w:val="Fontepargpadro"/>
    <w:rsid w:val="00FF0C67"/>
  </w:style>
  <w:style w:type="character" w:customStyle="1" w:styleId="csl-right-inline">
    <w:name w:val="csl-right-inline"/>
    <w:basedOn w:val="Fontepargpadro"/>
    <w:rsid w:val="00FF0C67"/>
  </w:style>
  <w:style w:type="paragraph" w:styleId="PargrafodaLista">
    <w:name w:val="List Paragraph"/>
    <w:basedOn w:val="Normal"/>
    <w:uiPriority w:val="34"/>
    <w:qFormat/>
    <w:rsid w:val="00BF3137"/>
    <w:pPr>
      <w:ind w:left="720"/>
      <w:contextualSpacing/>
    </w:pPr>
  </w:style>
  <w:style w:type="paragraph" w:styleId="Cabealho">
    <w:name w:val="header"/>
    <w:basedOn w:val="Normal"/>
    <w:link w:val="CabealhoChar"/>
    <w:uiPriority w:val="99"/>
    <w:unhideWhenUsed/>
    <w:rsid w:val="00A86B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6B5E"/>
  </w:style>
  <w:style w:type="paragraph" w:styleId="Rodap">
    <w:name w:val="footer"/>
    <w:basedOn w:val="Normal"/>
    <w:link w:val="RodapChar"/>
    <w:uiPriority w:val="99"/>
    <w:unhideWhenUsed/>
    <w:rsid w:val="00A86B5E"/>
    <w:pPr>
      <w:tabs>
        <w:tab w:val="center" w:pos="4252"/>
        <w:tab w:val="right" w:pos="8504"/>
      </w:tabs>
      <w:spacing w:after="0" w:line="240" w:lineRule="auto"/>
    </w:pPr>
  </w:style>
  <w:style w:type="character" w:customStyle="1" w:styleId="RodapChar">
    <w:name w:val="Rodapé Char"/>
    <w:basedOn w:val="Fontepargpadro"/>
    <w:link w:val="Rodap"/>
    <w:uiPriority w:val="99"/>
    <w:rsid w:val="00A86B5E"/>
  </w:style>
  <w:style w:type="paragraph" w:styleId="Assuntodocomentrio">
    <w:name w:val="annotation subject"/>
    <w:basedOn w:val="Textodecomentrio"/>
    <w:next w:val="Textodecomentrio"/>
    <w:link w:val="AssuntodocomentrioChar"/>
    <w:uiPriority w:val="99"/>
    <w:semiHidden/>
    <w:unhideWhenUsed/>
    <w:rsid w:val="00EA7AC5"/>
    <w:pPr>
      <w:spacing w:after="160"/>
      <w:ind w:firstLine="0"/>
      <w:jc w:val="left"/>
    </w:pPr>
    <w:rPr>
      <w:rFonts w:eastAsiaTheme="minorHAnsi"/>
      <w:b/>
      <w:bCs/>
      <w:lang w:val="pt-BR"/>
    </w:rPr>
  </w:style>
  <w:style w:type="character" w:customStyle="1" w:styleId="AssuntodocomentrioChar">
    <w:name w:val="Assunto do comentário Char"/>
    <w:basedOn w:val="TextodecomentrioChar"/>
    <w:link w:val="Assuntodocomentrio"/>
    <w:uiPriority w:val="99"/>
    <w:semiHidden/>
    <w:rsid w:val="00EA7AC5"/>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7960">
      <w:bodyDiv w:val="1"/>
      <w:marLeft w:val="0"/>
      <w:marRight w:val="0"/>
      <w:marTop w:val="0"/>
      <w:marBottom w:val="0"/>
      <w:divBdr>
        <w:top w:val="none" w:sz="0" w:space="0" w:color="auto"/>
        <w:left w:val="none" w:sz="0" w:space="0" w:color="auto"/>
        <w:bottom w:val="none" w:sz="0" w:space="0" w:color="auto"/>
        <w:right w:val="none" w:sz="0" w:space="0" w:color="auto"/>
      </w:divBdr>
    </w:div>
    <w:div w:id="899636912">
      <w:bodyDiv w:val="1"/>
      <w:marLeft w:val="0"/>
      <w:marRight w:val="0"/>
      <w:marTop w:val="0"/>
      <w:marBottom w:val="0"/>
      <w:divBdr>
        <w:top w:val="none" w:sz="0" w:space="0" w:color="auto"/>
        <w:left w:val="none" w:sz="0" w:space="0" w:color="auto"/>
        <w:bottom w:val="none" w:sz="0" w:space="0" w:color="auto"/>
        <w:right w:val="none" w:sz="0" w:space="0" w:color="auto"/>
      </w:divBdr>
      <w:divsChild>
        <w:div w:id="2099014605">
          <w:marLeft w:val="0"/>
          <w:marRight w:val="0"/>
          <w:marTop w:val="0"/>
          <w:marBottom w:val="240"/>
          <w:divBdr>
            <w:top w:val="none" w:sz="0" w:space="0" w:color="auto"/>
            <w:left w:val="none" w:sz="0" w:space="0" w:color="auto"/>
            <w:bottom w:val="none" w:sz="0" w:space="0" w:color="auto"/>
            <w:right w:val="none" w:sz="0" w:space="0" w:color="auto"/>
          </w:divBdr>
        </w:div>
      </w:divsChild>
    </w:div>
    <w:div w:id="1427653721">
      <w:bodyDiv w:val="1"/>
      <w:marLeft w:val="0"/>
      <w:marRight w:val="0"/>
      <w:marTop w:val="0"/>
      <w:marBottom w:val="0"/>
      <w:divBdr>
        <w:top w:val="none" w:sz="0" w:space="0" w:color="auto"/>
        <w:left w:val="none" w:sz="0" w:space="0" w:color="auto"/>
        <w:bottom w:val="none" w:sz="0" w:space="0" w:color="auto"/>
        <w:right w:val="none" w:sz="0" w:space="0" w:color="auto"/>
      </w:divBdr>
    </w:div>
    <w:div w:id="1473598710">
      <w:bodyDiv w:val="1"/>
      <w:marLeft w:val="0"/>
      <w:marRight w:val="0"/>
      <w:marTop w:val="0"/>
      <w:marBottom w:val="0"/>
      <w:divBdr>
        <w:top w:val="none" w:sz="0" w:space="0" w:color="auto"/>
        <w:left w:val="none" w:sz="0" w:space="0" w:color="auto"/>
        <w:bottom w:val="none" w:sz="0" w:space="0" w:color="auto"/>
        <w:right w:val="none" w:sz="0" w:space="0" w:color="auto"/>
      </w:divBdr>
    </w:div>
    <w:div w:id="1486899437">
      <w:bodyDiv w:val="1"/>
      <w:marLeft w:val="0"/>
      <w:marRight w:val="0"/>
      <w:marTop w:val="0"/>
      <w:marBottom w:val="0"/>
      <w:divBdr>
        <w:top w:val="none" w:sz="0" w:space="0" w:color="auto"/>
        <w:left w:val="none" w:sz="0" w:space="0" w:color="auto"/>
        <w:bottom w:val="none" w:sz="0" w:space="0" w:color="auto"/>
        <w:right w:val="none" w:sz="0" w:space="0" w:color="auto"/>
      </w:divBdr>
    </w:div>
    <w:div w:id="18477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7467BEC8-A2D2-4EAE-96A2-DC57B112FEE0}"/>
      </w:docPartPr>
      <w:docPartBody>
        <w:p w:rsidR="00C56970" w:rsidRDefault="00BF20DD">
          <w:r w:rsidRPr="003665FB">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nQuanYi Micro Hei">
    <w:charset w:val="80"/>
    <w:family w:val="auto"/>
    <w:pitch w:val="variable"/>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0DD"/>
    <w:rsid w:val="00037082"/>
    <w:rsid w:val="00060CAC"/>
    <w:rsid w:val="00110625"/>
    <w:rsid w:val="0026188A"/>
    <w:rsid w:val="00325EFE"/>
    <w:rsid w:val="0034190A"/>
    <w:rsid w:val="0068261B"/>
    <w:rsid w:val="008D6FFB"/>
    <w:rsid w:val="00931B1C"/>
    <w:rsid w:val="00993364"/>
    <w:rsid w:val="00B020A5"/>
    <w:rsid w:val="00B62F23"/>
    <w:rsid w:val="00BF20DD"/>
    <w:rsid w:val="00C56970"/>
    <w:rsid w:val="00C66D0C"/>
    <w:rsid w:val="00D243CE"/>
    <w:rsid w:val="00DB05CB"/>
    <w:rsid w:val="00FC49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56970"/>
    <w:rPr>
      <w:color w:val="808080"/>
    </w:rPr>
  </w:style>
  <w:style w:type="paragraph" w:customStyle="1" w:styleId="CC555741EB4E436997F012B7873D75C6">
    <w:name w:val="CC555741EB4E436997F012B7873D75C6"/>
    <w:rsid w:val="00C56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8A3259-9D1D-4C7D-9073-9C7C65179011}">
  <we:reference id="wa104380917" version="1.0.1.0" store="en-US" storeType="OMEX"/>
  <we:alternateReferences>
    <we:reference id="wa104380917" version="1.0.1.0" store="" storeType="OMEX"/>
  </we:alternateReferences>
  <we:properties>
    <we:property name="870111744" value="[{&quot;collection_id&quot;:&quot;73270efa-0444-494f-8057-6ca900d73a3f&quot;,&quot;deleted&quot;:false,&quot;item_type&quot;:&quot;article&quot;,&quot;data_version&quot;:1,&quot;article&quot;:{&quot;abstract&quot;:&quot;The authors sought to evaluate a simple, semiautomated lung mass estimation method using computed tomography (CT) scans obtained using a variety of acquisition techniques and reconstruction parameters for mass correction of medical internal radiation dose-based internal radionuclide radiation absorbed dose estimates. CT scans of 27 patients with lung cancer undergoing stereotactic body radiation therapy treatment planning with PET/CT were analyzed retrospectively. For each patient, free-breathing (FB) and respiratory-gated 4DCT scans were acquired. The 4DCT scans were sorted into ten respiratory phases, representing one complete respiratory cycle. An average CT reconstruction was derived from the ten-phase reconstructions. Mid expiration breath-hold CT scans were acquired in the same session for many patients. Deep inspiration breath-hold diagnostic CT scans of many of the patients were obtained from different scanning sessions at similar time points to evaluate the effect of contrast administration and maximum inspiration breath-hold. Lung mass estimates were obtained using all CT scan types, and intercomparisons made to assess lung mass variation according to scan type. Lung mass estimates using the FB CT scans from PET/CT examinations of another group of ten male and ten female patients who were 21–30 years old and did not have lung disease were calculated and compared with reference lung mass values. To evaluate the effect of varying CT acquisition and reconstruction parameters on lung mass estimation, an anthropomorphic chest phantom was scanned and reconstructed with different CT parameters. CT images of the lungs were segmented using the OsiriX MD software program with a seed point of about −850 HU and an interval of 1000. Lung volume, and mean lung, tissue, and air HUs were recorded for each scan. Lung mass was calculated by assuming each voxel was a linear combination of only air and tissue. The specific gravity of lung volume was calculated using the formula (lung HU − air HU)/(tissue HU − air HU), and mass = specific gravity × total volume × 1.04 g/cm3. The range of calculated lung masses was 0.51–1.29 kg. The average male and female lung masses during FB CT were 0.80 and 0.71 kg, respectively. The calculated lung mass varied across the respiratory cycle but changed to a lesser degree than did lung volume measurements (7.3% versus 15.4%). Lung masses calculated using deep inspiration breath-hold and average CT were significantly larger (p &lt; 0.05) than were some masses calculated using respiratory-phase and FB CT. Increased voxel size and smooth reconstruction kernels led to high lung mass estimates owing to partial volume effects. Organ mass correction is an important component of patient-specific internal radionuclide dosimetry. Lung mass calculation necessitates scan-based density correction to account for volume changes owing to respiration. The range of lung masses in the authors’ patient population represents lung doses for the same absorbed energy differing from 25% below to 64% above the dose found using reference phantom organ masses. With proper management of acquisition parameters and selection of FB or midexpiration breath hold scans, lung mass estimates with about 10% population precision may be achieved.&quot;,&quot;authors&quot;:[&quot;Nathan Busse&quot;,&quot;William Erwin&quot;,&quot;Tinsu Pan&quot;],&quot;issn&quot;:&quot;2473-4209&quot;,&quot;issue&quot;:&quot;12&quot;,&quot;journal&quot;:&quot;Medical Physics&quot;,&quot;journal_abbrev&quot;:&quot;Med Phys&quot;,&quot;pagination&quot;:&quot;122503&quot;,&quot;title&quot;:&quot;Evaluation of a semiautomated lung mass calculation technique for internal dosimetry applications&quot;,&quot;volume&quot;:&quot;40&quot;,&quot;year&quot;:&quot;2013&quot;},&quot;ext_ids&quot;:{&quot;doi&quot;:&quot;10.1118/1.4830433&quot;,&quot;pmid&quot;:&quot;24320539&quot;},&quot;user_data&quot;:{&quot;citekey&quot;:&quot;Busse:2013d34&quot;,&quot;created&quot;:&quot;2019-02-06T00:51:28Z&quot;,&quot;createdby&quot;:&quot;SmartCite 1.0.0&quot;,&quot;modified&quot;:&quot;2019-02-06T00:51:28Z&quot;,&quot;modifiedby&quot;:&quot;SmartCite 1.0.0&quot;,&quot;has_annotations&quot;:false,&quot;unread&quot;:true,&quot;voted_down_count&quot;:0,&quot;voted_up_count&quot;:0,&quot;shared&quot;:false},&quot;seq&quot;:109,&quot;id&quot;:&quot;d3459bbf-3120-44ee-8614-3915d978ca02&quot;,&quot;files&quot;:[],&quot;collection_group_id&quot;:null,&quot;custom_metadata&quot;:{},&quot;citeproc&quot;:{},&quot;atIndex&quot;:2,&quot;item&quot;:{&quot;id&quot;:&quot;d3459bbf-3120-44ee-8614-3915d978ca02&quot;,&quot;type&quot;:&quot;article-journal&quot;,&quot;DOI&quot;:&quot;10.1118/1.4830433&quot;,&quot;container-title&quot;:&quot;Medical Physics&quot;,&quot;container-title-short&quot;:&quot;Med Phys&quot;,&quot;journalAbbreviation&quot;:&quot;Med Phys&quot;,&quot;title&quot;:&quot;Evaluation of a semiautomated lung mass calculation technique for internal dosimetry applications&quot;,&quot;abstract&quot;:&quot;The authors sought to evaluate a simple, semiautomated lung mass estimation method using computed tomography (CT) scans obtained using a variety of acquisition techniques and reconstruction parameters for mass correction of medical internal radiation dose-based internal radionuclide radiation absorbed dose estimates. CT scans of 27 patients with lung cancer undergoing stereotactic body radiation therapy treatment planning with PET/CT were analyzed retrospectively. For each patient, free-breathing (FB) and respiratory-gated 4DCT scans were acquired. The 4DCT scans were sorted into ten respiratory phases, representing one complete respiratory cycle. An average CT reconstruction was derived from the ten-phase reconstructions. Mid expiration breath-hold CT scans were acquired in the same session for many patients. Deep inspiration breath-hold diagnostic CT scans of many of the patients were obtained from different scanning sessions at similar time points to evaluate the effect of contrast administration and maximum inspiration breath-hold. Lung mass estimates were obtained using all CT scan types, and intercomparisons made to assess lung mass variation according to scan type. Lung mass estimates using the FB CT scans from PET/CT examinations of another group of ten male and ten female patients who were 21–30 years old and did not have lung disease were calculated and compared with reference lung mass values. To evaluate the effect of varying CT acquisition and reconstruction parameters on lung mass estimation, an anthropomorphic chest phantom was scanned and reconstructed with different CT parameters. CT images of the lungs were segmented using the OsiriX MD software program with a seed point of about −850 HU and an interval of 1000. Lung volume, and mean lung, tissue, and air HUs were recorded for each scan. Lung mass was calculated by assuming each voxel was a linear combination of only air and tissue. The specific gravity of lung volume was calculated using the formula (lung HU − air HU)/(tissue HU − air HU), and mass = specific gravity × total volume × 1.04 g/cm3. The range of calculated lung masses was 0.51–1.29 kg. The average male and female lung masses during FB CT were 0.80 and 0.71 kg, respectively. The calculated lung mass varied across the respiratory cycle but changed to a lesser degree than did lung volume measurements (7.3% versus 15.4%). Lung masses calculated using deep inspiration breath-hold and average CT were significantly larger (p &lt; 0.05) than were some masses calculated using respiratory-phase and FB CT. Increased voxel size and smooth reconstruction kernels led to high lung mass estimates owing to partial volume effects. Organ mass correction is an important component of patient-specific internal radionuclide dosimetry. Lung mass calculation necessitates scan-based density correction to account for volume changes owing to respiration. The range of lung masses in the authors’ patient population represents lung doses for the same absorbed energy differing from 25% below to 64% above the dose found using reference phantom organ masses. With proper management of acquisition parameters and selection of FB or midexpiration breath hold scans, lung mass estimates with about 10% population precision may be achieved.&quot;,&quot;ISSN&quot;:&quot;2473-4209&quot;,&quot;volume&quot;:&quot;40&quot;,&quot;issue&quot;:&quot;12&quot;,&quot;page&quot;:&quot;122503&quot;,&quot;original-date&quot;:{&quot;0&quot;:&quot;2&quot;,&quot;1&quot;:&quot;0&quot;,&quot;2&quot;:&quot;1&quot;,&quot;3&quot;:&quot;3&quot;},&quot;issued&quot;:{&quot;year&quot;:2013},&quot;author&quot;:[{&quot;family&quot;:&quot;Busse&quot;,&quot;given&quot;:&quot;Nathan&quot;},{&quot;family&quot;:&quot;Erwin&quot;,&quot;given&quot;:&quot;William&quot;},{&quot;family&quot;:&quot;Pan&quot;,&quot;given&quot;:&quot;Tinsu&quot;}],&quot;page-first&quot;:&quot;122503&quot;}}]"/>
    <we:property name="-699391474" value="[{&quot;collection_id&quot;:&quot;73270efa-0444-494f-8057-6ca900d73a3f&quot;,&quot;deleted&quot;:false,&quot;item_type&quot;:&quot;article&quot;,&quot;data_version&quot;:1,&quot;article&quot;:{&quot;abstract&quot;:&quot;To investigate possible permanent consequences of an early postnatal overfeeding, the following experimental model was used: Male Wistar rats were divided into three groups after birth: (1) Small litters with 3-4 newborns (overnutrition), (2) normal litters with 12 animals (normonutrition), and (3) large litters with 20-24 newborn rats (undernutrition). After weaning all animals had free access to tap water and standard pellet diet. The serum insulin level of animals from small litters on day 15 of life was highly significantly increased as compared to the other groups. These overfed hyperinsulinaemic rats showed a higher body weight gain during the suckling period trough juvenile life until adulthood, associated with enhanced mean food intake and resulting in an increased relative body weight (per body length) as a sign of obesity. The obesity was found to be correlated with basal hyperinsulinaemia and increased systolic blood pressure in the small-litter-adults. Moreover, the early postnatally overnourished animals developed an increased type I-like diabetes susceptibility to a \&quot;subdiabetogenic\&quot; dose of streptozotocin in adulthood. These results suggest once more that hyperinsulinism during brain differentiation, in the present experiment induced by early postnatal overnutrition, may represent a predisposing factor for the development of obesity, of increased diabetes susceptibility and also of increased cardiovascular risk in later life.&quot;,&quot;authors&quot;:[&quot;A Plagemann&quot;,&quot;I Heidrich&quot;,&quot;F Götz&quot;,&quot;W Rohde&quot;,&quot;G Dörner&quot;],&quot;eissn&quot;:&quot;1439-3646&quot;,&quot;issn&quot;:&quot;0947-7349&quot;,&quot;issue&quot;:&quot;03&quot;,&quot;journal&quot;:&quot;Experimental and Clinical Endocrinology &amp; Diabetes&quot;,&quot;journal_abbrev&quot;:&quot;Exp Clin Endocr Diab&quot;,&quot;pagination&quot;:&quot;154-158&quot;,&quot;title&quot;:&quot;Obesity and Enhanced Diabetes and Cardiovascular Risk in Adult Rats due to Early Postnatal Overfeeding&quot;,&quot;volume&quot;:&quot;99&quot;,&quot;year&quot;:&quot;2009&quot;},&quot;ext_ids&quot;:{&quot;doi&quot;:&quot;10.1055/s-0029-1211159&quot;,&quot;pmid&quot;:&quot;1526266&quot;},&quot;user_data&quot;:{&quot;citekey&quot;:&quot;Plagemann:20098d2&quot;,&quot;created&quot;:&quot;2019-02-05T23:35:41Z&quot;,&quot;createdby&quot;:&quot;SmartCite 1.0.0&quot;,&quot;modified&quot;:&quot;2019-02-05T23:35:41Z&quot;,&quot;modifiedby&quot;:&quot;SmartCite 1.0.0&quot;,&quot;has_annotations&quot;:false,&quot;unread&quot;:true,&quot;voted_down_count&quot;:0,&quot;voted_up_count&quot;:0,&quot;shared&quot;:false},&quot;seq&quot;:57,&quot;id&quot;:&quot;8d23c579-e7a5-4561-9b0c-e56fd6392359&quot;,&quot;files&quot;:[],&quot;collection_group_id&quot;:null,&quot;custom_metadata&quot;:{},&quot;citeproc&quot;:{},&quot;atIndex&quot;:0},{&quot;collection_id&quot;:&quot;73270efa-0444-494f-8057-6ca900d73a3f&quot;,&quot;deleted&quot;:false,&quot;item_type&quot;:&quot;article&quot;,&quot;data_version&quot;:1,&quot;article&quot;:{&quot;abstract&quot;:&quot;Childhood obesity is growing in prevalence. Obesity and bone dysfunctions may be related disorders, and therefore our aim was to study the impact of the early overfeeding (EO) in offspring bone health since weaning up to adulthood. To induce EO during lactation, litter size was adjusted to 3 male rats per litter (SL). Litter containing 10 pups per mother was the control (NL). Bone tissue was evaluated by dual-energy X-ray absorptiometry, computed tomography, microcomputed tomography, biomechanical tests, and serum analyses. SL offspring presented higher body weight, fat mass, lean mass from 21 up to 180 days, hyperphagia, and higher visceral fat mass. Bone analysis showed that SL offspring presented higher total bone mineral density (BMD) only at 180 days, and higher total bone mineral content and higher bone area from 21 until 180 days. At 180 days, SL offspring presented higher femur BMD and fourth lumbar vertebra (LV4) BMD, higher femoral head radiodensity and LV4 vertebral body radiodensity, lower trabecular pattern factor and trabecular separation, however with higher trabecular number, higher maximal load, resilience, stiffness and break load, and lower break deformation. SL group had, at 180 days, higher osteocalcin and lower C-terminal cross-linked telopeptide of type I collagen (CTX I). We have shown that the excess of fat mass contributed to an increased bone mass, and hypothesized that this increase could be mediated by the hypothyroidism and previous higher thyroid hormone action and hyperleptinemia at weaning. Furthermore, the increased biomechanical loading due to increased body weight probably help us to understand the protective effects obesity exerts upon bone health.&quot;,&quot;authors&quot;:[&quot;L de Albuquerque Maia&quot;,&quot;P C Lisboa&quot;,&quot;E de Oliveira&quot;,&quot;E P S da Conceição&quot;,&quot;I C B Lima&quot;,&quot;R T Lopes&quot;,&quot;L D G Ruffoni&quot;,&quot;K O Nonaka&quot;,&quot;E G de Moura&quot;],&quot;eissn&quot;:&quot;1439-4286&quot;,&quot;issn&quot;:&quot;0018-5043&quot;,&quot;issue&quot;:&quot;4&quot;,&quot;journal&quot;:&quot;Hormone and metabolic research = Hormon- und Stoffwechselforschung = Hormones et métabolisme&quot;,&quot;journal_abbrev&quot;:&quot;Hormone Metabolic Res Hormon- Und Stoffwechselforschung Hormones Et Métabolisme&quot;,&quot;pagination&quot;:&quot;259-68&quot;,&quot;title&quot;:&quot;Bone structure and strength are enhanced in rats programmed by early overfeeding.&quot;,&quot;volume&quot;:&quot;46&quot;,&quot;year&quot;:&quot;2014&quot;},&quot;ext_ids&quot;:{&quot;doi&quot;:&quot;10.1055/s-0034-1368728&quot;,&quot;pmid&quot;:&quot;24627101&quot;},&quot;user_data&quot;:{&quot;citekey&quot;:&quot;Maia:2014f2c&quot;,&quot;created&quot;:&quot;2019-02-05T23:37:42Z&quot;,&quot;createdby&quot;:&quot;SmartCite 1.0.0&quot;,&quot;modified&quot;:&quot;2019-02-05T23:37:42Z&quot;,&quot;modifiedby&quot;:&quot;SmartCite 1.0.0&quot;,&quot;has_annotations&quot;:false,&quot;unread&quot;:true,&quot;voted_down_count&quot;:0,&quot;voted_up_count&quot;:0,&quot;shared&quot;:false},&quot;seq&quot;:59,&quot;id&quot;:&quot;f2c56e8b-7b91-4329-8d54-541aa1686046&quot;,&quot;files&quot;:[],&quot;collection_group_id&quot;:null,&quot;custom_metadata&quot;:{},&quot;citeproc&quot;:{}}]"/>
    <we:property name="-362975011" value="[{&quot;collection_id&quot;:&quot;73270efa-0444-494f-8057-6ca900d73a3f&quot;,&quot;deleted&quot;:false,&quot;item_type&quot;:&quot;article&quot;,&quot;data_version&quot;:1,&quot;article&quot;:{&quot;abstract&quot;:&quot;Purpose: To evaluate the effects of chronic consumption of green tea on body weight and distribution of visceral fat by Computed tomography in female Wistar rats.&quot;,&quot;authors&quot;:[&quot;Renata Attademo Raso&quot;,&quot;Rebecca Rodrigues Bergamaschini Paim&quot;,&quot;Sérgio Veloso Brant Pinheiro&quot;,&quot;Wilson Campos Tavares Júnior&quot;,&quot;Leonardo de Souza Vasconcellos&quot;,&quot;Luiz Ronaldo Alberti&quot;],&quot;eissn&quot;:&quot;1678-2674&quot;,&quot;issn&quot;:&quot;0102-8650&quot;,&quot;issue&quot;:&quot;5&quot;,&quot;journal&quot;:&quot;Acta Cirurgica Brasileira&quot;,&quot;journal_abbrev&quot;:&quot;Acta Cir Bras&quot;,&quot;pagination&quot;:&quot;342-349&quot;,&quot;title&quot;:&quot;Effects of chronic consumption of green tea on weight and body fat distribution of Wistar rats evaluated by computed tomography&quot;,&quot;volume&quot;:&quot;32&quot;,&quot;year&quot;:&quot;2017&quot;},&quot;ext_ids&quot;:{&quot;doi&quot;:&quot;10.1590/s0102-865020170050000003&quot;,&quot;pmid&quot;:&quot;28591363&quot;},&quot;user_data&quot;:{&quot;citekey&quot;:&quot;Raso:2017f25&quot;,&quot;created&quot;:&quot;2019-02-06T00:52:07Z&quot;,&quot;createdby&quot;:&quot;SmartCite 1.0.0&quot;,&quot;modified&quot;:&quot;2019-02-06T00:52:07Z&quot;,&quot;modifiedby&quot;:&quot;SmartCite 1.0.0&quot;,&quot;has_annotations&quot;:false,&quot;unread&quot;:true,&quot;voted_down_count&quot;:0,&quot;voted_up_count&quot;:0,&quot;shared&quot;:false},&quot;drm&quot;:null,&quot;purchased&quot;:null,&quot;seq&quot;:111,&quot;id&quot;:&quot;f253c06b-d640-43e3-8c3a-3808dab6ae45&quot;,&quot;files&quot;:[{&quot;file_type&quot;:&quot;pdf&quot;,&quot;name&quot;:&quot;Effects of chronic consumption of green tea on weight and body fat distribution of Wistar rats evaluated by computed tomography.pdf&quot;,&quot;pages&quot;:8,&quot;size&quot;:498301,&quot;sha256&quot;:&quot;c8662dc60673c53dc11dbd87acbfe2f9bd5304ca3d35a2f5c26cae05f4a1e810&quot;,&quot;access_method&quot;:&quot;open_access&quot;,&quot;full_pdf_access&quot;:true,&quot;can_print&quot;:true,&quot;type&quot;:&quot;article&quot;,&quot;created&quot;:&quot;2019-02-06T00:52:07Z&quot;}],&quot;pdf_hash&quot;:&quot;c8662dc60673c53dc11dbd87acbfe2f9bd5304ca3d35a2f5c26cae05f4a1e810&quot;,&quot;collection_group_id&quot;:null,&quot;custom_metadata&quot;:{},&quot;citeproc&quot;:{},&quot;atIndex&quot;:3,&quot;item&quot;:{&quot;id&quot;:&quot;f253c06b-d640-43e3-8c3a-3808dab6ae45&quot;,&quot;type&quot;:&quot;article-journal&quot;,&quot;DOI&quot;:&quot;10.1590/s0102-865020170050000003&quot;,&quot;container-title&quot;:&quot;Acta Cirurgica Brasileira&quot;,&quot;container-title-short&quot;:&quot;Acta Cir Bras&quot;,&quot;journalAbbreviation&quot;:&quot;Acta Cir Bras&quot;,&quot;title&quot;:&quot;Effects of chronic consumption of green tea on weight and body fat distribution of Wistar rats evaluated by computed tomography&quot;,&quot;abstract&quot;:&quot;Purpose: To evaluate the effects of chronic consumption of green tea on body weight and distribution of visceral fat by Computed tomography in female Wistar rats.&quot;,&quot;ISSN&quot;:&quot;0102-8650&quot;,&quot;volume&quot;:&quot;32&quot;,&quot;issue&quot;:&quot;5&quot;,&quot;page&quot;:&quot;342-349&quot;,&quot;original-date&quot;:{&quot;0&quot;:&quot;2&quot;,&quot;1&quot;:&quot;0&quot;,&quot;2&quot;:&quot;1&quot;,&quot;3&quot;:&quot;7&quot;},&quot;issued&quot;:{&quot;year&quot;:2017},&quot;author&quot;:[{&quot;family&quot;:&quot;Raso&quot;,&quot;given&quot;:&quot;Renata&quot;},{&quot;family&quot;:&quot;Paim&quot;,&quot;given&quot;:&quot;Rebecca&quot;},{&quot;family&quot;:&quot;Pinheiro&quot;,&quot;given&quot;:&quot;Sérgio&quot;},{&quot;family&quot;:&quot;Júnior&quot;,&quot;given&quot;:&quot;Wilson&quot;},{&quot;family&quot;:&quot;de Vasconcellos&quot;,&quot;given&quot;:&quot;Leonardo&quot;},{&quot;family&quot;:&quot;Alberti&quot;,&quot;given&quot;:&quot;Luiz&quot;}],&quot;page-first&quot;:&quot;342&quot;}}]"/>
    <we:property name="style" value="{&quot;title&quot;:&quot;Anesthesia and Analgesia&quot;,&quot;url&quot;:&quot;https://smartcite.readcube.com/styles/anesthesia-and-analgesia&quot;,&quot;favorite&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1E83E-D2E6-488A-A95F-93CDF5B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3887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Lígia Maia</dc:creator>
  <cp:keywords/>
  <dc:description/>
  <cp:lastModifiedBy>Patricia Rocco</cp:lastModifiedBy>
  <cp:revision>2</cp:revision>
  <dcterms:created xsi:type="dcterms:W3CDTF">2019-09-22T05:30:00Z</dcterms:created>
  <dcterms:modified xsi:type="dcterms:W3CDTF">2019-09-22T05:30:00Z</dcterms:modified>
</cp:coreProperties>
</file>