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F53" w:rsidRPr="00171FE7" w:rsidRDefault="00804F53" w:rsidP="00804F53">
      <w:pPr>
        <w:rPr>
          <w:b/>
        </w:rPr>
      </w:pPr>
      <w:r w:rsidRPr="00DD46E8">
        <w:rPr>
          <w:b/>
        </w:rPr>
        <w:t>Supplemental Figures</w:t>
      </w:r>
    </w:p>
    <w:p w:rsidR="00804F53" w:rsidRDefault="00804F53" w:rsidP="00804F53">
      <w:pPr>
        <w:rPr>
          <w:b/>
        </w:rPr>
      </w:pPr>
      <w:r>
        <w:rPr>
          <w:b/>
          <w:noProof/>
        </w:rPr>
        <w:drawing>
          <wp:inline distT="0" distB="0" distL="0" distR="0" wp14:anchorId="00F28AD2" wp14:editId="73C43902">
            <wp:extent cx="5184250" cy="41791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18" cy="418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F53" w:rsidRDefault="00804F53" w:rsidP="00804F53">
      <w:pPr>
        <w:rPr>
          <w:b/>
        </w:rPr>
      </w:pPr>
    </w:p>
    <w:p w:rsidR="00804F53" w:rsidRDefault="00804F53" w:rsidP="00804F53">
      <w:r w:rsidRPr="00DD46E8">
        <w:rPr>
          <w:b/>
        </w:rPr>
        <w:t>Figure S1.</w:t>
      </w:r>
      <w:r w:rsidRPr="00DD46E8">
        <w:t xml:space="preserve"> Morphology of the iPSCs and iMPCs at different passages</w:t>
      </w:r>
      <w:r>
        <w:t>.</w:t>
      </w:r>
      <w:r w:rsidRPr="00DD46E8">
        <w:t xml:space="preserve"> Bar</w:t>
      </w:r>
      <w:r>
        <w:t xml:space="preserve"> </w:t>
      </w:r>
      <w:r w:rsidRPr="00DD46E8">
        <w:t>=</w:t>
      </w:r>
      <w:r>
        <w:t xml:space="preserve"> </w:t>
      </w:r>
      <w:r w:rsidRPr="00DD46E8">
        <w:t>100</w:t>
      </w:r>
      <w:r>
        <w:t xml:space="preserve"> </w:t>
      </w:r>
      <w:r w:rsidRPr="00DD46E8">
        <w:t>µm.</w:t>
      </w:r>
    </w:p>
    <w:p w:rsidR="00804F53" w:rsidRDefault="00804F53" w:rsidP="00804F53"/>
    <w:p w:rsidR="00804F53" w:rsidRDefault="00804F53" w:rsidP="00804F53"/>
    <w:p w:rsidR="00804F53" w:rsidRPr="00AB52E2" w:rsidRDefault="00804F53" w:rsidP="00804F53">
      <w:r>
        <w:rPr>
          <w:noProof/>
        </w:rPr>
        <w:lastRenderedPageBreak/>
        <w:drawing>
          <wp:inline distT="0" distB="0" distL="0" distR="0" wp14:anchorId="49CBEDB3" wp14:editId="2F6AC7AA">
            <wp:extent cx="5486400" cy="46304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60" cy="463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F53" w:rsidRPr="00AB52E2" w:rsidRDefault="00804F53" w:rsidP="00804F53"/>
    <w:p w:rsidR="00804F53" w:rsidRDefault="00804F53" w:rsidP="00804F53">
      <w:pPr>
        <w:spacing w:line="360" w:lineRule="auto"/>
        <w:jc w:val="both"/>
        <w:rPr>
          <w:b/>
        </w:rPr>
      </w:pPr>
    </w:p>
    <w:p w:rsidR="00804F53" w:rsidRDefault="00804F53" w:rsidP="00804F53">
      <w:pPr>
        <w:spacing w:line="360" w:lineRule="auto"/>
        <w:jc w:val="both"/>
      </w:pPr>
      <w:r w:rsidRPr="00DD46E8">
        <w:rPr>
          <w:b/>
        </w:rPr>
        <w:t>Figure S2.</w:t>
      </w:r>
      <w:r w:rsidRPr="00DD46E8">
        <w:t xml:space="preserve"> </w:t>
      </w:r>
      <w:r>
        <w:t xml:space="preserve">MSC-like characteristics of </w:t>
      </w:r>
      <w:r w:rsidRPr="00DD46E8">
        <w:t>iMPCs</w:t>
      </w:r>
      <w:r>
        <w:t>. (</w:t>
      </w:r>
      <w:r w:rsidRPr="00DD46E8">
        <w:t>A) CFU assay. iMPCs have similar colony forming abil</w:t>
      </w:r>
      <w:r>
        <w:t>ity compared to primary MSCs. (</w:t>
      </w:r>
      <w:r w:rsidRPr="00DD46E8">
        <w:t xml:space="preserve">B) Tri-lineage differentiation. Compared to unstimulated control, iMPCs showed significant tissue-specific gene expression and displayed positive staining for Alcian Blue, Alizarin Red S, and Oil Red Staining respectively, </w:t>
      </w:r>
      <w:r>
        <w:t>confirming</w:t>
      </w:r>
      <w:r w:rsidRPr="00DD46E8">
        <w:t xml:space="preserve"> their ability to undergo chondrogenic, osteogenic and adipogenic differentiation. </w:t>
      </w:r>
      <w:r>
        <w:t>Gene expression levels</w:t>
      </w:r>
      <w:r w:rsidRPr="00DD46E8">
        <w:t xml:space="preserve"> of Ctrl </w:t>
      </w:r>
      <w:r>
        <w:t>are</w:t>
      </w:r>
      <w:r w:rsidRPr="00DD46E8">
        <w:t xml:space="preserve"> normalized to 1. Values are presented as mean ± SD (N = 4 per group</w:t>
      </w:r>
      <w:r>
        <w:t>:</w:t>
      </w:r>
      <w:r w:rsidRPr="00DD46E8">
        <w:t xml:space="preserve"> *, p &lt; 0.05; </w:t>
      </w:r>
      <w:r>
        <w:t>**, p &lt; 0.01; ***, p&lt; 0.001).  (</w:t>
      </w:r>
      <w:r w:rsidRPr="00DD46E8">
        <w:t>C) Flow cytometr</w:t>
      </w:r>
      <w:r>
        <w:t>ic analysis</w:t>
      </w:r>
      <w:r w:rsidRPr="00DD46E8">
        <w:t xml:space="preserve">. iMPCs displayed similar </w:t>
      </w:r>
      <w:r>
        <w:t xml:space="preserve">cell </w:t>
      </w:r>
      <w:r w:rsidRPr="00DD46E8">
        <w:t xml:space="preserve">surface marker profile as primary human MSCs, </w:t>
      </w:r>
      <w:r>
        <w:t>i.e., negative for</w:t>
      </w:r>
      <w:r w:rsidRPr="00DD46E8">
        <w:t xml:space="preserve"> CD31, CD34 and CD45</w:t>
      </w:r>
      <w:r>
        <w:t xml:space="preserve">, and positive for </w:t>
      </w:r>
      <w:r w:rsidRPr="00DD46E8">
        <w:t>CD73 and CD90.</w:t>
      </w:r>
    </w:p>
    <w:p w:rsidR="00804F53" w:rsidRPr="00AB52E2" w:rsidRDefault="00804F53" w:rsidP="00804F53">
      <w:pPr>
        <w:spacing w:line="360" w:lineRule="auto"/>
        <w:jc w:val="both"/>
      </w:pPr>
    </w:p>
    <w:p w:rsidR="00804F53" w:rsidRPr="00AB52E2" w:rsidRDefault="00804F53" w:rsidP="00804F53"/>
    <w:p w:rsidR="00804F53" w:rsidRPr="00AB52E2" w:rsidRDefault="00804F53" w:rsidP="00804F53"/>
    <w:p w:rsidR="00804F53" w:rsidRPr="00AB52E2" w:rsidRDefault="00804F53" w:rsidP="00804F53">
      <w:pPr>
        <w:jc w:val="center"/>
      </w:pPr>
    </w:p>
    <w:p w:rsidR="00804F53" w:rsidRDefault="00804F53" w:rsidP="00804F53">
      <w:pPr>
        <w:jc w:val="both"/>
      </w:pPr>
      <w:r>
        <w:rPr>
          <w:noProof/>
        </w:rPr>
        <w:lastRenderedPageBreak/>
        <w:drawing>
          <wp:inline distT="0" distB="0" distL="0" distR="0" wp14:anchorId="2E7AA438" wp14:editId="31FABB8E">
            <wp:extent cx="4961614" cy="64365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09" cy="644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F53" w:rsidRDefault="00804F53" w:rsidP="00804F53">
      <w:pPr>
        <w:jc w:val="both"/>
      </w:pPr>
    </w:p>
    <w:p w:rsidR="00804F53" w:rsidRPr="00AB52E2" w:rsidRDefault="00804F53" w:rsidP="00804F53">
      <w:pPr>
        <w:jc w:val="both"/>
      </w:pPr>
    </w:p>
    <w:p w:rsidR="00804F53" w:rsidRDefault="00804F53" w:rsidP="00804F53">
      <w:pPr>
        <w:spacing w:line="360" w:lineRule="auto"/>
        <w:jc w:val="both"/>
      </w:pPr>
      <w:r w:rsidRPr="00DD46E8">
        <w:rPr>
          <w:b/>
        </w:rPr>
        <w:t>Figure S3.</w:t>
      </w:r>
      <w:r w:rsidRPr="00DD46E8">
        <w:t xml:space="preserve"> </w:t>
      </w:r>
      <w:r>
        <w:t>Lack of</w:t>
      </w:r>
      <w:r w:rsidRPr="00DD46E8">
        <w:t xml:space="preserve"> </w:t>
      </w:r>
      <w:r>
        <w:t>toxicity of Celecoxib treatment of engineered cartilage.  (</w:t>
      </w:r>
      <w:r w:rsidRPr="00DD46E8">
        <w:t>A) Schematic of control a</w:t>
      </w:r>
      <w:r>
        <w:t>nd celecoxib treatment groups. (</w:t>
      </w:r>
      <w:r w:rsidRPr="00DD46E8">
        <w:t xml:space="preserve">B) </w:t>
      </w:r>
      <w:r>
        <w:t xml:space="preserve">Expression of chondrocyte-associated genes. </w:t>
      </w:r>
      <w:r w:rsidRPr="00DD46E8">
        <w:t xml:space="preserve">After </w:t>
      </w:r>
      <w:r>
        <w:t>Celecoxib</w:t>
      </w:r>
      <w:r w:rsidRPr="00DD46E8">
        <w:t xml:space="preserve"> treatment, </w:t>
      </w:r>
      <w:r>
        <w:t>no</w:t>
      </w:r>
      <w:r w:rsidRPr="00DD46E8">
        <w:t xml:space="preserve"> significant changes in the expressi</w:t>
      </w:r>
      <w:r>
        <w:t>on levels of all tested genes were observed. (</w:t>
      </w:r>
      <w:r w:rsidRPr="00DD46E8">
        <w:t>C) Alcian Blue staining</w:t>
      </w:r>
      <w:r>
        <w:t>. No significant change in cartilage matrix was seen after Celecoxib treatment.</w:t>
      </w:r>
    </w:p>
    <w:p w:rsidR="00804F53" w:rsidRPr="00AB52E2" w:rsidRDefault="00804F53" w:rsidP="00804F53"/>
    <w:p w:rsidR="00804F53" w:rsidRPr="00AB52E2" w:rsidRDefault="00804F53" w:rsidP="00804F53">
      <w:r w:rsidRPr="00856191">
        <w:rPr>
          <w:noProof/>
          <w:kern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A0DCD" wp14:editId="65F05BC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365750" cy="314325"/>
                <wp:effectExtent l="0" t="0" r="0" b="9525"/>
                <wp:wrapSquare wrapText="bothSides"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F53" w:rsidRPr="00FA10DC" w:rsidRDefault="00804F53" w:rsidP="00804F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0DC">
                              <w:rPr>
                                <w:b/>
                              </w:rPr>
                              <w:t>Table</w:t>
                            </w:r>
                            <w:r>
                              <w:rPr>
                                <w:b/>
                              </w:rPr>
                              <w:t xml:space="preserve"> S</w:t>
                            </w:r>
                            <w:r w:rsidRPr="00FA10DC">
                              <w:rPr>
                                <w:b/>
                              </w:rPr>
                              <w:t xml:space="preserve">1. Sequences of primers used for </w:t>
                            </w:r>
                            <w:r>
                              <w:rPr>
                                <w:b/>
                              </w:rPr>
                              <w:t xml:space="preserve">quantitative </w:t>
                            </w:r>
                            <w:r w:rsidRPr="00FA10DC">
                              <w:rPr>
                                <w:b/>
                              </w:rPr>
                              <w:t>PCR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A0DCD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.35pt;width:422.5pt;height:2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l+OgIAAFgEAAAOAAAAZHJzL2Uyb0RvYy54bWysVEtu2zAQ3RfoHQjua/mfVrAcuAlcFAiS&#10;AE6RNU2RlgCRw5K0JfcA7Q2y6qb7nsvn6JCSHTftquiGnp+GM+89enbZqIrshHUl6IwOen1KhOaQ&#10;l3qT0U8PyzdvKXGe6ZxVoEVG98LRy/nrV7PapGIIBVS5sASbaJfWJqOF9yZNEscLoZjrgREakxKs&#10;Yh5du0lyy2rsrqpk2O9Pkxpsbixw4RxGr9skncf+Ugru76R0wpMqozibj6eN5zqcyXzG0o1lpih5&#10;Nwb7hykUKzVeemp1zTwjW1v+0UqV3IID6XscVAJSllzEHXCbQf/FNquCGRF3QXCcOcHk/l9bfru7&#10;t6TMkbspJZop5Ojw9O3w/efhx1cyDPjUxqVYtjJY6Jv30GDtMe4wGNZupFXhFxcimEek9yd0ReMJ&#10;x+BkNJ1cTDDFMTcajEfDSWiTPH9trPMfBCgSjIxaZC+CynY3zrelx5JwmYZlWVWRwUr/FsCebURE&#10;CXRfh0XagYPlm3XTbbeGfI/LWWjl4QxfljjBDXP+nlnUAw6NGvd3eMgK6oxCZ1FSgP3yt3ioR5ow&#10;S0mN+sqo+7xlVlBSfdRI4LvBeBwEGZ3x5GKIjj3PrM8zequuACU8wNdkeDRDva+OprSgHvEpLMKt&#10;mGKa490Z9Ufzyreqx6fExWIRi1CChvkbvTI8tA4QBnwfmkdmTUeCR/pu4ahElr7goq1twV9sPcgy&#10;EhUAblFFgoOD8o1Ud08tvI9zP1Y9/yHMfwEAAP//AwBQSwMEFAAGAAgAAAAhAI1ictXZAAAABAEA&#10;AA8AAABkcnMvZG93bnJldi54bWxMj8FOwzAQRO9I/IO1lbhRu1VDS8imQiCuIEpB4ubG2yQiXkex&#10;24S/ZznBcTSjmTfFdvKdOtMQ28AIi7kBRVwF13KNsH97ut6Aismys11gQvimCNvy8qKwuQsjv9J5&#10;l2olJRxzi9Ck1Odax6ohb+M89MTiHcPgbRI51NoNdpRy3+mlMTfa25ZlobE9PTRUfe1OHuH9+fj5&#10;sTIv9aPP+jFMRrO/1YhXs+n+DlSiKf2F4Rdf0KEUpkM4sYuqQ5AjCWENSrzNKhN5QMjMEnRZ6P/w&#10;5Q8AAAD//wMAUEsBAi0AFAAGAAgAAAAhALaDOJL+AAAA4QEAABMAAAAAAAAAAAAAAAAAAAAAAFtD&#10;b250ZW50X1R5cGVzXS54bWxQSwECLQAUAAYACAAAACEAOP0h/9YAAACUAQAACwAAAAAAAAAAAAAA&#10;AAAvAQAAX3JlbHMvLnJlbHNQSwECLQAUAAYACAAAACEApVE5fjoCAABYBAAADgAAAAAAAAAAAAAA&#10;AAAuAgAAZHJzL2Uyb0RvYy54bWxQSwECLQAUAAYACAAAACEAjWJy1dkAAAAEAQAADwAAAAAAAAAA&#10;AAAAAACUBAAAZHJzL2Rvd25yZXYueG1sUEsFBgAAAAAEAAQA8wAAAJoFAAAAAA==&#10;" filled="f" stroked="f">
                <v:textbox>
                  <w:txbxContent>
                    <w:p w:rsidR="00804F53" w:rsidRPr="00FA10DC" w:rsidRDefault="00804F53" w:rsidP="00804F53">
                      <w:pPr>
                        <w:jc w:val="center"/>
                        <w:rPr>
                          <w:b/>
                        </w:rPr>
                      </w:pPr>
                      <w:r w:rsidRPr="00FA10DC">
                        <w:rPr>
                          <w:b/>
                        </w:rPr>
                        <w:t>Table</w:t>
                      </w:r>
                      <w:r>
                        <w:rPr>
                          <w:b/>
                        </w:rPr>
                        <w:t xml:space="preserve"> S</w:t>
                      </w:r>
                      <w:r w:rsidRPr="00FA10DC">
                        <w:rPr>
                          <w:b/>
                        </w:rPr>
                        <w:t xml:space="preserve">1. Sequences of primers used for </w:t>
                      </w:r>
                      <w:r>
                        <w:rPr>
                          <w:b/>
                        </w:rPr>
                        <w:t xml:space="preserve">quantitative </w:t>
                      </w:r>
                      <w:r w:rsidRPr="00FA10DC">
                        <w:rPr>
                          <w:b/>
                        </w:rPr>
                        <w:t>PCR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Y="2515"/>
        <w:tblW w:w="9282" w:type="dxa"/>
        <w:tblLayout w:type="fixed"/>
        <w:tblLook w:val="04A0" w:firstRow="1" w:lastRow="0" w:firstColumn="1" w:lastColumn="0" w:noHBand="0" w:noVBand="1"/>
      </w:tblPr>
      <w:tblGrid>
        <w:gridCol w:w="1706"/>
        <w:gridCol w:w="3869"/>
        <w:gridCol w:w="3707"/>
      </w:tblGrid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widowControl w:val="0"/>
              <w:adjustRightInd w:val="0"/>
              <w:snapToGrid w:val="0"/>
              <w:spacing w:after="40"/>
              <w:jc w:val="center"/>
              <w:rPr>
                <w:kern w:val="2"/>
              </w:rPr>
            </w:pPr>
            <w:r w:rsidRPr="00856191">
              <w:rPr>
                <w:b/>
                <w:color w:val="000000"/>
              </w:rPr>
              <w:t>Gene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b/>
                <w:color w:val="000000"/>
                <w:sz w:val="20"/>
              </w:rPr>
            </w:pPr>
            <w:r w:rsidRPr="00DB6864">
              <w:rPr>
                <w:b/>
                <w:color w:val="000000"/>
                <w:sz w:val="20"/>
              </w:rPr>
              <w:t>Forward Primer (5'-3')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color w:val="000000"/>
                <w:sz w:val="20"/>
              </w:rPr>
            </w:pPr>
            <w:r w:rsidRPr="00DB6864">
              <w:rPr>
                <w:b/>
                <w:color w:val="000000"/>
                <w:sz w:val="20"/>
              </w:rPr>
              <w:t>Reverse Primer (5'-3')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widowControl w:val="0"/>
              <w:adjustRightInd w:val="0"/>
              <w:snapToGrid w:val="0"/>
              <w:spacing w:after="40"/>
              <w:jc w:val="center"/>
              <w:rPr>
                <w:kern w:val="2"/>
              </w:rPr>
            </w:pPr>
            <w:r w:rsidRPr="00667DB5">
              <w:rPr>
                <w:i/>
                <w:color w:val="000000"/>
              </w:rPr>
              <w:t>RPL13A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color w:val="000000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CATAGGAAGCTGGGAGCAAG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color w:val="000000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GCCCTCCAATCAGTCTTCTG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widowControl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GAPDH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GGAGCGAGATCCCTCCAAAAT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GGCTGTTGTCATACTTCTCATGG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SOX9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GGCGGAGGAAGTCGGTGAAGAA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GCTCATGCCGGAGGAGGAGTGT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COL2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GGATGGCTGCACGAAACATACCGG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CAAGAAGCAGACCGGCCCTATG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ACAN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AGTCACACCTGAGCAGCATC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AGTTCTCAAATTGCATGGGGTGTC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COL10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CCCTCTTGTTAGTGCCAACC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AGATTCCAGTCCTTGGGTCA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MMP13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ATGCAGTCTTTCTTCGGCTTAG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ATGCCATCGTGAAGTCTGGT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RUNX2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GTGATAAATTCAGAAGGGAGG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CTTTTGCTAATGCTTCGTGT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OCN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TCACACTCCTCGCCCTATTG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GAAGAGGAAAGAAGGGTGCC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ALP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ATCTTTGGTCTGGCCCCCATG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AGTCCACCATGGAGACATTCTCTC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BSP</w:t>
            </w:r>
            <w:r>
              <w:rPr>
                <w:i/>
                <w:color w:val="000000"/>
              </w:rPr>
              <w:t>2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CGAATACACGGGCGTCAATG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GTAGCTGTACTCATCTTCATAGGC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TNF-α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CCTCTCTCTAATCAGCCCTCTG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GAGGACCTGGGAGTAGATGAG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IL-1β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ATGATGGCTTATTACAGTGGCAA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GTCGGAGATTCGTAGCTGGA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IL-6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ACTCACCTCTTCAGAACGAATTG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CCATCTTTGGAAGGTTCAGGTTG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MMP1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AAAATTACACGCCAGATTTGCC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GGTGTGACATTACTCCAGAGTTG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MMP2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TACAGGATCATTGGCTACACACC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GGTCACATCGCTCCAGACT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MMP3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CTGGACTCCGACACTCTGGA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CAGGAAAGGTTCTGAAGTGACC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MMP9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TGTACCGCTATGGTTACACTCG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tabs>
                <w:tab w:val="left" w:pos="408"/>
              </w:tabs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GGCAGGGACAGTTGCTTCT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ADAMTS-4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CTGGCACCTACCTGACTGG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GTAACACGCCTAACAGGGCT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ADAMTS-5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ATCACCCAATGCCAAGG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AGCAGAGTAGGAGACAAC</w:t>
            </w:r>
          </w:p>
        </w:tc>
      </w:tr>
      <w:tr w:rsidR="00804F53" w:rsidRPr="00856191" w:rsidTr="009F0C0D">
        <w:trPr>
          <w:trHeight w:val="528"/>
        </w:trPr>
        <w:tc>
          <w:tcPr>
            <w:tcW w:w="1706" w:type="dxa"/>
            <w:vAlign w:val="center"/>
          </w:tcPr>
          <w:p w:rsidR="00804F53" w:rsidRPr="00667DB5" w:rsidRDefault="00804F53" w:rsidP="009F0C0D">
            <w:pPr>
              <w:autoSpaceDE w:val="0"/>
              <w:autoSpaceDN w:val="0"/>
              <w:adjustRightInd w:val="0"/>
              <w:snapToGrid w:val="0"/>
              <w:spacing w:after="40"/>
              <w:jc w:val="center"/>
              <w:rPr>
                <w:i/>
                <w:color w:val="000000"/>
              </w:rPr>
            </w:pPr>
            <w:r w:rsidRPr="00667DB5">
              <w:rPr>
                <w:i/>
                <w:color w:val="000000"/>
              </w:rPr>
              <w:t>TGF-β3</w:t>
            </w:r>
          </w:p>
        </w:tc>
        <w:tc>
          <w:tcPr>
            <w:tcW w:w="3869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GGAAAACACCGAGTCGGAATAC</w:t>
            </w:r>
          </w:p>
        </w:tc>
        <w:tc>
          <w:tcPr>
            <w:tcW w:w="3707" w:type="dxa"/>
            <w:vAlign w:val="center"/>
          </w:tcPr>
          <w:p w:rsidR="00804F53" w:rsidRPr="00DB6864" w:rsidRDefault="00804F53" w:rsidP="009F0C0D">
            <w:pPr>
              <w:widowControl w:val="0"/>
              <w:adjustRightInd w:val="0"/>
              <w:snapToGrid w:val="0"/>
              <w:spacing w:after="40"/>
              <w:jc w:val="both"/>
              <w:rPr>
                <w:rFonts w:ascii="Courier" w:hAnsi="Courier"/>
                <w:kern w:val="2"/>
                <w:sz w:val="20"/>
              </w:rPr>
            </w:pPr>
            <w:r w:rsidRPr="00DB6864">
              <w:rPr>
                <w:rFonts w:ascii="Courier" w:hAnsi="Courier"/>
                <w:kern w:val="2"/>
                <w:sz w:val="20"/>
              </w:rPr>
              <w:t>GCGGAAAACCTTGGAGGTAAT</w:t>
            </w:r>
          </w:p>
        </w:tc>
      </w:tr>
    </w:tbl>
    <w:p w:rsidR="004353C2" w:rsidRDefault="00804F53">
      <w:bookmarkStart w:id="0" w:name="_GoBack"/>
      <w:bookmarkEnd w:id="0"/>
    </w:p>
    <w:sectPr w:rsidR="00435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C4F"/>
    <w:rsid w:val="001F2A3A"/>
    <w:rsid w:val="0056271A"/>
    <w:rsid w:val="00804F53"/>
    <w:rsid w:val="00BD3E3F"/>
    <w:rsid w:val="00FD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B409F-015A-4DDE-9C7F-7317958B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804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4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2056</Characters>
  <Application>Microsoft Office Word</Application>
  <DocSecurity>0</DocSecurity>
  <Lines>17</Lines>
  <Paragraphs>4</Paragraphs>
  <ScaleCrop>false</ScaleCrop>
  <Company>University of Pittsburgh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Lin, Hang</dc:creator>
  <cp:keywords/>
  <dc:description/>
  <cp:lastModifiedBy>Lin, Hang</cp:lastModifiedBy>
  <cp:revision>2</cp:revision>
  <dcterms:created xsi:type="dcterms:W3CDTF">2019-08-24T20:44:00Z</dcterms:created>
  <dcterms:modified xsi:type="dcterms:W3CDTF">2019-08-24T20:44:00Z</dcterms:modified>
</cp:coreProperties>
</file>