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C0FDF53" w14:textId="326ADB76" w:rsidR="00DB0831" w:rsidRDefault="00DB0831" w:rsidP="00DB0831">
      <w:pPr>
        <w:pStyle w:val="Heading1"/>
        <w:numPr>
          <w:ilvl w:val="0"/>
          <w:numId w:val="14"/>
        </w:numPr>
      </w:pPr>
      <w:r>
        <w:t>Examples of experimental stimuli</w:t>
      </w:r>
    </w:p>
    <w:p w14:paraId="48720ABE" w14:textId="2D318203" w:rsidR="00DB0831" w:rsidRDefault="00DB0831" w:rsidP="00DB0831">
      <w:r>
        <w:rPr>
          <w:rFonts w:eastAsia="Times New Roman" w:cs="Times New Roman"/>
          <w:noProof/>
          <w:szCs w:val="24"/>
        </w:rPr>
        <w:drawing>
          <wp:inline distT="0" distB="0" distL="0" distR="0" wp14:anchorId="5D4F9CC1" wp14:editId="523D8E46">
            <wp:extent cx="2775896" cy="3642360"/>
            <wp:effectExtent l="0" t="0" r="571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_Figure_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953" cy="364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58461" w14:textId="345DADB4" w:rsidR="00DB0831" w:rsidRPr="00DB0831" w:rsidRDefault="00DB0831" w:rsidP="00DB0831">
      <w:pPr>
        <w:spacing w:after="0"/>
        <w:jc w:val="both"/>
        <w:rPr>
          <w:rFonts w:eastAsia="Times New Roman" w:cs="Times New Roman"/>
          <w:bCs/>
          <w:szCs w:val="24"/>
        </w:rPr>
      </w:pPr>
      <w:r w:rsidRPr="00DB0831">
        <w:rPr>
          <w:rFonts w:eastAsia="Times New Roman" w:cs="Times New Roman"/>
          <w:bCs/>
          <w:szCs w:val="24"/>
        </w:rPr>
        <w:t xml:space="preserve">Supplementary Figure 1. Examples of experimental stimuli (four different sets). </w:t>
      </w:r>
    </w:p>
    <w:p w14:paraId="4FD3C741" w14:textId="37A04F52" w:rsidR="00D103A5" w:rsidRPr="00D103A5" w:rsidRDefault="00D103A5" w:rsidP="00D103A5">
      <w:pPr>
        <w:pStyle w:val="Heading1"/>
      </w:pPr>
      <w:r w:rsidRPr="00D103A5">
        <w:t>No correlations between timing of the task and confidence of FAs</w:t>
      </w:r>
    </w:p>
    <w:p w14:paraId="3799C61F" w14:textId="5E0DBA52" w:rsidR="00D103A5" w:rsidRPr="00994A3D" w:rsidRDefault="00D103A5" w:rsidP="00994A3D">
      <w:pPr>
        <w:jc w:val="both"/>
        <w:rPr>
          <w:rFonts w:cs="Times New Roman"/>
          <w:szCs w:val="24"/>
        </w:rPr>
      </w:pPr>
      <w:r w:rsidRPr="00D103A5">
        <w:rPr>
          <w:rFonts w:cs="Times New Roman"/>
          <w:szCs w:val="24"/>
        </w:rPr>
        <w:t xml:space="preserve">There is no significant correlation between average confidence after FA and average time from memoranda to erroneously recognized </w:t>
      </w:r>
      <w:r w:rsidR="00A40C80">
        <w:rPr>
          <w:rFonts w:cs="Times New Roman"/>
          <w:szCs w:val="24"/>
        </w:rPr>
        <w:t>stimuli</w:t>
      </w:r>
      <w:r w:rsidR="00A40C80" w:rsidRPr="00D103A5">
        <w:rPr>
          <w:rFonts w:cs="Times New Roman"/>
          <w:szCs w:val="24"/>
        </w:rPr>
        <w:t xml:space="preserve"> </w:t>
      </w:r>
      <w:r w:rsidRPr="00D103A5">
        <w:rPr>
          <w:rFonts w:cs="Times New Roman"/>
          <w:szCs w:val="24"/>
        </w:rPr>
        <w:t xml:space="preserve">(YA: 0.16, </w:t>
      </w:r>
      <w:r w:rsidRPr="00FD3905">
        <w:rPr>
          <w:rFonts w:cs="Times New Roman"/>
          <w:i/>
          <w:iCs/>
          <w:szCs w:val="24"/>
        </w:rPr>
        <w:t>p</w:t>
      </w:r>
      <w:r w:rsidRPr="00D103A5">
        <w:rPr>
          <w:rFonts w:cs="Times New Roman"/>
          <w:szCs w:val="24"/>
        </w:rPr>
        <w:t xml:space="preserve">=0.41, OA: 0.29, </w:t>
      </w:r>
      <w:r w:rsidRPr="00FD3905">
        <w:rPr>
          <w:rFonts w:cs="Times New Roman"/>
          <w:i/>
          <w:iCs/>
          <w:szCs w:val="24"/>
        </w:rPr>
        <w:t>p</w:t>
      </w:r>
      <w:r w:rsidRPr="00D103A5">
        <w:rPr>
          <w:rFonts w:cs="Times New Roman"/>
          <w:szCs w:val="24"/>
        </w:rPr>
        <w:t xml:space="preserve">=0.15) nor between average confidence after FA and average time from erroneously recognized </w:t>
      </w:r>
      <w:r w:rsidR="00A40C80">
        <w:rPr>
          <w:rFonts w:cs="Times New Roman"/>
          <w:szCs w:val="24"/>
        </w:rPr>
        <w:t>stimuli</w:t>
      </w:r>
      <w:r w:rsidR="00A40C80" w:rsidRPr="00D103A5">
        <w:rPr>
          <w:rFonts w:cs="Times New Roman"/>
          <w:szCs w:val="24"/>
        </w:rPr>
        <w:t xml:space="preserve"> </w:t>
      </w:r>
      <w:r w:rsidRPr="00D103A5">
        <w:rPr>
          <w:rFonts w:cs="Times New Roman"/>
          <w:szCs w:val="24"/>
        </w:rPr>
        <w:t>to confidence question (YA</w:t>
      </w:r>
      <w:r w:rsidR="00FD3905">
        <w:rPr>
          <w:rFonts w:cs="Times New Roman"/>
          <w:szCs w:val="24"/>
        </w:rPr>
        <w:t>:</w:t>
      </w:r>
      <w:r w:rsidRPr="00D103A5">
        <w:rPr>
          <w:rFonts w:cs="Times New Roman"/>
          <w:szCs w:val="24"/>
        </w:rPr>
        <w:t xml:space="preserve"> -0.02, </w:t>
      </w:r>
      <w:r w:rsidRPr="00FD3905">
        <w:rPr>
          <w:rFonts w:cs="Times New Roman"/>
          <w:i/>
          <w:iCs/>
          <w:szCs w:val="24"/>
        </w:rPr>
        <w:t xml:space="preserve">p </w:t>
      </w:r>
      <w:r w:rsidRPr="00D103A5">
        <w:rPr>
          <w:rFonts w:cs="Times New Roman"/>
          <w:szCs w:val="24"/>
        </w:rPr>
        <w:t>=0.92, OA</w:t>
      </w:r>
      <w:r w:rsidR="00FD3905">
        <w:rPr>
          <w:rFonts w:cs="Times New Roman"/>
          <w:szCs w:val="24"/>
        </w:rPr>
        <w:t>:</w:t>
      </w:r>
      <w:bookmarkStart w:id="0" w:name="_GoBack"/>
      <w:bookmarkEnd w:id="0"/>
      <w:r w:rsidRPr="00D103A5">
        <w:rPr>
          <w:rFonts w:cs="Times New Roman"/>
          <w:szCs w:val="24"/>
        </w:rPr>
        <w:t xml:space="preserve"> -0.28, </w:t>
      </w:r>
      <w:r w:rsidRPr="00FD3905">
        <w:rPr>
          <w:rFonts w:cs="Times New Roman"/>
          <w:i/>
          <w:iCs/>
          <w:szCs w:val="24"/>
        </w:rPr>
        <w:t>p</w:t>
      </w:r>
      <w:r w:rsidRPr="00D103A5">
        <w:rPr>
          <w:rFonts w:cs="Times New Roman"/>
          <w:szCs w:val="24"/>
        </w:rPr>
        <w:t>=0.17).</w:t>
      </w:r>
    </w:p>
    <w:p w14:paraId="7C91593D" w14:textId="4C06057C" w:rsidR="0083661C" w:rsidRPr="0083661C" w:rsidRDefault="0083661C" w:rsidP="0083661C">
      <w:pPr>
        <w:pStyle w:val="Heading1"/>
      </w:pPr>
      <w:r w:rsidRPr="0083661C">
        <w:rPr>
          <w:rFonts w:eastAsia="Times New Roman"/>
        </w:rPr>
        <w:t>Comparable confidence distribution in younger and older adults</w:t>
      </w:r>
    </w:p>
    <w:p w14:paraId="6F19638E" w14:textId="27CF45D2" w:rsidR="0083661C" w:rsidRPr="0083661C" w:rsidRDefault="0083661C" w:rsidP="0083661C">
      <w:pPr>
        <w:spacing w:after="0"/>
        <w:jc w:val="both"/>
        <w:rPr>
          <w:rFonts w:eastAsia="Times New Roman" w:cs="Times New Roman"/>
          <w:szCs w:val="24"/>
        </w:rPr>
      </w:pPr>
      <w:r w:rsidRPr="0083661C">
        <w:rPr>
          <w:rFonts w:eastAsia="Times New Roman" w:cs="Times New Roman"/>
          <w:szCs w:val="24"/>
        </w:rPr>
        <w:t>Rates of different type of confidence responses across task (see</w:t>
      </w:r>
      <w:r w:rsidR="00F207BB">
        <w:rPr>
          <w:rFonts w:eastAsia="Times New Roman" w:cs="Times New Roman"/>
          <w:szCs w:val="24"/>
        </w:rPr>
        <w:t xml:space="preserve"> Supplementary</w:t>
      </w:r>
      <w:r w:rsidRPr="0083661C">
        <w:rPr>
          <w:rFonts w:eastAsia="Times New Roman" w:cs="Times New Roman"/>
          <w:szCs w:val="24"/>
        </w:rPr>
        <w:t xml:space="preserve"> Table 1) were subjected to a mixed-measures ANOVA with confidence response as the within-person factor (sure, semi-sure, unsure) and age as the between-person factor (YA vs. OA). The results revealed significant effects of confidence response (</w:t>
      </w:r>
      <w:r w:rsidRPr="0083661C">
        <w:rPr>
          <w:rFonts w:eastAsia="Times New Roman" w:cs="Times New Roman"/>
          <w:i/>
          <w:szCs w:val="24"/>
        </w:rPr>
        <w:t>F</w:t>
      </w:r>
      <w:r w:rsidRPr="0083661C">
        <w:rPr>
          <w:rFonts w:eastAsia="Times New Roman" w:cs="Times New Roman"/>
          <w:szCs w:val="24"/>
          <w:vertAlign w:val="subscript"/>
        </w:rPr>
        <w:t>(2,118)</w:t>
      </w:r>
      <w:r w:rsidRPr="0083661C">
        <w:rPr>
          <w:rFonts w:eastAsia="Times New Roman" w:cs="Times New Roman"/>
          <w:szCs w:val="24"/>
        </w:rPr>
        <w:t xml:space="preserve"> = 1569.82, </w:t>
      </w:r>
      <w:r w:rsidRPr="0083661C">
        <w:rPr>
          <w:rFonts w:eastAsia="Times New Roman" w:cs="Times New Roman"/>
          <w:i/>
          <w:szCs w:val="24"/>
        </w:rPr>
        <w:t>p</w:t>
      </w:r>
      <w:r w:rsidRPr="0083661C">
        <w:rPr>
          <w:rFonts w:eastAsia="Times New Roman" w:cs="Times New Roman"/>
          <w:szCs w:val="24"/>
        </w:rPr>
        <w:t xml:space="preserve"> &lt;0.001, </w:t>
      </w:r>
      <w:r w:rsidRPr="0083661C">
        <w:rPr>
          <w:rFonts w:eastAsia="Times New Roman" w:cs="Times New Roman"/>
          <w:i/>
          <w:szCs w:val="24"/>
        </w:rPr>
        <w:t>η</w:t>
      </w:r>
      <w:r w:rsidRPr="0083661C">
        <w:rPr>
          <w:rFonts w:eastAsia="Times New Roman" w:cs="Times New Roman"/>
          <w:i/>
          <w:szCs w:val="24"/>
          <w:vertAlign w:val="subscript"/>
        </w:rPr>
        <w:t>p</w:t>
      </w:r>
      <w:r w:rsidRPr="0083661C">
        <w:rPr>
          <w:rFonts w:eastAsia="Times New Roman" w:cs="Times New Roman"/>
          <w:i/>
          <w:szCs w:val="24"/>
          <w:vertAlign w:val="superscript"/>
        </w:rPr>
        <w:t>2</w:t>
      </w:r>
      <w:r w:rsidRPr="0083661C">
        <w:rPr>
          <w:rFonts w:eastAsia="Times New Roman" w:cs="Times New Roman"/>
          <w:szCs w:val="24"/>
        </w:rPr>
        <w:t xml:space="preserve"> = 0.96), and an effect of age (</w:t>
      </w:r>
      <w:r w:rsidRPr="0083661C">
        <w:rPr>
          <w:rFonts w:eastAsia="Times New Roman" w:cs="Times New Roman"/>
          <w:i/>
          <w:szCs w:val="24"/>
        </w:rPr>
        <w:t>F</w:t>
      </w:r>
      <w:r w:rsidRPr="0083661C">
        <w:rPr>
          <w:rFonts w:eastAsia="Times New Roman" w:cs="Times New Roman"/>
          <w:szCs w:val="24"/>
          <w:vertAlign w:val="subscript"/>
        </w:rPr>
        <w:t>(1,59)</w:t>
      </w:r>
      <w:r w:rsidRPr="0083661C">
        <w:rPr>
          <w:rFonts w:eastAsia="Times New Roman" w:cs="Times New Roman"/>
          <w:szCs w:val="24"/>
        </w:rPr>
        <w:t xml:space="preserve"> = 11.94, </w:t>
      </w:r>
      <w:r w:rsidRPr="0083661C">
        <w:rPr>
          <w:rFonts w:eastAsia="Times New Roman" w:cs="Times New Roman"/>
          <w:i/>
          <w:szCs w:val="24"/>
        </w:rPr>
        <w:t xml:space="preserve">p </w:t>
      </w:r>
      <w:r w:rsidRPr="0083661C">
        <w:rPr>
          <w:rFonts w:eastAsia="Times New Roman" w:cs="Times New Roman"/>
          <w:szCs w:val="24"/>
        </w:rPr>
        <w:t xml:space="preserve">= 0.001, </w:t>
      </w:r>
      <w:r w:rsidRPr="0083661C">
        <w:rPr>
          <w:rFonts w:eastAsia="Times New Roman" w:cs="Times New Roman"/>
          <w:i/>
          <w:szCs w:val="24"/>
        </w:rPr>
        <w:t>η</w:t>
      </w:r>
      <w:r w:rsidRPr="0083661C">
        <w:rPr>
          <w:rFonts w:eastAsia="Times New Roman" w:cs="Times New Roman"/>
          <w:i/>
          <w:szCs w:val="24"/>
          <w:vertAlign w:val="subscript"/>
        </w:rPr>
        <w:t>p</w:t>
      </w:r>
      <w:r w:rsidRPr="0083661C">
        <w:rPr>
          <w:rFonts w:eastAsia="Times New Roman" w:cs="Times New Roman"/>
          <w:i/>
          <w:szCs w:val="24"/>
          <w:vertAlign w:val="superscript"/>
        </w:rPr>
        <w:t>2</w:t>
      </w:r>
      <w:r w:rsidRPr="0083661C">
        <w:rPr>
          <w:rFonts w:eastAsia="Times New Roman" w:cs="Times New Roman"/>
          <w:szCs w:val="24"/>
        </w:rPr>
        <w:t xml:space="preserve"> = 0.17), but no interaction effect (</w:t>
      </w:r>
      <w:r w:rsidRPr="0083661C">
        <w:rPr>
          <w:rFonts w:eastAsia="Times New Roman" w:cs="Times New Roman"/>
          <w:i/>
          <w:szCs w:val="24"/>
        </w:rPr>
        <w:t>F</w:t>
      </w:r>
      <w:r w:rsidRPr="0083661C">
        <w:rPr>
          <w:rFonts w:eastAsia="Times New Roman" w:cs="Times New Roman"/>
          <w:szCs w:val="24"/>
          <w:vertAlign w:val="subscript"/>
        </w:rPr>
        <w:t>(2,108)</w:t>
      </w:r>
      <w:r w:rsidRPr="0083661C">
        <w:rPr>
          <w:rFonts w:eastAsia="Times New Roman" w:cs="Times New Roman"/>
          <w:szCs w:val="24"/>
        </w:rPr>
        <w:t xml:space="preserve"> = 0.26, </w:t>
      </w:r>
      <w:r w:rsidRPr="0083661C">
        <w:rPr>
          <w:rFonts w:eastAsia="Times New Roman" w:cs="Times New Roman"/>
          <w:i/>
          <w:szCs w:val="24"/>
        </w:rPr>
        <w:t>p</w:t>
      </w:r>
      <w:r w:rsidRPr="0083661C">
        <w:rPr>
          <w:rFonts w:eastAsia="Times New Roman" w:cs="Times New Roman"/>
          <w:szCs w:val="24"/>
        </w:rPr>
        <w:t xml:space="preserve">=0.77, </w:t>
      </w:r>
      <w:r w:rsidRPr="0083661C">
        <w:rPr>
          <w:rFonts w:eastAsia="Times New Roman" w:cs="Times New Roman"/>
          <w:i/>
          <w:szCs w:val="24"/>
        </w:rPr>
        <w:t>η</w:t>
      </w:r>
      <w:r w:rsidRPr="0083661C">
        <w:rPr>
          <w:rFonts w:eastAsia="Times New Roman" w:cs="Times New Roman"/>
          <w:i/>
          <w:szCs w:val="24"/>
          <w:vertAlign w:val="subscript"/>
        </w:rPr>
        <w:t>p</w:t>
      </w:r>
      <w:r w:rsidRPr="0083661C">
        <w:rPr>
          <w:rFonts w:eastAsia="Times New Roman" w:cs="Times New Roman"/>
          <w:i/>
          <w:szCs w:val="24"/>
          <w:vertAlign w:val="superscript"/>
        </w:rPr>
        <w:t>2</w:t>
      </w:r>
      <w:r w:rsidRPr="0083661C">
        <w:rPr>
          <w:rFonts w:eastAsia="Times New Roman" w:cs="Times New Roman"/>
          <w:szCs w:val="24"/>
        </w:rPr>
        <w:t xml:space="preserve"> = 0.004). This indicates that both age-groups used confidence scale in a similar manner.</w:t>
      </w:r>
    </w:p>
    <w:p w14:paraId="3C0D3C17" w14:textId="77777777" w:rsidR="0083661C" w:rsidRPr="0083661C" w:rsidRDefault="0083661C" w:rsidP="0083661C">
      <w:pPr>
        <w:spacing w:after="0"/>
        <w:jc w:val="both"/>
        <w:rPr>
          <w:rFonts w:eastAsia="Times New Roman" w:cs="Times New Roman"/>
          <w:szCs w:val="24"/>
        </w:rPr>
      </w:pPr>
      <w:r w:rsidRPr="0083661C">
        <w:rPr>
          <w:rFonts w:eastAsia="Times New Roman" w:cs="Times New Roman"/>
          <w:szCs w:val="24"/>
        </w:rPr>
        <w:t xml:space="preserve"> </w:t>
      </w:r>
    </w:p>
    <w:tbl>
      <w:tblPr>
        <w:tblW w:w="6379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824"/>
        <w:gridCol w:w="1842"/>
        <w:gridCol w:w="1843"/>
      </w:tblGrid>
      <w:tr w:rsidR="0083661C" w:rsidRPr="0083661C" w14:paraId="7F46DCBF" w14:textId="77777777" w:rsidTr="00546844">
        <w:trPr>
          <w:trHeight w:val="601"/>
        </w:trPr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C721C9" w14:textId="77777777" w:rsidR="0083661C" w:rsidRPr="0083661C" w:rsidRDefault="0083661C" w:rsidP="00533895">
            <w:pPr>
              <w:spacing w:before="0" w:after="0"/>
              <w:ind w:left="80"/>
              <w:jc w:val="both"/>
              <w:rPr>
                <w:rFonts w:eastAsia="Times New Roman" w:cs="Times New Roman"/>
                <w:szCs w:val="24"/>
              </w:rPr>
            </w:pPr>
            <w:r w:rsidRPr="0083661C">
              <w:rPr>
                <w:rFonts w:eastAsia="Times New Roman" w:cs="Times New Roman"/>
                <w:szCs w:val="24"/>
              </w:rPr>
              <w:lastRenderedPageBreak/>
              <w:t>Group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67F749" w14:textId="77777777" w:rsidR="0083661C" w:rsidRPr="0083661C" w:rsidRDefault="0083661C" w:rsidP="00533895">
            <w:pPr>
              <w:spacing w:before="0" w:after="0"/>
              <w:ind w:left="80"/>
              <w:jc w:val="both"/>
              <w:rPr>
                <w:rFonts w:eastAsia="Times New Roman" w:cs="Times New Roman"/>
                <w:szCs w:val="24"/>
              </w:rPr>
            </w:pPr>
            <w:r w:rsidRPr="0083661C">
              <w:rPr>
                <w:rFonts w:eastAsia="Times New Roman" w:cs="Times New Roman"/>
                <w:szCs w:val="24"/>
              </w:rPr>
              <w:t>"sure" (3)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866824" w14:textId="77777777" w:rsidR="0083661C" w:rsidRPr="0083661C" w:rsidRDefault="0083661C" w:rsidP="00533895">
            <w:pPr>
              <w:spacing w:before="0" w:after="0"/>
              <w:ind w:left="80"/>
              <w:jc w:val="both"/>
              <w:rPr>
                <w:rFonts w:eastAsia="Times New Roman" w:cs="Times New Roman"/>
                <w:szCs w:val="24"/>
              </w:rPr>
            </w:pPr>
            <w:r w:rsidRPr="0083661C">
              <w:rPr>
                <w:rFonts w:eastAsia="Times New Roman" w:cs="Times New Roman"/>
                <w:szCs w:val="24"/>
              </w:rPr>
              <w:t>"semi-sure" 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55DE88" w14:textId="77777777" w:rsidR="0083661C" w:rsidRPr="0083661C" w:rsidRDefault="0083661C" w:rsidP="00533895">
            <w:pPr>
              <w:spacing w:before="0" w:after="0"/>
              <w:ind w:left="80"/>
              <w:jc w:val="both"/>
              <w:rPr>
                <w:rFonts w:eastAsia="Times New Roman" w:cs="Times New Roman"/>
                <w:szCs w:val="24"/>
              </w:rPr>
            </w:pPr>
            <w:r w:rsidRPr="0083661C">
              <w:rPr>
                <w:rFonts w:eastAsia="Times New Roman" w:cs="Times New Roman"/>
                <w:szCs w:val="24"/>
              </w:rPr>
              <w:t>"unsure" (1)</w:t>
            </w:r>
          </w:p>
        </w:tc>
      </w:tr>
      <w:tr w:rsidR="0083661C" w:rsidRPr="0083661C" w14:paraId="65D7B259" w14:textId="77777777" w:rsidTr="00546844">
        <w:trPr>
          <w:trHeight w:val="371"/>
        </w:trPr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8F8751" w14:textId="77777777" w:rsidR="0083661C" w:rsidRPr="0083661C" w:rsidRDefault="0083661C" w:rsidP="00533895">
            <w:pPr>
              <w:spacing w:before="0" w:after="0"/>
              <w:ind w:left="80"/>
              <w:jc w:val="both"/>
              <w:rPr>
                <w:rFonts w:eastAsia="Times New Roman" w:cs="Times New Roman"/>
                <w:szCs w:val="24"/>
              </w:rPr>
            </w:pPr>
            <w:r w:rsidRPr="0083661C">
              <w:rPr>
                <w:rFonts w:eastAsia="Times New Roman" w:cs="Times New Roman"/>
                <w:szCs w:val="24"/>
              </w:rPr>
              <w:t>YA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47190D" w14:textId="77777777" w:rsidR="0083661C" w:rsidRPr="0083661C" w:rsidRDefault="0083661C" w:rsidP="00533895">
            <w:pPr>
              <w:spacing w:before="0" w:after="0"/>
              <w:ind w:left="80"/>
              <w:jc w:val="both"/>
              <w:rPr>
                <w:rFonts w:eastAsia="Times New Roman" w:cs="Times New Roman"/>
                <w:i/>
                <w:szCs w:val="24"/>
              </w:rPr>
            </w:pPr>
            <w:r w:rsidRPr="0083661C">
              <w:rPr>
                <w:rFonts w:eastAsia="Times New Roman" w:cs="Times New Roman"/>
                <w:szCs w:val="24"/>
              </w:rPr>
              <w:t xml:space="preserve">0.83 </w:t>
            </w:r>
            <w:r w:rsidRPr="0083661C">
              <w:rPr>
                <w:rFonts w:eastAsia="Times New Roman" w:cs="Times New Roman"/>
                <w:i/>
                <w:szCs w:val="24"/>
              </w:rPr>
              <w:t>(0.02)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98CD69" w14:textId="77777777" w:rsidR="0083661C" w:rsidRPr="0083661C" w:rsidRDefault="0083661C" w:rsidP="00533895">
            <w:pPr>
              <w:spacing w:before="0" w:after="0"/>
              <w:ind w:left="80"/>
              <w:jc w:val="both"/>
              <w:rPr>
                <w:rFonts w:eastAsia="Times New Roman" w:cs="Times New Roman"/>
                <w:i/>
                <w:szCs w:val="24"/>
              </w:rPr>
            </w:pPr>
            <w:r w:rsidRPr="0083661C">
              <w:rPr>
                <w:rFonts w:eastAsia="Times New Roman" w:cs="Times New Roman"/>
                <w:szCs w:val="24"/>
              </w:rPr>
              <w:t xml:space="preserve">0.12 </w:t>
            </w:r>
            <w:r w:rsidRPr="0083661C">
              <w:rPr>
                <w:rFonts w:eastAsia="Times New Roman" w:cs="Times New Roman"/>
                <w:i/>
                <w:szCs w:val="24"/>
              </w:rPr>
              <w:t>(0.01)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0CE5C7" w14:textId="77777777" w:rsidR="0083661C" w:rsidRPr="0083661C" w:rsidRDefault="0083661C" w:rsidP="00533895">
            <w:pPr>
              <w:spacing w:before="0" w:after="0"/>
              <w:ind w:left="80"/>
              <w:jc w:val="both"/>
              <w:rPr>
                <w:rFonts w:eastAsia="Times New Roman" w:cs="Times New Roman"/>
                <w:i/>
                <w:szCs w:val="24"/>
              </w:rPr>
            </w:pPr>
            <w:r w:rsidRPr="0083661C">
              <w:rPr>
                <w:rFonts w:eastAsia="Times New Roman" w:cs="Times New Roman"/>
                <w:szCs w:val="24"/>
              </w:rPr>
              <w:t xml:space="preserve">0.04 </w:t>
            </w:r>
            <w:r w:rsidRPr="0083661C">
              <w:rPr>
                <w:rFonts w:eastAsia="Times New Roman" w:cs="Times New Roman"/>
                <w:i/>
                <w:szCs w:val="24"/>
              </w:rPr>
              <w:t>(0.01)</w:t>
            </w:r>
          </w:p>
        </w:tc>
      </w:tr>
      <w:tr w:rsidR="0083661C" w:rsidRPr="0083661C" w14:paraId="1F9D69E8" w14:textId="77777777" w:rsidTr="00546844">
        <w:trPr>
          <w:trHeight w:val="182"/>
        </w:trPr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E1DCDF" w14:textId="77777777" w:rsidR="0083661C" w:rsidRPr="0083661C" w:rsidRDefault="0083661C" w:rsidP="00533895">
            <w:pPr>
              <w:spacing w:before="0" w:after="0"/>
              <w:ind w:left="80"/>
              <w:jc w:val="both"/>
              <w:rPr>
                <w:rFonts w:eastAsia="Times New Roman" w:cs="Times New Roman"/>
                <w:szCs w:val="24"/>
              </w:rPr>
            </w:pPr>
            <w:r w:rsidRPr="0083661C">
              <w:rPr>
                <w:rFonts w:eastAsia="Times New Roman" w:cs="Times New Roman"/>
                <w:szCs w:val="24"/>
              </w:rPr>
              <w:t>OA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E31700" w14:textId="77777777" w:rsidR="0083661C" w:rsidRPr="0083661C" w:rsidRDefault="0083661C" w:rsidP="00533895">
            <w:pPr>
              <w:spacing w:before="0" w:after="0"/>
              <w:ind w:left="80"/>
              <w:jc w:val="both"/>
              <w:rPr>
                <w:rFonts w:eastAsia="Times New Roman" w:cs="Times New Roman"/>
                <w:i/>
                <w:szCs w:val="24"/>
              </w:rPr>
            </w:pPr>
            <w:r w:rsidRPr="0083661C">
              <w:rPr>
                <w:rFonts w:eastAsia="Times New Roman" w:cs="Times New Roman"/>
                <w:szCs w:val="24"/>
              </w:rPr>
              <w:t xml:space="preserve">0.82 </w:t>
            </w:r>
            <w:r w:rsidRPr="0083661C">
              <w:rPr>
                <w:rFonts w:eastAsia="Times New Roman" w:cs="Times New Roman"/>
                <w:i/>
                <w:szCs w:val="24"/>
              </w:rPr>
              <w:t>(0.02)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F6397B" w14:textId="77777777" w:rsidR="0083661C" w:rsidRPr="0083661C" w:rsidRDefault="0083661C" w:rsidP="00533895">
            <w:pPr>
              <w:spacing w:before="0" w:after="0"/>
              <w:ind w:left="80"/>
              <w:jc w:val="both"/>
              <w:rPr>
                <w:rFonts w:eastAsia="Times New Roman" w:cs="Times New Roman"/>
                <w:i/>
                <w:szCs w:val="24"/>
              </w:rPr>
            </w:pPr>
            <w:r w:rsidRPr="0083661C">
              <w:rPr>
                <w:rFonts w:eastAsia="Times New Roman" w:cs="Times New Roman"/>
                <w:szCs w:val="24"/>
              </w:rPr>
              <w:t xml:space="preserve">0.09 </w:t>
            </w:r>
            <w:r w:rsidRPr="0083661C">
              <w:rPr>
                <w:rFonts w:eastAsia="Times New Roman" w:cs="Times New Roman"/>
                <w:i/>
                <w:szCs w:val="24"/>
              </w:rPr>
              <w:t>(0.02)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0825C2" w14:textId="77777777" w:rsidR="0083661C" w:rsidRPr="0083661C" w:rsidRDefault="0083661C" w:rsidP="00533895">
            <w:pPr>
              <w:spacing w:before="0" w:after="0"/>
              <w:ind w:left="80"/>
              <w:jc w:val="both"/>
              <w:rPr>
                <w:rFonts w:eastAsia="Times New Roman" w:cs="Times New Roman"/>
                <w:i/>
                <w:szCs w:val="24"/>
              </w:rPr>
            </w:pPr>
            <w:r w:rsidRPr="0083661C">
              <w:rPr>
                <w:rFonts w:eastAsia="Times New Roman" w:cs="Times New Roman"/>
                <w:szCs w:val="24"/>
              </w:rPr>
              <w:t xml:space="preserve">0.02 </w:t>
            </w:r>
            <w:r w:rsidRPr="0083661C">
              <w:rPr>
                <w:rFonts w:eastAsia="Times New Roman" w:cs="Times New Roman"/>
                <w:i/>
                <w:szCs w:val="24"/>
              </w:rPr>
              <w:t>(0.01)</w:t>
            </w:r>
          </w:p>
        </w:tc>
      </w:tr>
    </w:tbl>
    <w:p w14:paraId="7B65BC41" w14:textId="56F60BBC" w:rsidR="00DE23E8" w:rsidRDefault="00F207BB" w:rsidP="00F207BB">
      <w:pPr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Supplementary </w:t>
      </w:r>
      <w:r w:rsidR="0083661C" w:rsidRPr="0083661C">
        <w:rPr>
          <w:rFonts w:eastAsia="Times New Roman" w:cs="Times New Roman"/>
          <w:b/>
          <w:szCs w:val="24"/>
        </w:rPr>
        <w:t xml:space="preserve">Table 1. Overall confidence distribution for younger (YA) and older (OA) adults. </w:t>
      </w:r>
      <w:r w:rsidR="0083661C" w:rsidRPr="0083661C">
        <w:rPr>
          <w:rFonts w:eastAsia="Times New Roman" w:cs="Times New Roman"/>
          <w:szCs w:val="24"/>
        </w:rPr>
        <w:t>Standard errors are shown in the brackets.</w:t>
      </w:r>
    </w:p>
    <w:p w14:paraId="34C5C362" w14:textId="2155AB1F" w:rsidR="00DD32B2" w:rsidRDefault="00DD32B2" w:rsidP="00DD32B2">
      <w:pPr>
        <w:pStyle w:val="Heading1"/>
        <w:rPr>
          <w:rFonts w:eastAsia="Times New Roman"/>
        </w:rPr>
      </w:pPr>
      <w:r>
        <w:rPr>
          <w:rFonts w:eastAsia="Times New Roman"/>
        </w:rPr>
        <w:t>Rates of missing responses</w:t>
      </w:r>
    </w:p>
    <w:p w14:paraId="5D0AF8B8" w14:textId="5F28377E" w:rsidR="00DD32B2" w:rsidRDefault="00DD32B2" w:rsidP="00DD32B2">
      <w:pPr>
        <w:jc w:val="both"/>
      </w:pPr>
      <w:r w:rsidRPr="00DD32B2">
        <w:t>An unpaired t-test for rate of missing responses for lures (see Table 1 in the main text) revealed no significant age-differences (</w:t>
      </w:r>
      <w:r w:rsidRPr="00DD32B2">
        <w:rPr>
          <w:i/>
          <w:iCs/>
        </w:rPr>
        <w:t xml:space="preserve">t(59) </w:t>
      </w:r>
      <w:r w:rsidRPr="00DD32B2">
        <w:t xml:space="preserve">= -1.85, </w:t>
      </w:r>
      <w:r w:rsidRPr="00DD32B2">
        <w:rPr>
          <w:i/>
          <w:iCs/>
        </w:rPr>
        <w:t>p</w:t>
      </w:r>
      <w:r w:rsidRPr="00DD32B2">
        <w:t xml:space="preserve"> = 0.07). Similarly, an unpaired t-test for rate of missing responses for foils (see Table 1 in the main text) revealed no significant age-differences (</w:t>
      </w:r>
      <w:r w:rsidRPr="00DD32B2">
        <w:rPr>
          <w:i/>
          <w:iCs/>
        </w:rPr>
        <w:t>t(59)</w:t>
      </w:r>
      <w:r w:rsidRPr="00DD32B2">
        <w:t xml:space="preserve"> = -0.18, </w:t>
      </w:r>
      <w:r w:rsidRPr="00DD32B2">
        <w:rPr>
          <w:i/>
          <w:iCs/>
        </w:rPr>
        <w:t>p</w:t>
      </w:r>
      <w:r w:rsidRPr="00DD32B2">
        <w:t xml:space="preserve"> = 0.86). An unpaired t-test for rate of missing responses for targets (see Table 1 in the main text) revealed significant age-differences (</w:t>
      </w:r>
      <w:r w:rsidRPr="00DD32B2">
        <w:rPr>
          <w:i/>
          <w:iCs/>
        </w:rPr>
        <w:t>t(59)</w:t>
      </w:r>
      <w:r w:rsidRPr="00DD32B2">
        <w:t xml:space="preserve"> = -3.40, </w:t>
      </w:r>
      <w:r w:rsidRPr="00DD32B2">
        <w:rPr>
          <w:i/>
          <w:iCs/>
        </w:rPr>
        <w:t>p</w:t>
      </w:r>
      <w:r w:rsidRPr="00DD32B2">
        <w:t xml:space="preserve"> = 0.001), with older adults presenting more missing responses than younger adults.</w:t>
      </w:r>
    </w:p>
    <w:p w14:paraId="4E23C26E" w14:textId="74532A98" w:rsidR="00DD32B2" w:rsidRDefault="00DD32B2" w:rsidP="00DD32B2">
      <w:pPr>
        <w:pStyle w:val="Heading1"/>
        <w:rPr>
          <w:rFonts w:eastAsia="Times New Roman"/>
        </w:rPr>
      </w:pPr>
      <w:r>
        <w:rPr>
          <w:rFonts w:eastAsia="Times New Roman"/>
        </w:rPr>
        <w:t>Decision criterion</w:t>
      </w:r>
    </w:p>
    <w:p w14:paraId="382D1685" w14:textId="50E2253F" w:rsidR="00DD32B2" w:rsidRPr="00DD32B2" w:rsidRDefault="00DD32B2" w:rsidP="00DD32B2">
      <w:pPr>
        <w:spacing w:before="240"/>
        <w:jc w:val="both"/>
        <w:rPr>
          <w:rFonts w:eastAsia="Times New Roman" w:cs="Times New Roman"/>
        </w:rPr>
      </w:pPr>
      <w:r w:rsidRPr="007E1AF7">
        <w:rPr>
          <w:rFonts w:eastAsia="Times New Roman" w:cs="Times New Roman"/>
        </w:rPr>
        <w:t xml:space="preserve">The decision criterion – a bias measure derived from Signal Detection Theory and calculated as </w:t>
      </w:r>
      <w:r w:rsidRPr="007E1AF7">
        <w:rPr>
          <w:rFonts w:eastAsia="Times New Roman" w:cs="Times New Roman"/>
          <w:i/>
        </w:rPr>
        <w:t>c=-0.5*(z(Hit) + z(FA))</w:t>
      </w:r>
      <w:r w:rsidRPr="007E1AF7">
        <w:rPr>
          <w:rFonts w:eastAsia="Times New Roman" w:cs="Times New Roman"/>
        </w:rPr>
        <w:t xml:space="preserve"> (see Macmillan and Creelman, 2004). Same as in </w:t>
      </w:r>
      <w:r w:rsidRPr="007E1AF7">
        <w:rPr>
          <w:rFonts w:eastAsia="Times New Roman" w:cs="Times New Roman"/>
          <w:i/>
          <w:iCs/>
        </w:rPr>
        <w:t xml:space="preserve">d’ </w:t>
      </w:r>
      <w:r w:rsidRPr="007E1AF7">
        <w:rPr>
          <w:rFonts w:eastAsia="Times New Roman" w:cs="Times New Roman"/>
        </w:rPr>
        <w:t>analyses, Hit- and FA-rates were transformed by adding 0.5 to raw scores and dividing by N+1, where N is the number of old or new trials, respectively (see Snodgrass and Corwin, 1988). An unpaired t-test for decision criterion derived from lures and targets revealed no significant age-differences (</w:t>
      </w:r>
      <w:r w:rsidRPr="007E1AF7">
        <w:rPr>
          <w:rFonts w:eastAsia="Times New Roman" w:cs="Times New Roman"/>
          <w:i/>
        </w:rPr>
        <w:t>t(59) =</w:t>
      </w:r>
      <w:r w:rsidRPr="007E1AF7">
        <w:rPr>
          <w:rFonts w:eastAsia="Times New Roman" w:cs="Times New Roman"/>
        </w:rPr>
        <w:t xml:space="preserve"> 0.14, </w:t>
      </w:r>
      <w:r w:rsidRPr="007E1AF7">
        <w:rPr>
          <w:rFonts w:eastAsia="Times New Roman" w:cs="Times New Roman"/>
          <w:i/>
          <w:iCs/>
        </w:rPr>
        <w:t>p</w:t>
      </w:r>
      <w:r w:rsidRPr="007E1AF7">
        <w:rPr>
          <w:rFonts w:eastAsia="Times New Roman" w:cs="Times New Roman"/>
        </w:rPr>
        <w:t xml:space="preserve">=0.89), showing that younger and older adults did not differ in their tendency to decide whether stimulus is “same” or “different” (YA M = 0.18, SE = 0.05; OA M = 0.17, SE = 0.08). </w:t>
      </w:r>
    </w:p>
    <w:sectPr w:rsidR="00DD32B2" w:rsidRPr="00DD32B2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205D7" w14:textId="77777777" w:rsidR="00FF2825" w:rsidRDefault="00FF2825" w:rsidP="00117666">
      <w:pPr>
        <w:spacing w:after="0"/>
      </w:pPr>
      <w:r>
        <w:separator/>
      </w:r>
    </w:p>
  </w:endnote>
  <w:endnote w:type="continuationSeparator" w:id="0">
    <w:p w14:paraId="7F235B26" w14:textId="77777777" w:rsidR="00FF2825" w:rsidRDefault="00FF282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C2AC8" w14:textId="77777777" w:rsidR="00FF2825" w:rsidRDefault="00FF2825" w:rsidP="00117666">
      <w:pPr>
        <w:spacing w:after="0"/>
      </w:pPr>
      <w:r>
        <w:separator/>
      </w:r>
    </w:p>
  </w:footnote>
  <w:footnote w:type="continuationSeparator" w:id="0">
    <w:p w14:paraId="0ECFD650" w14:textId="77777777" w:rsidR="00FF2825" w:rsidRDefault="00FF282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33895"/>
    <w:rsid w:val="00593EEA"/>
    <w:rsid w:val="005A5EEE"/>
    <w:rsid w:val="006375C7"/>
    <w:rsid w:val="00654E8F"/>
    <w:rsid w:val="00660D05"/>
    <w:rsid w:val="006820B1"/>
    <w:rsid w:val="006B7D14"/>
    <w:rsid w:val="006C457A"/>
    <w:rsid w:val="00701727"/>
    <w:rsid w:val="0070566C"/>
    <w:rsid w:val="00714C50"/>
    <w:rsid w:val="00725A7D"/>
    <w:rsid w:val="007501BE"/>
    <w:rsid w:val="00790BB3"/>
    <w:rsid w:val="007C206C"/>
    <w:rsid w:val="00817DD6"/>
    <w:rsid w:val="0083661C"/>
    <w:rsid w:val="0083759F"/>
    <w:rsid w:val="00885156"/>
    <w:rsid w:val="009151AA"/>
    <w:rsid w:val="0093429D"/>
    <w:rsid w:val="00943573"/>
    <w:rsid w:val="00964134"/>
    <w:rsid w:val="00970F7D"/>
    <w:rsid w:val="00994A3D"/>
    <w:rsid w:val="009B4300"/>
    <w:rsid w:val="009C2B12"/>
    <w:rsid w:val="00A174D9"/>
    <w:rsid w:val="00A40C80"/>
    <w:rsid w:val="00A91A51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103A5"/>
    <w:rsid w:val="00DB0831"/>
    <w:rsid w:val="00DB59C3"/>
    <w:rsid w:val="00DC259A"/>
    <w:rsid w:val="00DD32B2"/>
    <w:rsid w:val="00DE23E8"/>
    <w:rsid w:val="00E52377"/>
    <w:rsid w:val="00E537AD"/>
    <w:rsid w:val="00E64E17"/>
    <w:rsid w:val="00E866C9"/>
    <w:rsid w:val="00EA3D3C"/>
    <w:rsid w:val="00EC090A"/>
    <w:rsid w:val="00ED20B5"/>
    <w:rsid w:val="00F207BB"/>
    <w:rsid w:val="00F46900"/>
    <w:rsid w:val="00F61D89"/>
    <w:rsid w:val="00FD3905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B4F401D-588A-47A1-903D-2492FFCA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13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Barbara Wachowicz</cp:lastModifiedBy>
  <cp:revision>11</cp:revision>
  <cp:lastPrinted>2013-10-03T12:51:00Z</cp:lastPrinted>
  <dcterms:created xsi:type="dcterms:W3CDTF">2018-11-23T08:58:00Z</dcterms:created>
  <dcterms:modified xsi:type="dcterms:W3CDTF">2019-12-02T18:41:00Z</dcterms:modified>
</cp:coreProperties>
</file>