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3140F" w14:textId="77777777" w:rsidR="003D266B" w:rsidRDefault="00654E8F" w:rsidP="003D266B">
      <w:pPr>
        <w:pStyle w:val="SupplementaryMaterial"/>
      </w:pPr>
      <w:r w:rsidRPr="001549D3">
        <w:t>Supplementary Material</w:t>
      </w:r>
    </w:p>
    <w:p w14:paraId="195C38D3" w14:textId="77777777" w:rsidR="003D266B" w:rsidRDefault="003D266B" w:rsidP="003D266B">
      <w:pPr>
        <w:pStyle w:val="SupplementaryMaterial"/>
      </w:pPr>
    </w:p>
    <w:p w14:paraId="2CBD121C" w14:textId="712B9D20" w:rsidR="003D266B" w:rsidRDefault="0023528A" w:rsidP="003D266B">
      <w:pPr>
        <w:pStyle w:val="SupplementaryMaterial"/>
      </w:pPr>
      <w:r>
        <w:rPr>
          <w:noProof/>
          <w:sz w:val="24"/>
          <w:szCs w:val="24"/>
          <w:lang w:eastAsia="zh-CN"/>
        </w:rPr>
        <w:object w:dxaOrig="1440" w:dyaOrig="1440" w14:anchorId="710ACE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0.2pt;margin-top:23.55pt;width:103.85pt;height:79.5pt;z-index:251658240;mso-position-horizontal-relative:text;mso-position-vertical-relative:text">
            <v:imagedata r:id="rId8" o:title=""/>
          </v:shape>
          <o:OLEObject Type="Embed" ProgID="ChemDraw.Document.6.0" ShapeID="_x0000_s1026" DrawAspect="Content" ObjectID="_1635933301" r:id="rId9"/>
        </w:object>
      </w:r>
    </w:p>
    <w:p w14:paraId="69EF0D85" w14:textId="77777777" w:rsidR="003D266B" w:rsidRDefault="003D266B" w:rsidP="003D266B">
      <w:pPr>
        <w:pStyle w:val="SupplementaryMaterial"/>
      </w:pPr>
    </w:p>
    <w:p w14:paraId="327CAC98" w14:textId="77777777" w:rsidR="003D266B" w:rsidRDefault="003D266B" w:rsidP="003D266B">
      <w:pPr>
        <w:pStyle w:val="SupplementaryMaterial"/>
      </w:pPr>
    </w:p>
    <w:p w14:paraId="6EF6E9DE" w14:textId="77777777" w:rsidR="003D266B" w:rsidRDefault="003D266B" w:rsidP="003D266B">
      <w:pPr>
        <w:pStyle w:val="SupplementaryMaterial"/>
      </w:pPr>
    </w:p>
    <w:p w14:paraId="7B65BC41" w14:textId="2CA8839C" w:rsidR="00DE23E8" w:rsidRDefault="00994A3D" w:rsidP="003D266B">
      <w:pPr>
        <w:pStyle w:val="SupplementaryMaterial"/>
        <w:jc w:val="left"/>
        <w:rPr>
          <w:b w:val="0"/>
          <w:i w:val="0"/>
          <w:sz w:val="24"/>
          <w:szCs w:val="24"/>
        </w:rPr>
      </w:pPr>
      <w:r w:rsidRPr="003D266B">
        <w:rPr>
          <w:i w:val="0"/>
          <w:sz w:val="24"/>
          <w:szCs w:val="24"/>
        </w:rPr>
        <w:t xml:space="preserve">Supplementary Figure </w:t>
      </w:r>
      <w:r w:rsidR="00973127" w:rsidRPr="003D266B">
        <w:rPr>
          <w:i w:val="0"/>
          <w:sz w:val="24"/>
          <w:szCs w:val="24"/>
        </w:rPr>
        <w:t>1</w:t>
      </w:r>
      <w:r w:rsidRPr="003D266B">
        <w:rPr>
          <w:i w:val="0"/>
          <w:sz w:val="24"/>
          <w:szCs w:val="24"/>
        </w:rPr>
        <w:t>.</w:t>
      </w:r>
      <w:r w:rsidRPr="003D266B">
        <w:rPr>
          <w:b w:val="0"/>
          <w:i w:val="0"/>
          <w:sz w:val="24"/>
          <w:szCs w:val="24"/>
        </w:rPr>
        <w:t xml:space="preserve"> </w:t>
      </w:r>
      <w:r w:rsidR="008E4D0A" w:rsidRPr="003D266B">
        <w:rPr>
          <w:b w:val="0"/>
          <w:i w:val="0"/>
          <w:sz w:val="24"/>
          <w:szCs w:val="24"/>
        </w:rPr>
        <w:t>2,6-DiiodoBodipy showing ISC</w:t>
      </w:r>
      <w:r w:rsidR="00D31127" w:rsidRPr="00D31127">
        <w:t xml:space="preserve"> </w:t>
      </w:r>
      <w:r w:rsidR="00D31127" w:rsidRPr="00D31127">
        <w:rPr>
          <w:b w:val="0"/>
          <w:i w:val="0"/>
          <w:sz w:val="24"/>
          <w:szCs w:val="24"/>
        </w:rPr>
        <w:t>(</w:t>
      </w:r>
      <w:proofErr w:type="spellStart"/>
      <w:r w:rsidR="00D31127" w:rsidRPr="00D31127">
        <w:rPr>
          <w:b w:val="0"/>
          <w:i w:val="0"/>
          <w:sz w:val="24"/>
          <w:szCs w:val="24"/>
        </w:rPr>
        <w:t>Yogo</w:t>
      </w:r>
      <w:proofErr w:type="spellEnd"/>
      <w:r w:rsidR="00D31127" w:rsidRPr="00D31127">
        <w:rPr>
          <w:b w:val="0"/>
          <w:i w:val="0"/>
          <w:sz w:val="24"/>
          <w:szCs w:val="24"/>
        </w:rPr>
        <w:t xml:space="preserve"> et al., 2005)</w:t>
      </w:r>
      <w:r w:rsidR="00D31127" w:rsidRPr="003D266B">
        <w:rPr>
          <w:b w:val="0"/>
          <w:i w:val="0"/>
          <w:sz w:val="24"/>
          <w:szCs w:val="24"/>
        </w:rPr>
        <w:t>.</w:t>
      </w:r>
    </w:p>
    <w:p w14:paraId="348B612C" w14:textId="43C2220C" w:rsidR="003D266B" w:rsidRDefault="003D266B" w:rsidP="003D266B">
      <w:pPr>
        <w:pStyle w:val="Title"/>
        <w:rPr>
          <w:sz w:val="24"/>
          <w:szCs w:val="24"/>
          <w:highlight w:val="yellow"/>
        </w:rPr>
      </w:pPr>
      <w:r w:rsidRPr="003D266B">
        <w:rPr>
          <w:noProof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 wp14:anchorId="3ABA4A08" wp14:editId="3AF03647">
            <wp:simplePos x="0" y="0"/>
            <wp:positionH relativeFrom="page">
              <wp:posOffset>3117850</wp:posOffset>
            </wp:positionH>
            <wp:positionV relativeFrom="paragraph">
              <wp:posOffset>82550</wp:posOffset>
            </wp:positionV>
            <wp:extent cx="1938020" cy="1685790"/>
            <wp:effectExtent l="0" t="0" r="5080" b="0"/>
            <wp:wrapNone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020" cy="1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D89A6" w14:textId="77777777" w:rsidR="003D266B" w:rsidRDefault="003D266B" w:rsidP="003D266B">
      <w:pPr>
        <w:pStyle w:val="Title"/>
        <w:rPr>
          <w:sz w:val="24"/>
          <w:szCs w:val="24"/>
          <w:highlight w:val="yellow"/>
        </w:rPr>
      </w:pPr>
    </w:p>
    <w:p w14:paraId="7F6AA365" w14:textId="77777777" w:rsidR="003D266B" w:rsidRDefault="003D266B" w:rsidP="003D266B">
      <w:pPr>
        <w:pStyle w:val="Title"/>
        <w:rPr>
          <w:sz w:val="24"/>
          <w:szCs w:val="24"/>
          <w:highlight w:val="yellow"/>
        </w:rPr>
      </w:pPr>
    </w:p>
    <w:p w14:paraId="340E0826" w14:textId="77777777" w:rsidR="003D266B" w:rsidRDefault="003D266B" w:rsidP="003D266B">
      <w:pPr>
        <w:pStyle w:val="Title"/>
        <w:rPr>
          <w:sz w:val="24"/>
          <w:szCs w:val="24"/>
          <w:highlight w:val="yellow"/>
        </w:rPr>
      </w:pPr>
    </w:p>
    <w:p w14:paraId="6C9064B1" w14:textId="77777777" w:rsidR="003D266B" w:rsidRPr="008B22F4" w:rsidRDefault="003D266B" w:rsidP="003D266B">
      <w:pPr>
        <w:pStyle w:val="Title"/>
        <w:rPr>
          <w:sz w:val="24"/>
          <w:szCs w:val="24"/>
        </w:rPr>
      </w:pPr>
    </w:p>
    <w:p w14:paraId="773EBF82" w14:textId="77777777" w:rsidR="00D31127" w:rsidRDefault="008C12E0" w:rsidP="003D266B">
      <w:pPr>
        <w:pStyle w:val="Title"/>
        <w:jc w:val="left"/>
        <w:rPr>
          <w:b w:val="0"/>
          <w:sz w:val="24"/>
          <w:szCs w:val="24"/>
        </w:rPr>
      </w:pPr>
      <w:r w:rsidRPr="008B22F4">
        <w:rPr>
          <w:sz w:val="24"/>
          <w:szCs w:val="24"/>
        </w:rPr>
        <w:t xml:space="preserve">Supplementary Figure 2. </w:t>
      </w:r>
      <w:r w:rsidRPr="008B22F4">
        <w:rPr>
          <w:b w:val="0"/>
          <w:sz w:val="24"/>
          <w:szCs w:val="24"/>
        </w:rPr>
        <w:t xml:space="preserve">The ISC mechanism of </w:t>
      </w:r>
      <w:proofErr w:type="spellStart"/>
      <w:r w:rsidRPr="008B22F4">
        <w:rPr>
          <w:b w:val="0"/>
          <w:sz w:val="24"/>
          <w:szCs w:val="24"/>
        </w:rPr>
        <w:t>iodo</w:t>
      </w:r>
      <w:proofErr w:type="spellEnd"/>
      <w:r w:rsidRPr="008B22F4">
        <w:rPr>
          <w:b w:val="0"/>
          <w:sz w:val="24"/>
          <w:szCs w:val="24"/>
        </w:rPr>
        <w:t xml:space="preserve">-substituted </w:t>
      </w:r>
      <w:proofErr w:type="spellStart"/>
      <w:r w:rsidRPr="008B22F4">
        <w:rPr>
          <w:b w:val="0"/>
          <w:sz w:val="24"/>
          <w:szCs w:val="24"/>
        </w:rPr>
        <w:t>Bodipy</w:t>
      </w:r>
      <w:proofErr w:type="spellEnd"/>
      <w:r w:rsidRPr="008B22F4">
        <w:rPr>
          <w:b w:val="0"/>
          <w:sz w:val="24"/>
          <w:szCs w:val="24"/>
        </w:rPr>
        <w:t>. IC denotes internal conversion. Figure reproduced from data in Nakashima et al. (2018).</w:t>
      </w:r>
    </w:p>
    <w:p w14:paraId="4EB67CE4" w14:textId="5A5C6465" w:rsidR="00D31127" w:rsidRDefault="00D31127" w:rsidP="003D266B">
      <w:pPr>
        <w:pStyle w:val="Title"/>
        <w:jc w:val="left"/>
        <w:rPr>
          <w:b w:val="0"/>
          <w:sz w:val="24"/>
          <w:szCs w:val="24"/>
        </w:rPr>
      </w:pPr>
      <w:r w:rsidRPr="003D266B">
        <w:rPr>
          <w:noProof/>
          <w:sz w:val="24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 wp14:anchorId="6A09484B" wp14:editId="16DD3D40">
            <wp:simplePos x="0" y="0"/>
            <wp:positionH relativeFrom="column">
              <wp:posOffset>1847850</wp:posOffset>
            </wp:positionH>
            <wp:positionV relativeFrom="paragraph">
              <wp:posOffset>8255</wp:posOffset>
            </wp:positionV>
            <wp:extent cx="2960508" cy="1875155"/>
            <wp:effectExtent l="0" t="0" r="0" b="0"/>
            <wp:wrapNone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374"/>
                    <a:stretch/>
                  </pic:blipFill>
                  <pic:spPr bwMode="auto">
                    <a:xfrm>
                      <a:off x="0" y="0"/>
                      <a:ext cx="2960508" cy="187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EB2C5E" w14:textId="77777777" w:rsidR="00D31127" w:rsidRDefault="00D31127" w:rsidP="003D266B">
      <w:pPr>
        <w:pStyle w:val="Title"/>
        <w:jc w:val="left"/>
        <w:rPr>
          <w:b w:val="0"/>
          <w:sz w:val="24"/>
          <w:szCs w:val="24"/>
        </w:rPr>
      </w:pPr>
    </w:p>
    <w:p w14:paraId="5FCA1ED9" w14:textId="77777777" w:rsidR="00D31127" w:rsidRDefault="00D31127" w:rsidP="003D266B">
      <w:pPr>
        <w:pStyle w:val="Title"/>
        <w:jc w:val="left"/>
        <w:rPr>
          <w:b w:val="0"/>
          <w:sz w:val="24"/>
          <w:szCs w:val="24"/>
        </w:rPr>
      </w:pPr>
    </w:p>
    <w:p w14:paraId="186EC6B2" w14:textId="54B5BA36" w:rsidR="00D31127" w:rsidRDefault="00D31127" w:rsidP="003D266B">
      <w:pPr>
        <w:pStyle w:val="Title"/>
        <w:jc w:val="left"/>
        <w:rPr>
          <w:b w:val="0"/>
          <w:sz w:val="24"/>
          <w:szCs w:val="24"/>
        </w:rPr>
      </w:pPr>
    </w:p>
    <w:p w14:paraId="5AB58C4C" w14:textId="77777777" w:rsidR="00D31127" w:rsidRPr="00D31127" w:rsidRDefault="00D31127" w:rsidP="00D31127"/>
    <w:p w14:paraId="5C14F1A1" w14:textId="6C1E1D71" w:rsidR="008C12E0" w:rsidRPr="003D266B" w:rsidRDefault="00973127" w:rsidP="003D266B">
      <w:pPr>
        <w:pStyle w:val="Title"/>
        <w:jc w:val="left"/>
      </w:pPr>
      <w:r w:rsidRPr="008B22F4">
        <w:rPr>
          <w:sz w:val="24"/>
          <w:szCs w:val="24"/>
        </w:rPr>
        <w:t xml:space="preserve">Supplementary Figure 3. </w:t>
      </w:r>
      <w:r w:rsidRPr="008B22F4">
        <w:rPr>
          <w:b w:val="0"/>
          <w:sz w:val="24"/>
          <w:szCs w:val="24"/>
        </w:rPr>
        <w:t xml:space="preserve">The ISC mechanism of </w:t>
      </w:r>
      <w:r w:rsidR="000C7EC8" w:rsidRPr="008B22F4">
        <w:rPr>
          <w:b w:val="0"/>
          <w:sz w:val="24"/>
          <w:szCs w:val="24"/>
        </w:rPr>
        <w:sym w:font="Symbol" w:char="F073"/>
      </w:r>
      <w:r w:rsidR="000C7EC8" w:rsidRPr="008B22F4">
        <w:rPr>
          <w:b w:val="0"/>
          <w:sz w:val="24"/>
          <w:szCs w:val="24"/>
          <w:lang w:eastAsia="zh-CN"/>
        </w:rPr>
        <w:t>-</w:t>
      </w:r>
      <w:r w:rsidRPr="008B22F4">
        <w:rPr>
          <w:b w:val="0"/>
          <w:sz w:val="24"/>
          <w:szCs w:val="24"/>
        </w:rPr>
        <w:t xml:space="preserve">Pt-BODIPY complexes. BDP: </w:t>
      </w:r>
      <w:proofErr w:type="spellStart"/>
      <w:r w:rsidRPr="008B22F4">
        <w:rPr>
          <w:b w:val="0"/>
          <w:sz w:val="24"/>
          <w:szCs w:val="24"/>
        </w:rPr>
        <w:t>Bodipy</w:t>
      </w:r>
      <w:proofErr w:type="spellEnd"/>
      <w:r w:rsidRPr="008B22F4">
        <w:rPr>
          <w:b w:val="0"/>
          <w:sz w:val="24"/>
          <w:szCs w:val="24"/>
        </w:rPr>
        <w:t xml:space="preserve">, </w:t>
      </w:r>
      <w:proofErr w:type="spellStart"/>
      <w:r w:rsidRPr="008B22F4">
        <w:rPr>
          <w:b w:val="0"/>
          <w:sz w:val="24"/>
          <w:szCs w:val="24"/>
        </w:rPr>
        <w:t>SPyr</w:t>
      </w:r>
      <w:proofErr w:type="spellEnd"/>
      <w:r w:rsidRPr="008B22F4">
        <w:rPr>
          <w:b w:val="0"/>
          <w:sz w:val="24"/>
          <w:szCs w:val="24"/>
        </w:rPr>
        <w:t xml:space="preserve">: </w:t>
      </w:r>
      <w:proofErr w:type="spellStart"/>
      <w:r w:rsidRPr="008B22F4">
        <w:rPr>
          <w:b w:val="0"/>
          <w:sz w:val="24"/>
          <w:szCs w:val="24"/>
        </w:rPr>
        <w:t>mercaptopyrene</w:t>
      </w:r>
      <w:proofErr w:type="spellEnd"/>
      <w:r w:rsidRPr="008B22F4">
        <w:rPr>
          <w:b w:val="0"/>
          <w:sz w:val="24"/>
          <w:szCs w:val="24"/>
        </w:rPr>
        <w:t xml:space="preserve">, PB-CT: charge-transfer from the </w:t>
      </w:r>
      <w:proofErr w:type="spellStart"/>
      <w:r w:rsidRPr="008B22F4">
        <w:rPr>
          <w:b w:val="0"/>
          <w:sz w:val="24"/>
          <w:szCs w:val="24"/>
        </w:rPr>
        <w:t>mercaptopyrene</w:t>
      </w:r>
      <w:proofErr w:type="spellEnd"/>
      <w:r w:rsidRPr="008B22F4">
        <w:rPr>
          <w:b w:val="0"/>
          <w:sz w:val="24"/>
          <w:szCs w:val="24"/>
        </w:rPr>
        <w:t xml:space="preserve"> to BDP ligand. Figure reproduced from data in </w:t>
      </w:r>
      <w:proofErr w:type="spellStart"/>
      <w:r w:rsidRPr="008B22F4">
        <w:rPr>
          <w:b w:val="0"/>
          <w:sz w:val="24"/>
          <w:szCs w:val="24"/>
        </w:rPr>
        <w:t>Irmler</w:t>
      </w:r>
      <w:proofErr w:type="spellEnd"/>
      <w:r w:rsidRPr="008B22F4">
        <w:rPr>
          <w:b w:val="0"/>
          <w:sz w:val="24"/>
          <w:szCs w:val="24"/>
        </w:rPr>
        <w:t xml:space="preserve"> et al. (2019b).</w:t>
      </w:r>
    </w:p>
    <w:p w14:paraId="6E6A1577" w14:textId="54591D7B" w:rsidR="000C7EC8" w:rsidRPr="003D266B" w:rsidRDefault="00D31127" w:rsidP="008E4D0A">
      <w:pPr>
        <w:keepNext/>
        <w:rPr>
          <w:rFonts w:cs="Times New Roman"/>
          <w:szCs w:val="24"/>
        </w:rPr>
      </w:pPr>
      <w:r w:rsidRPr="003D266B">
        <w:rPr>
          <w:rFonts w:cs="Times New Roman"/>
          <w:noProof/>
          <w:szCs w:val="24"/>
          <w:lang w:eastAsia="zh-CN"/>
        </w:rPr>
        <w:lastRenderedPageBreak/>
        <w:drawing>
          <wp:anchor distT="0" distB="0" distL="114300" distR="114300" simplePos="0" relativeHeight="251664384" behindDoc="0" locked="0" layoutInCell="1" allowOverlap="1" wp14:anchorId="6D2A1A68" wp14:editId="64BE8F4F">
            <wp:simplePos x="0" y="0"/>
            <wp:positionH relativeFrom="page">
              <wp:posOffset>2729865</wp:posOffset>
            </wp:positionH>
            <wp:positionV relativeFrom="paragraph">
              <wp:posOffset>28575</wp:posOffset>
            </wp:positionV>
            <wp:extent cx="2199600" cy="1425600"/>
            <wp:effectExtent l="0" t="0" r="0" b="3175"/>
            <wp:wrapNone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00" cy="1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74ECE" w14:textId="60EA8958" w:rsidR="000C7EC8" w:rsidRPr="003D266B" w:rsidRDefault="000C7EC8" w:rsidP="008E4D0A">
      <w:pPr>
        <w:keepNext/>
        <w:rPr>
          <w:rFonts w:cs="Times New Roman"/>
          <w:szCs w:val="24"/>
        </w:rPr>
      </w:pPr>
    </w:p>
    <w:p w14:paraId="30784205" w14:textId="47E3AF77" w:rsidR="000C7EC8" w:rsidRPr="003D266B" w:rsidRDefault="000C7EC8" w:rsidP="008E4D0A">
      <w:pPr>
        <w:keepNext/>
        <w:rPr>
          <w:rFonts w:cs="Times New Roman"/>
          <w:szCs w:val="24"/>
        </w:rPr>
      </w:pPr>
    </w:p>
    <w:p w14:paraId="10DF38C6" w14:textId="1CAC62A0" w:rsidR="000C7EC8" w:rsidRPr="003D266B" w:rsidRDefault="000C7EC8" w:rsidP="008E4D0A">
      <w:pPr>
        <w:keepNext/>
        <w:rPr>
          <w:rFonts w:cs="Times New Roman"/>
          <w:szCs w:val="24"/>
        </w:rPr>
      </w:pPr>
    </w:p>
    <w:p w14:paraId="1C5045F4" w14:textId="0D8221D8" w:rsidR="000C7EC8" w:rsidRPr="003D266B" w:rsidRDefault="000C7EC8" w:rsidP="008E4D0A">
      <w:pPr>
        <w:keepNext/>
        <w:rPr>
          <w:rFonts w:cs="Times New Roman"/>
          <w:szCs w:val="24"/>
        </w:rPr>
      </w:pPr>
    </w:p>
    <w:p w14:paraId="46E8E905" w14:textId="17921932" w:rsidR="000C7EC8" w:rsidRPr="003D266B" w:rsidRDefault="000C7EC8" w:rsidP="000C7EC8">
      <w:pPr>
        <w:keepNext/>
        <w:rPr>
          <w:rFonts w:cs="Times New Roman"/>
          <w:szCs w:val="24"/>
        </w:rPr>
      </w:pPr>
      <w:r w:rsidRPr="008B22F4">
        <w:rPr>
          <w:rFonts w:cs="Times New Roman"/>
          <w:b/>
          <w:szCs w:val="24"/>
        </w:rPr>
        <w:t xml:space="preserve">Supplementary Figure </w:t>
      </w:r>
      <w:r w:rsidR="00921654" w:rsidRPr="008B22F4">
        <w:rPr>
          <w:rFonts w:cs="Times New Roman"/>
          <w:b/>
          <w:szCs w:val="24"/>
        </w:rPr>
        <w:t>4</w:t>
      </w:r>
      <w:r w:rsidRPr="008B22F4">
        <w:rPr>
          <w:rFonts w:cs="Times New Roman"/>
          <w:b/>
          <w:szCs w:val="24"/>
        </w:rPr>
        <w:t>.</w:t>
      </w:r>
      <w:r w:rsidRPr="008B22F4">
        <w:rPr>
          <w:rFonts w:cs="Times New Roman"/>
          <w:szCs w:val="24"/>
        </w:rPr>
        <w:t xml:space="preserve"> The molecular structure and the </w:t>
      </w:r>
      <w:proofErr w:type="spellStart"/>
      <w:r w:rsidRPr="008B22F4">
        <w:rPr>
          <w:rFonts w:cs="Times New Roman"/>
          <w:szCs w:val="24"/>
        </w:rPr>
        <w:t>Uv</w:t>
      </w:r>
      <w:proofErr w:type="spellEnd"/>
      <w:r w:rsidRPr="008B22F4">
        <w:rPr>
          <w:rFonts w:cs="Times New Roman"/>
          <w:szCs w:val="24"/>
        </w:rPr>
        <w:t xml:space="preserve">-vis absorption spectra of </w:t>
      </w:r>
      <w:proofErr w:type="spellStart"/>
      <w:r w:rsidRPr="008B22F4">
        <w:rPr>
          <w:rFonts w:cs="Times New Roman"/>
          <w:szCs w:val="24"/>
        </w:rPr>
        <w:t>Bodipy</w:t>
      </w:r>
      <w:proofErr w:type="spellEnd"/>
      <w:r w:rsidRPr="008B22F4">
        <w:rPr>
          <w:rFonts w:cs="Times New Roman"/>
          <w:szCs w:val="24"/>
        </w:rPr>
        <w:t xml:space="preserve"> dimer. Figure reproduced from data in </w:t>
      </w:r>
      <w:proofErr w:type="spellStart"/>
      <w:r w:rsidRPr="008B22F4">
        <w:rPr>
          <w:rFonts w:cs="Times New Roman"/>
          <w:szCs w:val="24"/>
        </w:rPr>
        <w:t>Bröring</w:t>
      </w:r>
      <w:proofErr w:type="spellEnd"/>
      <w:r w:rsidRPr="008B22F4">
        <w:rPr>
          <w:rFonts w:cs="Times New Roman"/>
          <w:szCs w:val="24"/>
        </w:rPr>
        <w:t xml:space="preserve"> et al. (2008)</w:t>
      </w:r>
    </w:p>
    <w:p w14:paraId="7FF10289" w14:textId="5ADD57DF" w:rsidR="00921654" w:rsidRPr="003D266B" w:rsidRDefault="006B01C4" w:rsidP="008E4D0A">
      <w:pPr>
        <w:keepNext/>
        <w:rPr>
          <w:rFonts w:cs="Times New Roman"/>
          <w:szCs w:val="24"/>
        </w:rPr>
      </w:pPr>
      <w:r w:rsidRPr="003D266B">
        <w:rPr>
          <w:rFonts w:eastAsia="DengXian" w:cs="Times New Roman"/>
          <w:noProof/>
          <w:szCs w:val="24"/>
          <w:lang w:eastAsia="zh-CN"/>
        </w:rPr>
        <w:drawing>
          <wp:anchor distT="0" distB="0" distL="114300" distR="114300" simplePos="0" relativeHeight="251666432" behindDoc="0" locked="0" layoutInCell="1" allowOverlap="1" wp14:anchorId="20E41894" wp14:editId="442F32DB">
            <wp:simplePos x="0" y="0"/>
            <wp:positionH relativeFrom="column">
              <wp:posOffset>1879600</wp:posOffset>
            </wp:positionH>
            <wp:positionV relativeFrom="paragraph">
              <wp:posOffset>5715</wp:posOffset>
            </wp:positionV>
            <wp:extent cx="2450465" cy="1812290"/>
            <wp:effectExtent l="0" t="0" r="6985" b="0"/>
            <wp:wrapNone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5665" b="13617"/>
                    <a:stretch/>
                  </pic:blipFill>
                  <pic:spPr bwMode="auto">
                    <a:xfrm>
                      <a:off x="0" y="0"/>
                      <a:ext cx="2450465" cy="181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F9FE0" w14:textId="06E530A5" w:rsidR="00921654" w:rsidRPr="003D266B" w:rsidRDefault="00921654" w:rsidP="008E4D0A">
      <w:pPr>
        <w:keepNext/>
        <w:rPr>
          <w:rFonts w:cs="Times New Roman"/>
          <w:szCs w:val="24"/>
        </w:rPr>
      </w:pPr>
    </w:p>
    <w:p w14:paraId="557A6814" w14:textId="77777777" w:rsidR="00921654" w:rsidRPr="003D266B" w:rsidRDefault="00921654" w:rsidP="008E4D0A">
      <w:pPr>
        <w:keepNext/>
        <w:rPr>
          <w:rFonts w:cs="Times New Roman"/>
          <w:szCs w:val="24"/>
        </w:rPr>
      </w:pPr>
    </w:p>
    <w:p w14:paraId="104E1181" w14:textId="526024B4" w:rsidR="00921654" w:rsidRPr="003D266B" w:rsidRDefault="00921654" w:rsidP="008E4D0A">
      <w:pPr>
        <w:keepNext/>
        <w:rPr>
          <w:rFonts w:cs="Times New Roman"/>
          <w:szCs w:val="24"/>
        </w:rPr>
      </w:pPr>
    </w:p>
    <w:p w14:paraId="4D6CE7C1" w14:textId="690CE33F" w:rsidR="00921654" w:rsidRPr="003D266B" w:rsidRDefault="00921654" w:rsidP="008E4D0A">
      <w:pPr>
        <w:keepNext/>
        <w:rPr>
          <w:rFonts w:cs="Times New Roman"/>
          <w:szCs w:val="24"/>
        </w:rPr>
      </w:pPr>
    </w:p>
    <w:p w14:paraId="1BC15814" w14:textId="566E088D" w:rsidR="00921654" w:rsidRPr="003D266B" w:rsidRDefault="00921654" w:rsidP="008E4D0A">
      <w:pPr>
        <w:keepNext/>
        <w:rPr>
          <w:rFonts w:cs="Times New Roman"/>
          <w:szCs w:val="24"/>
        </w:rPr>
      </w:pPr>
    </w:p>
    <w:p w14:paraId="5BE342CD" w14:textId="0D413F5E" w:rsidR="00921654" w:rsidRDefault="00921654" w:rsidP="00921654">
      <w:pPr>
        <w:keepNext/>
        <w:rPr>
          <w:rFonts w:cs="Times New Roman"/>
          <w:szCs w:val="24"/>
        </w:rPr>
      </w:pPr>
      <w:r w:rsidRPr="008B22F4">
        <w:rPr>
          <w:rFonts w:cs="Times New Roman"/>
          <w:b/>
          <w:szCs w:val="24"/>
        </w:rPr>
        <w:t>Supplementary Figure 5.</w:t>
      </w:r>
      <w:r w:rsidRPr="008B22F4">
        <w:rPr>
          <w:rFonts w:cs="Times New Roman"/>
          <w:szCs w:val="24"/>
        </w:rPr>
        <w:t xml:space="preserve"> SOCT-ISC mechanism. Figure reproduced from data in Dance et al. (2008)</w:t>
      </w:r>
    </w:p>
    <w:p w14:paraId="0F8DB88C" w14:textId="1B28A116" w:rsidR="00D31127" w:rsidRPr="003D266B" w:rsidRDefault="00D31127" w:rsidP="00921654">
      <w:pPr>
        <w:keepNext/>
        <w:rPr>
          <w:rFonts w:cs="Times New Roman"/>
          <w:szCs w:val="24"/>
        </w:rPr>
      </w:pPr>
      <w:r w:rsidRPr="003D266B">
        <w:rPr>
          <w:rFonts w:cs="Times New Roman"/>
          <w:noProof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 wp14:anchorId="3686CAE9" wp14:editId="400DD01C">
            <wp:simplePos x="0" y="0"/>
            <wp:positionH relativeFrom="column">
              <wp:posOffset>1377950</wp:posOffset>
            </wp:positionH>
            <wp:positionV relativeFrom="paragraph">
              <wp:posOffset>297815</wp:posOffset>
            </wp:positionV>
            <wp:extent cx="3063875" cy="1899920"/>
            <wp:effectExtent l="0" t="0" r="3175" b="5080"/>
            <wp:wrapNone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387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507EB" w14:textId="6C14D90D" w:rsidR="000C7EC8" w:rsidRPr="003D266B" w:rsidRDefault="000C7EC8" w:rsidP="008E4D0A">
      <w:pPr>
        <w:keepNext/>
        <w:rPr>
          <w:rFonts w:cs="Times New Roman"/>
          <w:szCs w:val="24"/>
        </w:rPr>
      </w:pPr>
    </w:p>
    <w:p w14:paraId="76D7B1AB" w14:textId="722E549C" w:rsidR="00AF1A37" w:rsidRPr="003D266B" w:rsidRDefault="00AF1A37" w:rsidP="008E4D0A">
      <w:pPr>
        <w:keepNext/>
        <w:rPr>
          <w:rFonts w:cs="Times New Roman"/>
          <w:szCs w:val="24"/>
        </w:rPr>
      </w:pPr>
    </w:p>
    <w:p w14:paraId="7670CE2B" w14:textId="42ABBEED" w:rsidR="00AF1A37" w:rsidRPr="003D266B" w:rsidRDefault="00AF1A37" w:rsidP="008E4D0A">
      <w:pPr>
        <w:keepNext/>
        <w:rPr>
          <w:rFonts w:cs="Times New Roman"/>
          <w:szCs w:val="24"/>
        </w:rPr>
      </w:pPr>
    </w:p>
    <w:p w14:paraId="51C857A6" w14:textId="6A2C4F21" w:rsidR="00AF1A37" w:rsidRPr="003D266B" w:rsidRDefault="00AF1A37" w:rsidP="008E4D0A">
      <w:pPr>
        <w:keepNext/>
        <w:rPr>
          <w:rFonts w:cs="Times New Roman"/>
          <w:szCs w:val="24"/>
        </w:rPr>
      </w:pPr>
    </w:p>
    <w:p w14:paraId="40E48FE9" w14:textId="77777777" w:rsidR="0059402E" w:rsidRPr="003D266B" w:rsidRDefault="0059402E" w:rsidP="008E4D0A">
      <w:pPr>
        <w:keepNext/>
        <w:rPr>
          <w:rFonts w:cs="Times New Roman"/>
          <w:szCs w:val="24"/>
        </w:rPr>
      </w:pPr>
    </w:p>
    <w:p w14:paraId="68E24937" w14:textId="227220F6" w:rsidR="00AF1A37" w:rsidRPr="003D266B" w:rsidRDefault="00AF1A37" w:rsidP="008E4D0A">
      <w:pPr>
        <w:keepNext/>
        <w:rPr>
          <w:rFonts w:cs="Times New Roman"/>
          <w:szCs w:val="24"/>
        </w:rPr>
      </w:pPr>
    </w:p>
    <w:p w14:paraId="7DF63B98" w14:textId="5D28EC94" w:rsidR="00AF1A37" w:rsidRPr="003D266B" w:rsidRDefault="00AF1A37" w:rsidP="00AF1A37">
      <w:pPr>
        <w:keepNext/>
        <w:rPr>
          <w:rFonts w:cs="Times New Roman"/>
          <w:szCs w:val="24"/>
        </w:rPr>
      </w:pPr>
      <w:r w:rsidRPr="008B22F4">
        <w:rPr>
          <w:rFonts w:cs="Times New Roman"/>
          <w:b/>
          <w:szCs w:val="24"/>
        </w:rPr>
        <w:t>Supplementary Figure 6.</w:t>
      </w:r>
      <w:r w:rsidRPr="008B22F4">
        <w:rPr>
          <w:rFonts w:cs="Times New Roman"/>
          <w:szCs w:val="24"/>
        </w:rPr>
        <w:t xml:space="preserve"> </w:t>
      </w:r>
      <w:r w:rsidR="00F15179" w:rsidRPr="008B22F4">
        <w:rPr>
          <w:rFonts w:cs="Times New Roman"/>
          <w:bCs/>
          <w:szCs w:val="24"/>
          <w:lang w:eastAsia="zh-CN"/>
        </w:rPr>
        <w:t xml:space="preserve">The photophysical processes of </w:t>
      </w:r>
      <w:r w:rsidR="00F15179" w:rsidRPr="008B22F4">
        <w:rPr>
          <w:rFonts w:cs="Times New Roman"/>
          <w:szCs w:val="24"/>
          <w:lang w:eastAsia="zh-CN"/>
        </w:rPr>
        <w:t>Bodipy-C</w:t>
      </w:r>
      <w:r w:rsidR="00F15179" w:rsidRPr="008B22F4">
        <w:rPr>
          <w:rFonts w:cs="Times New Roman"/>
          <w:szCs w:val="24"/>
          <w:vertAlign w:val="subscript"/>
          <w:lang w:eastAsia="zh-CN"/>
        </w:rPr>
        <w:t>60</w:t>
      </w:r>
      <w:r w:rsidR="00F15179" w:rsidRPr="008B22F4">
        <w:rPr>
          <w:rFonts w:cs="Times New Roman"/>
          <w:szCs w:val="24"/>
          <w:lang w:eastAsia="zh-CN"/>
        </w:rPr>
        <w:t xml:space="preserve"> dyad derivatives. Figure reproduced from data in </w:t>
      </w:r>
      <w:proofErr w:type="spellStart"/>
      <w:r w:rsidR="00F15179" w:rsidRPr="008B22F4">
        <w:rPr>
          <w:rFonts w:cs="Times New Roman"/>
          <w:szCs w:val="24"/>
          <w:lang w:eastAsia="zh-CN"/>
        </w:rPr>
        <w:t>Ziessel</w:t>
      </w:r>
      <w:proofErr w:type="spellEnd"/>
      <w:r w:rsidR="00F15179" w:rsidRPr="008B22F4">
        <w:rPr>
          <w:rFonts w:cs="Times New Roman"/>
          <w:szCs w:val="24"/>
          <w:lang w:eastAsia="zh-CN"/>
        </w:rPr>
        <w:t xml:space="preserve"> et al. (2009)</w:t>
      </w:r>
    </w:p>
    <w:p w14:paraId="0F673FD5" w14:textId="52F3A586" w:rsidR="00AF1A37" w:rsidRPr="003D266B" w:rsidRDefault="00AF1A37" w:rsidP="008E4D0A">
      <w:pPr>
        <w:keepNext/>
        <w:rPr>
          <w:rFonts w:cs="Times New Roman"/>
          <w:szCs w:val="24"/>
        </w:rPr>
      </w:pPr>
    </w:p>
    <w:p w14:paraId="6821E117" w14:textId="6954071C" w:rsidR="00AF1A37" w:rsidRPr="003D266B" w:rsidRDefault="00AF1A37" w:rsidP="008E4D0A">
      <w:pPr>
        <w:keepNext/>
        <w:rPr>
          <w:rFonts w:cs="Times New Roman"/>
          <w:szCs w:val="24"/>
        </w:rPr>
      </w:pPr>
    </w:p>
    <w:p w14:paraId="57A1B5BB" w14:textId="6B9D4ED5" w:rsidR="00AF1A37" w:rsidRPr="003D266B" w:rsidRDefault="00AF1A37" w:rsidP="008E4D0A">
      <w:pPr>
        <w:keepNext/>
        <w:rPr>
          <w:rFonts w:cs="Times New Roman"/>
          <w:szCs w:val="24"/>
        </w:rPr>
      </w:pPr>
    </w:p>
    <w:p w14:paraId="0CE620FE" w14:textId="3466ED96" w:rsidR="0059402E" w:rsidRPr="003D266B" w:rsidRDefault="0059402E" w:rsidP="008E4D0A">
      <w:pPr>
        <w:keepNext/>
        <w:rPr>
          <w:rFonts w:cs="Times New Roman"/>
          <w:szCs w:val="24"/>
        </w:rPr>
      </w:pPr>
    </w:p>
    <w:p w14:paraId="6BB55547" w14:textId="764B9531" w:rsidR="0059402E" w:rsidRPr="003D266B" w:rsidRDefault="0059402E" w:rsidP="008E4D0A">
      <w:pPr>
        <w:keepNext/>
        <w:rPr>
          <w:rFonts w:cs="Times New Roman"/>
          <w:szCs w:val="24"/>
        </w:rPr>
      </w:pPr>
      <w:r w:rsidRPr="003D266B">
        <w:rPr>
          <w:rFonts w:cs="Times New Roman"/>
          <w:noProof/>
          <w:szCs w:val="24"/>
          <w:lang w:eastAsia="zh-CN"/>
        </w:rPr>
        <w:drawing>
          <wp:anchor distT="0" distB="0" distL="114300" distR="114300" simplePos="0" relativeHeight="251670528" behindDoc="0" locked="0" layoutInCell="1" allowOverlap="1" wp14:anchorId="0D134C63" wp14:editId="75E7B73A">
            <wp:simplePos x="0" y="0"/>
            <wp:positionH relativeFrom="column">
              <wp:posOffset>1403350</wp:posOffset>
            </wp:positionH>
            <wp:positionV relativeFrom="paragraph">
              <wp:posOffset>31115</wp:posOffset>
            </wp:positionV>
            <wp:extent cx="3063240" cy="1359535"/>
            <wp:effectExtent l="0" t="0" r="3810" b="0"/>
            <wp:wrapNone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324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99171" w14:textId="2667FBFF" w:rsidR="0059402E" w:rsidRPr="003D266B" w:rsidRDefault="0059402E" w:rsidP="008E4D0A">
      <w:pPr>
        <w:keepNext/>
        <w:rPr>
          <w:rFonts w:cs="Times New Roman"/>
          <w:szCs w:val="24"/>
        </w:rPr>
      </w:pPr>
    </w:p>
    <w:p w14:paraId="45D1EF68" w14:textId="2566DD7C" w:rsidR="0059402E" w:rsidRPr="003D266B" w:rsidRDefault="0059402E" w:rsidP="008E4D0A">
      <w:pPr>
        <w:keepNext/>
        <w:rPr>
          <w:rFonts w:cs="Times New Roman"/>
          <w:szCs w:val="24"/>
        </w:rPr>
      </w:pPr>
    </w:p>
    <w:p w14:paraId="32E9280A" w14:textId="589E4839" w:rsidR="0059402E" w:rsidRPr="003D266B" w:rsidRDefault="0059402E" w:rsidP="008E4D0A">
      <w:pPr>
        <w:keepNext/>
        <w:rPr>
          <w:rFonts w:cs="Times New Roman"/>
          <w:szCs w:val="24"/>
        </w:rPr>
      </w:pPr>
    </w:p>
    <w:p w14:paraId="5E68FC9D" w14:textId="790D7045" w:rsidR="0059402E" w:rsidRPr="003D266B" w:rsidRDefault="0059402E" w:rsidP="008E4D0A">
      <w:pPr>
        <w:keepNext/>
        <w:rPr>
          <w:rFonts w:cs="Times New Roman"/>
          <w:szCs w:val="24"/>
        </w:rPr>
      </w:pPr>
    </w:p>
    <w:p w14:paraId="4724E71B" w14:textId="338E5096" w:rsidR="0059402E" w:rsidRPr="003D266B" w:rsidRDefault="0059402E" w:rsidP="0059402E">
      <w:pPr>
        <w:keepNext/>
        <w:rPr>
          <w:rFonts w:cs="Times New Roman"/>
          <w:szCs w:val="24"/>
        </w:rPr>
      </w:pPr>
      <w:bookmarkStart w:id="0" w:name="_GoBack"/>
      <w:bookmarkEnd w:id="0"/>
      <w:r w:rsidRPr="008B22F4">
        <w:rPr>
          <w:rFonts w:cs="Times New Roman"/>
          <w:b/>
          <w:szCs w:val="24"/>
        </w:rPr>
        <w:t xml:space="preserve">Supplementary Figure </w:t>
      </w:r>
      <w:r w:rsidR="00D31127" w:rsidRPr="008B22F4">
        <w:rPr>
          <w:rFonts w:cs="Times New Roman"/>
          <w:b/>
          <w:szCs w:val="24"/>
        </w:rPr>
        <w:t>7</w:t>
      </w:r>
      <w:r w:rsidRPr="008B22F4">
        <w:rPr>
          <w:rFonts w:cs="Times New Roman"/>
          <w:b/>
          <w:szCs w:val="24"/>
        </w:rPr>
        <w:t>.</w:t>
      </w:r>
      <w:r w:rsidRPr="008B22F4">
        <w:rPr>
          <w:rFonts w:cs="Times New Roman"/>
          <w:szCs w:val="24"/>
        </w:rPr>
        <w:t xml:space="preserve"> </w:t>
      </w:r>
      <w:r w:rsidR="00D31127" w:rsidRPr="008B22F4">
        <w:rPr>
          <w:rFonts w:cs="Times New Roman"/>
          <w:szCs w:val="24"/>
        </w:rPr>
        <w:t>T</w:t>
      </w:r>
      <w:r w:rsidR="00D31127" w:rsidRPr="008B22F4">
        <w:rPr>
          <w:rFonts w:cs="Times New Roman"/>
          <w:bCs/>
          <w:szCs w:val="24"/>
          <w:lang w:eastAsia="zh-CN"/>
        </w:rPr>
        <w:t xml:space="preserve">he radical enhanced ISC mechanism of </w:t>
      </w:r>
      <w:r w:rsidR="00D31127" w:rsidRPr="008B22F4">
        <w:rPr>
          <w:rFonts w:cs="Times New Roman"/>
          <w:b/>
          <w:bCs/>
          <w:szCs w:val="24"/>
          <w:lang w:eastAsia="zh-CN"/>
        </w:rPr>
        <w:t>44</w:t>
      </w:r>
      <w:r w:rsidR="00D31127" w:rsidRPr="008B22F4">
        <w:rPr>
          <w:rFonts w:cs="Times New Roman"/>
          <w:bCs/>
          <w:szCs w:val="24"/>
          <w:lang w:eastAsia="zh-CN"/>
        </w:rPr>
        <w:t>. Figure reproduced from data in Wang et al. (2017)</w:t>
      </w:r>
    </w:p>
    <w:p w14:paraId="2B4C937F" w14:textId="72A97F2C" w:rsidR="0059402E" w:rsidRDefault="0059402E" w:rsidP="008E4D0A">
      <w:pPr>
        <w:keepNext/>
      </w:pPr>
    </w:p>
    <w:p w14:paraId="6B80ADFF" w14:textId="7683F9E6" w:rsidR="00071DC7" w:rsidRDefault="00071DC7" w:rsidP="008E4D0A">
      <w:pPr>
        <w:keepNext/>
      </w:pPr>
    </w:p>
    <w:p w14:paraId="170798F7" w14:textId="77777777" w:rsidR="00071DC7" w:rsidRPr="00230831" w:rsidRDefault="00071DC7" w:rsidP="00071DC7">
      <w:pPr>
        <w:spacing w:line="480" w:lineRule="auto"/>
        <w:rPr>
          <w:rFonts w:ascii="Times" w:hAnsi="Times" w:cs="Times"/>
          <w:b/>
          <w:sz w:val="28"/>
          <w:szCs w:val="28"/>
        </w:rPr>
      </w:pPr>
      <w:r w:rsidRPr="00230831">
        <w:rPr>
          <w:rFonts w:ascii="Times" w:hAnsi="Times" w:cs="Times"/>
          <w:b/>
          <w:sz w:val="28"/>
          <w:szCs w:val="28"/>
        </w:rPr>
        <w:t>REFERENCES</w:t>
      </w:r>
    </w:p>
    <w:p w14:paraId="31578C7B" w14:textId="318814D5" w:rsidR="00071DC7" w:rsidRDefault="00071DC7" w:rsidP="00071DC7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bookmarkStart w:id="1" w:name="_ENREF_108"/>
      <w:r w:rsidRPr="00566EE6">
        <w:rPr>
          <w:rFonts w:ascii="Times New Roman" w:hAnsi="Times New Roman" w:cs="Times New Roman"/>
          <w:sz w:val="21"/>
          <w:szCs w:val="21"/>
        </w:rPr>
        <w:t>Yogo, T., Urano, Y., Ishitsuka, Y., Maniwa, F.,</w:t>
      </w:r>
      <w:r w:rsidR="0021124D">
        <w:rPr>
          <w:rFonts w:ascii="Times New Roman" w:hAnsi="Times New Roman" w:cs="Times New Roman"/>
          <w:sz w:val="21"/>
          <w:szCs w:val="21"/>
        </w:rPr>
        <w:t xml:space="preserve"> and Nagano, T. (2005). Highly efficient and photostable photosensitizer based on BODIPY c</w:t>
      </w:r>
      <w:r w:rsidRPr="00566EE6">
        <w:rPr>
          <w:rFonts w:ascii="Times New Roman" w:hAnsi="Times New Roman" w:cs="Times New Roman"/>
          <w:sz w:val="21"/>
          <w:szCs w:val="21"/>
        </w:rPr>
        <w:t xml:space="preserve">hromophore. </w:t>
      </w:r>
      <w:r w:rsidRPr="00566EE6">
        <w:rPr>
          <w:rFonts w:ascii="Times New Roman" w:hAnsi="Times New Roman" w:cs="Times New Roman"/>
          <w:i/>
          <w:sz w:val="21"/>
          <w:szCs w:val="21"/>
        </w:rPr>
        <w:t>J. Am. Chem. Soc.</w:t>
      </w:r>
      <w:r w:rsidRPr="00566EE6">
        <w:rPr>
          <w:rFonts w:ascii="Times New Roman" w:hAnsi="Times New Roman" w:cs="Times New Roman"/>
          <w:sz w:val="21"/>
          <w:szCs w:val="21"/>
        </w:rPr>
        <w:t xml:space="preserve"> 127, 12162</w:t>
      </w:r>
      <w:r w:rsidRPr="00566EE6">
        <w:rPr>
          <w:rFonts w:ascii="Times New Roman" w:hAnsi="Times New Roman" w:cs="Times New Roman"/>
          <w:sz w:val="21"/>
          <w:szCs w:val="21"/>
        </w:rPr>
        <w:sym w:font="Symbol" w:char="F02D"/>
      </w:r>
      <w:r w:rsidRPr="00566EE6">
        <w:rPr>
          <w:rFonts w:ascii="Times New Roman" w:hAnsi="Times New Roman" w:cs="Times New Roman"/>
          <w:sz w:val="21"/>
          <w:szCs w:val="21"/>
        </w:rPr>
        <w:t>12163. doi: 10.1021/ja0528533</w:t>
      </w:r>
      <w:bookmarkEnd w:id="1"/>
    </w:p>
    <w:p w14:paraId="59B75BCD" w14:textId="77777777" w:rsidR="00566EE6" w:rsidRPr="00566EE6" w:rsidRDefault="00566EE6" w:rsidP="00071DC7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</w:p>
    <w:p w14:paraId="2121DDCA" w14:textId="22E3166A" w:rsidR="00F540AA" w:rsidRDefault="00F540AA" w:rsidP="00566EE6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566EE6">
        <w:rPr>
          <w:rFonts w:ascii="Times New Roman" w:hAnsi="Times New Roman" w:cs="Times New Roman"/>
          <w:sz w:val="21"/>
          <w:szCs w:val="21"/>
        </w:rPr>
        <w:t xml:space="preserve">Nakashima, M., Iizuka, K., Karasawa, M., Ishii, K., and Kubo, Y. (2018). Selenium-containing bodipy dyes as photosensitizers for triplet–triplet annihilation upconversion. </w:t>
      </w:r>
      <w:r w:rsidRPr="00566EE6">
        <w:rPr>
          <w:rFonts w:ascii="Times New Roman" w:hAnsi="Times New Roman" w:cs="Times New Roman"/>
          <w:i/>
          <w:sz w:val="21"/>
          <w:szCs w:val="21"/>
        </w:rPr>
        <w:t>J. Mater. Chem. C</w:t>
      </w:r>
      <w:r w:rsidRPr="00566EE6">
        <w:rPr>
          <w:rFonts w:ascii="Times New Roman" w:hAnsi="Times New Roman" w:cs="Times New Roman"/>
          <w:sz w:val="21"/>
          <w:szCs w:val="21"/>
        </w:rPr>
        <w:t xml:space="preserve"> 6, 6208</w:t>
      </w:r>
      <w:r w:rsidRPr="00566EE6">
        <w:rPr>
          <w:rFonts w:ascii="Times New Roman" w:hAnsi="Times New Roman" w:cs="Times New Roman"/>
          <w:sz w:val="21"/>
          <w:szCs w:val="21"/>
        </w:rPr>
        <w:sym w:font="Symbol" w:char="F02D"/>
      </w:r>
      <w:r w:rsidRPr="00566EE6">
        <w:rPr>
          <w:rFonts w:ascii="Times New Roman" w:hAnsi="Times New Roman" w:cs="Times New Roman"/>
          <w:sz w:val="21"/>
          <w:szCs w:val="21"/>
        </w:rPr>
        <w:t>6215. doi: 10.1039/C8TC00944A</w:t>
      </w:r>
    </w:p>
    <w:p w14:paraId="7CDF93E8" w14:textId="77777777" w:rsidR="00566EE6" w:rsidRPr="00566EE6" w:rsidRDefault="00566EE6" w:rsidP="00566EE6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</w:p>
    <w:p w14:paraId="7AAF0EA4" w14:textId="6D8109A3" w:rsidR="00566EE6" w:rsidRDefault="00566EE6" w:rsidP="00566EE6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bookmarkStart w:id="2" w:name="_ENREF_42"/>
      <w:r w:rsidRPr="000E5DFB">
        <w:rPr>
          <w:rFonts w:ascii="Times New Roman" w:hAnsi="Times New Roman" w:cs="Times New Roman"/>
          <w:sz w:val="21"/>
          <w:szCs w:val="21"/>
        </w:rPr>
        <w:t xml:space="preserve">Irmler, P., Gogesch, F.S., Mang, A., Bodensteiner, M., Larsen, C.B., Wenger, O.S., et al. (2019b). Directing energy transfer in Pt(bodipy)(mercaptopyrene) dyads. </w:t>
      </w:r>
      <w:r w:rsidRPr="000E5DFB">
        <w:rPr>
          <w:rFonts w:ascii="Times New Roman" w:hAnsi="Times New Roman" w:cs="Times New Roman"/>
          <w:i/>
          <w:sz w:val="21"/>
          <w:szCs w:val="21"/>
        </w:rPr>
        <w:t>Dalton Trans.</w:t>
      </w:r>
      <w:r w:rsidRPr="000E5DFB">
        <w:rPr>
          <w:rFonts w:ascii="Times New Roman" w:hAnsi="Times New Roman" w:cs="Times New Roman"/>
          <w:sz w:val="21"/>
          <w:szCs w:val="21"/>
        </w:rPr>
        <w:t xml:space="preserve"> doi: 10.1039/C9DT01737B</w:t>
      </w:r>
      <w:bookmarkEnd w:id="2"/>
    </w:p>
    <w:p w14:paraId="0A5BB0D9" w14:textId="77777777" w:rsidR="00566EE6" w:rsidRPr="000E5DFB" w:rsidRDefault="00566EE6" w:rsidP="00566EE6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</w:p>
    <w:p w14:paraId="142FD0A8" w14:textId="5E1078CD" w:rsidR="00566EE6" w:rsidRDefault="00566EE6" w:rsidP="00566EE6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bookmarkStart w:id="3" w:name="_ENREF_6"/>
      <w:r w:rsidRPr="000E5DFB">
        <w:rPr>
          <w:rFonts w:ascii="Times New Roman" w:hAnsi="Times New Roman" w:cs="Times New Roman"/>
          <w:sz w:val="21"/>
          <w:szCs w:val="21"/>
        </w:rPr>
        <w:t>Bröring, M., Krüger, R., Link, S., Kleeberg, C., Köhler, S., Xie, X., et al. (2008). Bis(BF</w:t>
      </w:r>
      <w:r w:rsidRPr="0071771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21124D">
        <w:rPr>
          <w:rFonts w:ascii="Times New Roman" w:hAnsi="Times New Roman" w:cs="Times New Roman"/>
          <w:sz w:val="21"/>
          <w:szCs w:val="21"/>
        </w:rPr>
        <w:t>)-2,2′-bidipyrrins (bisBODIPYs): highly fluorescent BODIPY dimers with large stokes s</w:t>
      </w:r>
      <w:r w:rsidRPr="000E5DFB">
        <w:rPr>
          <w:rFonts w:ascii="Times New Roman" w:hAnsi="Times New Roman" w:cs="Times New Roman"/>
          <w:sz w:val="21"/>
          <w:szCs w:val="21"/>
        </w:rPr>
        <w:t xml:space="preserve">hifts. </w:t>
      </w:r>
      <w:r w:rsidRPr="000E5DFB">
        <w:rPr>
          <w:rFonts w:ascii="Times New Roman" w:hAnsi="Times New Roman" w:cs="Times New Roman"/>
          <w:i/>
          <w:sz w:val="21"/>
          <w:szCs w:val="21"/>
        </w:rPr>
        <w:t>Chem. Eur. J.</w:t>
      </w:r>
      <w:r w:rsidRPr="000E5DFB">
        <w:rPr>
          <w:rFonts w:ascii="Times New Roman" w:hAnsi="Times New Roman" w:cs="Times New Roman"/>
          <w:sz w:val="21"/>
          <w:szCs w:val="21"/>
        </w:rPr>
        <w:t xml:space="preserve"> 14, 2976</w:t>
      </w:r>
      <w:r>
        <w:rPr>
          <w:rFonts w:ascii="Tahoma" w:hAnsi="Tahoma" w:cs="Tahoma"/>
          <w:sz w:val="21"/>
          <w:szCs w:val="21"/>
        </w:rPr>
        <w:sym w:font="Symbol" w:char="F02D"/>
      </w:r>
      <w:r w:rsidRPr="000E5DFB">
        <w:rPr>
          <w:rFonts w:ascii="Times New Roman" w:hAnsi="Times New Roman" w:cs="Times New Roman"/>
          <w:sz w:val="21"/>
          <w:szCs w:val="21"/>
        </w:rPr>
        <w:t>2983. doi: 10.1002/chem.200701912</w:t>
      </w:r>
      <w:bookmarkEnd w:id="3"/>
    </w:p>
    <w:p w14:paraId="4F4F7D97" w14:textId="77777777" w:rsidR="0071771D" w:rsidRDefault="0071771D" w:rsidP="00566EE6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</w:p>
    <w:p w14:paraId="1E594A2A" w14:textId="6B262B09" w:rsidR="00566EE6" w:rsidRPr="000E5DFB" w:rsidRDefault="00566EE6" w:rsidP="00566EE6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bookmarkStart w:id="4" w:name="_ENREF_17"/>
      <w:r w:rsidRPr="000E5DFB">
        <w:rPr>
          <w:rFonts w:ascii="Times New Roman" w:hAnsi="Times New Roman" w:cs="Times New Roman"/>
          <w:sz w:val="21"/>
          <w:szCs w:val="21"/>
        </w:rPr>
        <w:t>Dance, Z.E.X., Mickley, S.M., Wilson, T.M., Ricks, A.B., Scott, A.M., Ratner, M.</w:t>
      </w:r>
      <w:r w:rsidR="001F550D">
        <w:rPr>
          <w:rFonts w:ascii="Times New Roman" w:hAnsi="Times New Roman" w:cs="Times New Roman"/>
          <w:sz w:val="21"/>
          <w:szCs w:val="21"/>
        </w:rPr>
        <w:t>A., et al. (2008). Intersystem crossing mediated by photoinduced intramolecular charge t</w:t>
      </w:r>
      <w:r w:rsidRPr="000E5DFB">
        <w:rPr>
          <w:rFonts w:ascii="Times New Roman" w:hAnsi="Times New Roman" w:cs="Times New Roman"/>
          <w:sz w:val="21"/>
          <w:szCs w:val="21"/>
        </w:rPr>
        <w:t>ransfer:</w:t>
      </w:r>
      <w:r w:rsidRPr="000E5DFB">
        <w:rPr>
          <w:rFonts w:ascii="Times New Roman" w:eastAsia="MS Mincho" w:hAnsi="Times New Roman" w:cs="Times New Roman"/>
          <w:sz w:val="21"/>
          <w:szCs w:val="21"/>
        </w:rPr>
        <w:t> </w:t>
      </w:r>
      <w:r w:rsidR="001F550D">
        <w:rPr>
          <w:rFonts w:ascii="Times New Roman" w:hAnsi="Times New Roman" w:cs="Times New Roman"/>
          <w:sz w:val="21"/>
          <w:szCs w:val="21"/>
        </w:rPr>
        <w:t xml:space="preserve"> j</w:t>
      </w:r>
      <w:r w:rsidRPr="000E5DFB">
        <w:rPr>
          <w:rFonts w:ascii="Times New Roman" w:hAnsi="Times New Roman" w:cs="Times New Roman"/>
          <w:sz w:val="21"/>
          <w:szCs w:val="21"/>
        </w:rPr>
        <w:t>ulolidine</w:t>
      </w:r>
      <w:r w:rsidRPr="000E5DFB">
        <w:rPr>
          <w:rFonts w:ascii="Times New Roman" w:eastAsia="Microsoft YaHei" w:hAnsi="Times New Roman" w:cs="Times New Roman"/>
          <w:sz w:val="21"/>
          <w:szCs w:val="21"/>
        </w:rPr>
        <w:t>−</w:t>
      </w:r>
      <w:r w:rsidR="001F550D">
        <w:rPr>
          <w:rFonts w:ascii="Times New Roman" w:hAnsi="Times New Roman" w:cs="Times New Roman"/>
          <w:sz w:val="21"/>
          <w:szCs w:val="21"/>
        </w:rPr>
        <w:t>anthracene molecules with p</w:t>
      </w:r>
      <w:r w:rsidRPr="000E5DFB">
        <w:rPr>
          <w:rFonts w:ascii="Times New Roman" w:hAnsi="Times New Roman" w:cs="Times New Roman"/>
          <w:sz w:val="21"/>
          <w:szCs w:val="21"/>
        </w:rPr>
        <w:t xml:space="preserve">erpendicular </w:t>
      </w:r>
      <w:r w:rsidR="0071771D">
        <w:rPr>
          <w:rFonts w:ascii="Times New Roman" w:hAnsi="Times New Roman" w:cs="Times New Roman"/>
          <w:sz w:val="21"/>
          <w:szCs w:val="21"/>
        </w:rPr>
        <w:sym w:font="Symbol" w:char="F070"/>
      </w:r>
      <w:r w:rsidR="001F550D">
        <w:rPr>
          <w:rFonts w:ascii="Times New Roman" w:hAnsi="Times New Roman" w:cs="Times New Roman"/>
          <w:sz w:val="21"/>
          <w:szCs w:val="21"/>
        </w:rPr>
        <w:t xml:space="preserve"> s</w:t>
      </w:r>
      <w:r w:rsidRPr="000E5DFB">
        <w:rPr>
          <w:rFonts w:ascii="Times New Roman" w:hAnsi="Times New Roman" w:cs="Times New Roman"/>
          <w:sz w:val="21"/>
          <w:szCs w:val="21"/>
        </w:rPr>
        <w:t xml:space="preserve">ystems. </w:t>
      </w:r>
      <w:r w:rsidRPr="000E5DFB">
        <w:rPr>
          <w:rFonts w:ascii="Times New Roman" w:hAnsi="Times New Roman" w:cs="Times New Roman"/>
          <w:i/>
          <w:sz w:val="21"/>
          <w:szCs w:val="21"/>
        </w:rPr>
        <w:t>J. Phys. Chem. A</w:t>
      </w:r>
      <w:r w:rsidRPr="000E5DFB">
        <w:rPr>
          <w:rFonts w:ascii="Times New Roman" w:hAnsi="Times New Roman" w:cs="Times New Roman"/>
          <w:sz w:val="21"/>
          <w:szCs w:val="21"/>
        </w:rPr>
        <w:t xml:space="preserve"> 112, 4194</w:t>
      </w:r>
      <w:r>
        <w:rPr>
          <w:rFonts w:ascii="Tahoma" w:hAnsi="Tahoma" w:cs="Tahoma"/>
          <w:sz w:val="21"/>
          <w:szCs w:val="21"/>
        </w:rPr>
        <w:sym w:font="Symbol" w:char="F02D"/>
      </w:r>
      <w:r w:rsidRPr="000E5DFB">
        <w:rPr>
          <w:rFonts w:ascii="Times New Roman" w:hAnsi="Times New Roman" w:cs="Times New Roman"/>
          <w:sz w:val="21"/>
          <w:szCs w:val="21"/>
        </w:rPr>
        <w:t>4201. doi: 10.1021/jp800561g</w:t>
      </w:r>
      <w:bookmarkEnd w:id="4"/>
    </w:p>
    <w:p w14:paraId="3D95ED98" w14:textId="77777777" w:rsidR="00566EE6" w:rsidRPr="000E5DFB" w:rsidRDefault="00566EE6" w:rsidP="00566EE6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</w:p>
    <w:p w14:paraId="56C250D1" w14:textId="0ECC1205" w:rsidR="0071771D" w:rsidRPr="000E5DFB" w:rsidRDefault="0071771D" w:rsidP="0071771D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bookmarkStart w:id="5" w:name="_ENREF_115"/>
      <w:r w:rsidRPr="000E5DFB">
        <w:rPr>
          <w:rFonts w:ascii="Times New Roman" w:hAnsi="Times New Roman" w:cs="Times New Roman"/>
          <w:sz w:val="21"/>
          <w:szCs w:val="21"/>
        </w:rPr>
        <w:t xml:space="preserve">Ziessel, R., Allen, B.D., Rewinska, D.B., and </w:t>
      </w:r>
      <w:r w:rsidR="001F550D">
        <w:rPr>
          <w:rFonts w:ascii="Times New Roman" w:hAnsi="Times New Roman" w:cs="Times New Roman"/>
          <w:sz w:val="21"/>
          <w:szCs w:val="21"/>
        </w:rPr>
        <w:t>Harriman, A. (2009). Selective triplet-State formation during charge recombination in a fullerene/Bodipy molecular dyad (Bodipy=b</w:t>
      </w:r>
      <w:r w:rsidRPr="000E5DFB">
        <w:rPr>
          <w:rFonts w:ascii="Times New Roman" w:hAnsi="Times New Roman" w:cs="Times New Roman"/>
          <w:sz w:val="21"/>
          <w:szCs w:val="21"/>
        </w:rPr>
        <w:t xml:space="preserve">orondipyrromethene). </w:t>
      </w:r>
      <w:r w:rsidRPr="000E5DFB">
        <w:rPr>
          <w:rFonts w:ascii="Times New Roman" w:hAnsi="Times New Roman" w:cs="Times New Roman"/>
          <w:i/>
          <w:sz w:val="21"/>
          <w:szCs w:val="21"/>
        </w:rPr>
        <w:t>Chem. Eur. J.</w:t>
      </w:r>
      <w:r w:rsidRPr="000E5DFB">
        <w:rPr>
          <w:rFonts w:ascii="Times New Roman" w:hAnsi="Times New Roman" w:cs="Times New Roman"/>
          <w:sz w:val="21"/>
          <w:szCs w:val="21"/>
        </w:rPr>
        <w:t xml:space="preserve"> 15, 7382</w:t>
      </w:r>
      <w:r>
        <w:rPr>
          <w:rFonts w:ascii="Tahoma" w:hAnsi="Tahoma" w:cs="Tahoma"/>
          <w:sz w:val="21"/>
          <w:szCs w:val="21"/>
        </w:rPr>
        <w:sym w:font="Symbol" w:char="F02D"/>
      </w:r>
      <w:r w:rsidRPr="000E5DFB">
        <w:rPr>
          <w:rFonts w:ascii="Times New Roman" w:hAnsi="Times New Roman" w:cs="Times New Roman"/>
          <w:sz w:val="21"/>
          <w:szCs w:val="21"/>
        </w:rPr>
        <w:t>7393. doi: 10.1002/chem.200900440</w:t>
      </w:r>
      <w:bookmarkEnd w:id="5"/>
    </w:p>
    <w:p w14:paraId="4AD617E3" w14:textId="77777777" w:rsidR="001F550D" w:rsidRDefault="001F550D" w:rsidP="001F550D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bookmarkStart w:id="6" w:name="_ENREF_94"/>
    </w:p>
    <w:p w14:paraId="36B617DF" w14:textId="31806E0F" w:rsidR="001F550D" w:rsidRPr="000E5DFB" w:rsidRDefault="001F550D" w:rsidP="001F550D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0E5DFB">
        <w:rPr>
          <w:rFonts w:ascii="Times New Roman" w:hAnsi="Times New Roman" w:cs="Times New Roman"/>
          <w:sz w:val="21"/>
          <w:szCs w:val="21"/>
        </w:rPr>
        <w:t xml:space="preserve">Wang, Z., Zhao, J., Barbon, A., Toffoletti, A., Liu, Y., </w:t>
      </w:r>
      <w:r>
        <w:rPr>
          <w:rFonts w:ascii="Times New Roman" w:hAnsi="Times New Roman" w:cs="Times New Roman"/>
          <w:sz w:val="21"/>
          <w:szCs w:val="21"/>
        </w:rPr>
        <w:t>An, Y., et al. (2017). Radical-enhanced i</w:t>
      </w:r>
      <w:r w:rsidRPr="000E5DFB">
        <w:rPr>
          <w:rFonts w:ascii="Times New Roman" w:hAnsi="Times New Roman" w:cs="Times New Roman"/>
          <w:sz w:val="21"/>
          <w:szCs w:val="21"/>
        </w:rPr>
        <w:t>ntersy</w:t>
      </w:r>
      <w:r>
        <w:rPr>
          <w:rFonts w:ascii="Times New Roman" w:hAnsi="Times New Roman" w:cs="Times New Roman"/>
          <w:sz w:val="21"/>
          <w:szCs w:val="21"/>
        </w:rPr>
        <w:t>stem crossing in new bodipy derivatives and application for efficient triplet-triplet annihilation u</w:t>
      </w:r>
      <w:r w:rsidRPr="000E5DFB">
        <w:rPr>
          <w:rFonts w:ascii="Times New Roman" w:hAnsi="Times New Roman" w:cs="Times New Roman"/>
          <w:sz w:val="21"/>
          <w:szCs w:val="21"/>
        </w:rPr>
        <w:t xml:space="preserve">pconversion. </w:t>
      </w:r>
      <w:r w:rsidRPr="000E5DFB">
        <w:rPr>
          <w:rFonts w:ascii="Times New Roman" w:hAnsi="Times New Roman" w:cs="Times New Roman"/>
          <w:i/>
          <w:sz w:val="21"/>
          <w:szCs w:val="21"/>
        </w:rPr>
        <w:t>J. Am. Chem. Soc.</w:t>
      </w:r>
      <w:r w:rsidRPr="000E5DFB">
        <w:rPr>
          <w:rFonts w:ascii="Times New Roman" w:hAnsi="Times New Roman" w:cs="Times New Roman"/>
          <w:sz w:val="21"/>
          <w:szCs w:val="21"/>
        </w:rPr>
        <w:t xml:space="preserve"> 139, 7831</w:t>
      </w:r>
      <w:r>
        <w:rPr>
          <w:rFonts w:ascii="Tahoma" w:hAnsi="Tahoma" w:cs="Tahoma"/>
          <w:sz w:val="21"/>
          <w:szCs w:val="21"/>
        </w:rPr>
        <w:sym w:font="Symbol" w:char="F02D"/>
      </w:r>
      <w:r w:rsidRPr="000E5DFB">
        <w:rPr>
          <w:rFonts w:ascii="Times New Roman" w:hAnsi="Times New Roman" w:cs="Times New Roman"/>
          <w:sz w:val="21"/>
          <w:szCs w:val="21"/>
        </w:rPr>
        <w:t>7842. doi: 10.1021/jacs.7b02063</w:t>
      </w:r>
      <w:bookmarkEnd w:id="6"/>
    </w:p>
    <w:p w14:paraId="5DD18562" w14:textId="77777777" w:rsidR="00566EE6" w:rsidRPr="001549D3" w:rsidRDefault="00566EE6" w:rsidP="008E4D0A">
      <w:pPr>
        <w:keepNext/>
      </w:pPr>
    </w:p>
    <w:sectPr w:rsidR="00566EE6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EEE43" w14:textId="77777777" w:rsidR="0023528A" w:rsidRDefault="0023528A" w:rsidP="00117666">
      <w:pPr>
        <w:spacing w:after="0"/>
      </w:pPr>
      <w:r>
        <w:separator/>
      </w:r>
    </w:p>
  </w:endnote>
  <w:endnote w:type="continuationSeparator" w:id="0">
    <w:p w14:paraId="7823367E" w14:textId="77777777" w:rsidR="0023528A" w:rsidRDefault="0023528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9510421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B01C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2.8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9510421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B01C4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6D2789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B01C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22.8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56D2789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B01C4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0E39E" w14:textId="77777777" w:rsidR="0023528A" w:rsidRDefault="0023528A" w:rsidP="00117666">
      <w:pPr>
        <w:spacing w:after="0"/>
      </w:pPr>
      <w:r>
        <w:separator/>
      </w:r>
    </w:p>
  </w:footnote>
  <w:footnote w:type="continuationSeparator" w:id="0">
    <w:p w14:paraId="39122F6B" w14:textId="77777777" w:rsidR="0023528A" w:rsidRDefault="0023528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1DC7"/>
    <w:rsid w:val="00077D53"/>
    <w:rsid w:val="000C7EC8"/>
    <w:rsid w:val="00105FD9"/>
    <w:rsid w:val="00117666"/>
    <w:rsid w:val="001549D3"/>
    <w:rsid w:val="00160065"/>
    <w:rsid w:val="00177D84"/>
    <w:rsid w:val="001F550D"/>
    <w:rsid w:val="0021124D"/>
    <w:rsid w:val="0023528A"/>
    <w:rsid w:val="00242102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66B"/>
    <w:rsid w:val="003D2F2D"/>
    <w:rsid w:val="00401590"/>
    <w:rsid w:val="00447801"/>
    <w:rsid w:val="00452E9C"/>
    <w:rsid w:val="004735C8"/>
    <w:rsid w:val="004947A6"/>
    <w:rsid w:val="004961FF"/>
    <w:rsid w:val="005146EA"/>
    <w:rsid w:val="00517A89"/>
    <w:rsid w:val="005250F2"/>
    <w:rsid w:val="00566EE6"/>
    <w:rsid w:val="00593EEA"/>
    <w:rsid w:val="0059402E"/>
    <w:rsid w:val="005A5EEE"/>
    <w:rsid w:val="006375C7"/>
    <w:rsid w:val="00654E8F"/>
    <w:rsid w:val="00660D05"/>
    <w:rsid w:val="006820B1"/>
    <w:rsid w:val="006B01C4"/>
    <w:rsid w:val="006B7D14"/>
    <w:rsid w:val="00701727"/>
    <w:rsid w:val="0070566C"/>
    <w:rsid w:val="00714C50"/>
    <w:rsid w:val="0071771D"/>
    <w:rsid w:val="00725A7D"/>
    <w:rsid w:val="007501BE"/>
    <w:rsid w:val="00790BB3"/>
    <w:rsid w:val="007A42E8"/>
    <w:rsid w:val="007C206C"/>
    <w:rsid w:val="00817DD6"/>
    <w:rsid w:val="0083759F"/>
    <w:rsid w:val="00885156"/>
    <w:rsid w:val="008B22F4"/>
    <w:rsid w:val="008C12E0"/>
    <w:rsid w:val="008E4D0A"/>
    <w:rsid w:val="009151AA"/>
    <w:rsid w:val="00921654"/>
    <w:rsid w:val="0093429D"/>
    <w:rsid w:val="00943573"/>
    <w:rsid w:val="00964134"/>
    <w:rsid w:val="00970F7D"/>
    <w:rsid w:val="00973127"/>
    <w:rsid w:val="00994A3D"/>
    <w:rsid w:val="009C2B12"/>
    <w:rsid w:val="00A174D9"/>
    <w:rsid w:val="00AA4D24"/>
    <w:rsid w:val="00AB6715"/>
    <w:rsid w:val="00AF1A37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31127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15179"/>
    <w:rsid w:val="00F46900"/>
    <w:rsid w:val="00F540AA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4:discardImageEditingData/>
  <w14:defaultImageDpi w14:val="330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references">
    <w:name w:val="references"/>
    <w:basedOn w:val="Normal"/>
    <w:link w:val="references0"/>
    <w:qFormat/>
    <w:rsid w:val="00071DC7"/>
    <w:pPr>
      <w:widowControl w:val="0"/>
      <w:autoSpaceDE w:val="0"/>
      <w:autoSpaceDN w:val="0"/>
      <w:spacing w:before="0" w:after="0" w:line="264" w:lineRule="auto"/>
      <w:ind w:left="335" w:right="39" w:hanging="200"/>
      <w:jc w:val="both"/>
    </w:pPr>
    <w:rPr>
      <w:rFonts w:eastAsia="Times New Roman" w:cs="Times New Roman"/>
      <w:color w:val="231F20"/>
      <w:sz w:val="15"/>
      <w:lang w:bidi="en-US"/>
    </w:rPr>
  </w:style>
  <w:style w:type="character" w:customStyle="1" w:styleId="references0">
    <w:name w:val="references 字符"/>
    <w:basedOn w:val="DefaultParagraphFont"/>
    <w:link w:val="references"/>
    <w:rsid w:val="00071DC7"/>
    <w:rPr>
      <w:rFonts w:ascii="Times New Roman" w:eastAsia="Times New Roman" w:hAnsi="Times New Roman" w:cs="Times New Roman"/>
      <w:color w:val="231F20"/>
      <w:sz w:val="15"/>
      <w:lang w:bidi="en-US"/>
    </w:rPr>
  </w:style>
  <w:style w:type="paragraph" w:customStyle="1" w:styleId="EndNoteBibliography">
    <w:name w:val="EndNote Bibliography"/>
    <w:basedOn w:val="Normal"/>
    <w:link w:val="EndNoteBibliography0"/>
    <w:rsid w:val="00071DC7"/>
    <w:pPr>
      <w:widowControl w:val="0"/>
      <w:spacing w:before="0" w:after="0"/>
      <w:jc w:val="both"/>
    </w:pPr>
    <w:rPr>
      <w:rFonts w:ascii="DengXian" w:eastAsia="DengXian" w:hAnsi="DengXian"/>
      <w:noProof/>
      <w:kern w:val="2"/>
      <w:sz w:val="20"/>
      <w:lang w:eastAsia="zh-CN"/>
    </w:rPr>
  </w:style>
  <w:style w:type="character" w:customStyle="1" w:styleId="EndNoteBibliography0">
    <w:name w:val="EndNote Bibliography 字符"/>
    <w:basedOn w:val="DefaultParagraphFont"/>
    <w:link w:val="EndNoteBibliography"/>
    <w:rsid w:val="00071DC7"/>
    <w:rPr>
      <w:rFonts w:ascii="DengXian" w:eastAsia="DengXian" w:hAnsi="DengXian"/>
      <w:noProof/>
      <w:kern w:val="2"/>
      <w:sz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08735B9-B521-4F95-ACD7-95BD33B88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3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Ann Yu Engebretsen</cp:lastModifiedBy>
  <cp:revision>2</cp:revision>
  <cp:lastPrinted>2019-10-03T12:26:00Z</cp:lastPrinted>
  <dcterms:created xsi:type="dcterms:W3CDTF">2019-11-22T12:20:00Z</dcterms:created>
  <dcterms:modified xsi:type="dcterms:W3CDTF">2019-11-22T12:20:00Z</dcterms:modified>
</cp:coreProperties>
</file>