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38" w:rsidRDefault="00B361AE" w:rsidP="00D76054">
      <w:pPr>
        <w:spacing w:line="480" w:lineRule="auto"/>
        <w:jc w:val="center"/>
        <w:rPr>
          <w:rFonts w:ascii="Bold" w:hAnsi="Bold" w:hint="eastAsia"/>
          <w:b/>
          <w:bCs/>
          <w:color w:val="000000"/>
          <w:sz w:val="24"/>
          <w:szCs w:val="24"/>
        </w:rPr>
      </w:pPr>
      <w:r w:rsidRPr="00C46005">
        <w:rPr>
          <w:rFonts w:ascii="Bold" w:hAnsi="Bold"/>
          <w:b/>
          <w:bCs/>
          <w:color w:val="000000"/>
          <w:sz w:val="24"/>
          <w:szCs w:val="24"/>
        </w:rPr>
        <w:t>Supplementary materials</w:t>
      </w:r>
      <w:r w:rsidR="00D76054">
        <w:rPr>
          <w:rFonts w:ascii="Times-Bold" w:hAnsi="Times-Bold"/>
          <w:color w:val="000000"/>
          <w:sz w:val="22"/>
        </w:rPr>
        <w:br/>
      </w:r>
      <w:r w:rsidR="00D76054" w:rsidRPr="00D76054">
        <w:rPr>
          <w:rFonts w:ascii="Bold" w:hAnsi="Bold"/>
          <w:b/>
          <w:bCs/>
          <w:color w:val="000000"/>
          <w:sz w:val="24"/>
          <w:szCs w:val="24"/>
        </w:rPr>
        <w:t>For</w:t>
      </w:r>
      <w:r w:rsidR="00D76054">
        <w:rPr>
          <w:rFonts w:ascii="Times-Bold" w:hAnsi="Times-Bold"/>
          <w:color w:val="000000"/>
          <w:sz w:val="22"/>
        </w:rPr>
        <w:br/>
      </w:r>
      <w:r w:rsidR="00C80E38" w:rsidRPr="00C80E38">
        <w:rPr>
          <w:rFonts w:ascii="Bold" w:hAnsi="Bold"/>
          <w:b/>
          <w:bCs/>
          <w:color w:val="000000"/>
          <w:sz w:val="24"/>
          <w:szCs w:val="24"/>
        </w:rPr>
        <w:t>Sotetsuflavone Induces Autophagy in Non-small Cell Lung Cancer Cells through Blocking PI3K/Akt/mTOR Signaling Pathway in Vivo and in Vitro</w:t>
      </w:r>
    </w:p>
    <w:p w:rsidR="00D76054" w:rsidRPr="0028069B" w:rsidRDefault="00D61A15" w:rsidP="00D76054">
      <w:pPr>
        <w:spacing w:line="480" w:lineRule="auto"/>
        <w:jc w:val="center"/>
        <w:rPr>
          <w:rFonts w:ascii="Times New Roman" w:eastAsia="宋体" w:hAnsi="Times New Roman" w:cs="Times New Roman"/>
          <w:sz w:val="24"/>
          <w:szCs w:val="24"/>
        </w:rPr>
      </w:pPr>
      <w:r w:rsidRPr="00D61A15">
        <w:rPr>
          <w:rFonts w:ascii="Times New Roman" w:eastAsia="宋体" w:hAnsi="Times New Roman" w:cs="Times New Roman"/>
          <w:sz w:val="24"/>
          <w:szCs w:val="24"/>
        </w:rPr>
        <w:t>Shaohui Wang</w:t>
      </w:r>
      <w:r w:rsidRPr="00753E2D">
        <w:rPr>
          <w:rFonts w:ascii="Times New Roman" w:eastAsia="宋体" w:hAnsi="Times New Roman" w:cs="Times New Roman"/>
          <w:sz w:val="24"/>
          <w:szCs w:val="24"/>
          <w:vertAlign w:val="superscript"/>
        </w:rPr>
        <w:t>1,2,4*</w:t>
      </w:r>
      <w:r w:rsidRPr="00D61A15">
        <w:rPr>
          <w:rFonts w:ascii="Times New Roman" w:eastAsia="宋体" w:hAnsi="Times New Roman" w:cs="Times New Roman"/>
          <w:sz w:val="24"/>
          <w:szCs w:val="24"/>
        </w:rPr>
        <w:t>, Xiaoling Xu</w:t>
      </w:r>
      <w:r w:rsidRPr="00753E2D">
        <w:rPr>
          <w:rFonts w:ascii="Times New Roman" w:eastAsia="宋体" w:hAnsi="Times New Roman" w:cs="Times New Roman"/>
          <w:sz w:val="24"/>
          <w:szCs w:val="24"/>
          <w:vertAlign w:val="superscript"/>
        </w:rPr>
        <w:t>3</w:t>
      </w:r>
      <w:r w:rsidRPr="00D61A15">
        <w:rPr>
          <w:rFonts w:ascii="Times New Roman" w:eastAsia="宋体" w:hAnsi="Times New Roman" w:cs="Times New Roman"/>
          <w:sz w:val="24"/>
          <w:szCs w:val="24"/>
        </w:rPr>
        <w:t>, Yanlan Hu</w:t>
      </w:r>
      <w:r w:rsidRPr="00753E2D">
        <w:rPr>
          <w:rFonts w:ascii="Times New Roman" w:eastAsia="宋体" w:hAnsi="Times New Roman" w:cs="Times New Roman"/>
          <w:sz w:val="24"/>
          <w:szCs w:val="24"/>
          <w:vertAlign w:val="superscript"/>
        </w:rPr>
        <w:t>1,4</w:t>
      </w:r>
      <w:r w:rsidRPr="00D61A15">
        <w:rPr>
          <w:rFonts w:ascii="Times New Roman" w:eastAsia="宋体" w:hAnsi="Times New Roman" w:cs="Times New Roman"/>
          <w:sz w:val="24"/>
          <w:szCs w:val="24"/>
        </w:rPr>
        <w:t>, Tao Lei</w:t>
      </w:r>
      <w:r w:rsidRPr="00753E2D">
        <w:rPr>
          <w:rFonts w:ascii="Times New Roman" w:eastAsia="宋体" w:hAnsi="Times New Roman" w:cs="Times New Roman"/>
          <w:sz w:val="24"/>
          <w:szCs w:val="24"/>
          <w:vertAlign w:val="superscript"/>
        </w:rPr>
        <w:t>3</w:t>
      </w:r>
      <w:r w:rsidRPr="00D61A15">
        <w:rPr>
          <w:rFonts w:ascii="Times New Roman" w:eastAsia="宋体" w:hAnsi="Times New Roman" w:cs="Times New Roman"/>
          <w:sz w:val="24"/>
          <w:szCs w:val="24"/>
        </w:rPr>
        <w:t>, and Tongxiang Liu</w:t>
      </w:r>
      <w:r w:rsidRPr="00753E2D">
        <w:rPr>
          <w:rFonts w:ascii="Times New Roman" w:eastAsia="宋体" w:hAnsi="Times New Roman" w:cs="Times New Roman"/>
          <w:sz w:val="24"/>
          <w:szCs w:val="24"/>
          <w:vertAlign w:val="superscript"/>
        </w:rPr>
        <w:t>1,4*</w:t>
      </w:r>
    </w:p>
    <w:p w:rsidR="00B361AE" w:rsidRDefault="00B361AE" w:rsidP="00D76054">
      <w:pPr>
        <w:spacing w:line="480" w:lineRule="auto"/>
        <w:jc w:val="center"/>
        <w:rPr>
          <w:rFonts w:ascii="Bold" w:hAnsi="Bold" w:hint="eastAsia"/>
          <w:b/>
          <w:bCs/>
          <w:color w:val="000000"/>
          <w:sz w:val="24"/>
          <w:szCs w:val="24"/>
        </w:rPr>
      </w:pP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lang w:val="en"/>
        </w:rPr>
        <w:t>1 Key Laboratory of Ethnomedicine (Minzu University of China), Minority of</w:t>
      </w: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lang w:val="en"/>
        </w:rPr>
        <w:t>Education, Beijing 100081, P.R. China.</w:t>
      </w: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rPr>
        <w:t xml:space="preserve">2 </w:t>
      </w:r>
      <w:bookmarkStart w:id="0" w:name="_Hlk13393608"/>
      <w:bookmarkStart w:id="1" w:name="OLE_LINK32"/>
      <w:r w:rsidRPr="002514F9">
        <w:rPr>
          <w:rFonts w:ascii="Arial" w:hAnsi="Arial" w:cs="Arial"/>
          <w:color w:val="0D0D0D" w:themeColor="text1" w:themeTint="F2"/>
          <w:sz w:val="24"/>
          <w:szCs w:val="24"/>
        </w:rPr>
        <w:t xml:space="preserve">Medical College, Qingdao Binhai University, Qingdao, Shandong 266555, </w:t>
      </w:r>
      <w:r w:rsidRPr="002514F9">
        <w:rPr>
          <w:rFonts w:ascii="Arial" w:hAnsi="Arial" w:cs="Arial"/>
          <w:color w:val="0D0D0D" w:themeColor="text1" w:themeTint="F2"/>
          <w:sz w:val="24"/>
          <w:szCs w:val="24"/>
          <w:lang w:val="en"/>
        </w:rPr>
        <w:t>P.R. China.</w:t>
      </w:r>
      <w:bookmarkEnd w:id="0"/>
      <w:bookmarkEnd w:id="1"/>
      <w:r w:rsidRPr="002514F9">
        <w:rPr>
          <w:rFonts w:ascii="Arial" w:hAnsi="Arial" w:cs="Arial"/>
          <w:color w:val="0D0D0D" w:themeColor="text1" w:themeTint="F2"/>
          <w:sz w:val="24"/>
          <w:szCs w:val="24"/>
        </w:rPr>
        <w:t xml:space="preserve"> </w:t>
      </w: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lang w:val="en"/>
        </w:rPr>
        <w:t>3 Department of Medical Oncology, Institute of Cancer Research and Basic Medical Sciences of Chinese Academy of Sciences, Cancer Hospital of University of Chinese Academy of Sciences, Zhejiang Cancer Hospital, Hangzhou, Zhejiang 310022, P.R. China.</w:t>
      </w: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lang w:val="en"/>
        </w:rPr>
        <w:t>4 School of Pharmacy, Minzu University of China, Beijing 100081, People’s Republic of China</w:t>
      </w:r>
    </w:p>
    <w:p w:rsidR="00D61A15" w:rsidRPr="002514F9" w:rsidRDefault="00D61A15" w:rsidP="00D61A15">
      <w:pPr>
        <w:spacing w:line="480" w:lineRule="auto"/>
        <w:rPr>
          <w:rFonts w:ascii="Arial" w:hAnsi="Arial" w:cs="Arial"/>
          <w:color w:val="0D0D0D" w:themeColor="text1" w:themeTint="F2"/>
          <w:sz w:val="24"/>
          <w:szCs w:val="24"/>
          <w:lang w:val="en"/>
        </w:rPr>
      </w:pPr>
    </w:p>
    <w:p w:rsidR="00D61A15" w:rsidRPr="002514F9" w:rsidRDefault="00D61A15" w:rsidP="00D61A15">
      <w:pPr>
        <w:spacing w:line="480" w:lineRule="auto"/>
        <w:rPr>
          <w:rFonts w:ascii="Arial" w:hAnsi="Arial" w:cs="Arial"/>
          <w:color w:val="0D0D0D" w:themeColor="text1" w:themeTint="F2"/>
          <w:sz w:val="24"/>
          <w:szCs w:val="24"/>
          <w:lang w:val="en"/>
        </w:rPr>
      </w:pPr>
      <w:r w:rsidRPr="002514F9">
        <w:rPr>
          <w:rFonts w:ascii="Arial" w:hAnsi="Arial" w:cs="Arial"/>
          <w:color w:val="0D0D0D" w:themeColor="text1" w:themeTint="F2"/>
          <w:sz w:val="24"/>
          <w:szCs w:val="24"/>
          <w:lang w:val="en"/>
        </w:rPr>
        <w:t>*</w:t>
      </w:r>
      <w:r w:rsidRPr="002514F9">
        <w:rPr>
          <w:rFonts w:ascii="Arial" w:hAnsi="Arial" w:cs="Arial"/>
          <w:b/>
          <w:color w:val="0D0D0D" w:themeColor="text1" w:themeTint="F2"/>
          <w:sz w:val="24"/>
          <w:szCs w:val="24"/>
          <w:lang w:val="en"/>
        </w:rPr>
        <w:t xml:space="preserve">Corresponding Author:  </w:t>
      </w:r>
      <w:r w:rsidRPr="002514F9">
        <w:rPr>
          <w:rFonts w:ascii="Arial" w:hAnsi="Arial" w:cs="Arial"/>
          <w:color w:val="0D0D0D" w:themeColor="text1" w:themeTint="F2"/>
          <w:sz w:val="24"/>
          <w:szCs w:val="24"/>
          <w:lang w:val="en"/>
        </w:rPr>
        <w:t xml:space="preserve">Tongxiang Liu, E-mail: tongxliu123@hotmail.com. </w:t>
      </w:r>
    </w:p>
    <w:p w:rsidR="00D61A15" w:rsidRPr="002514F9" w:rsidRDefault="00D61A15" w:rsidP="00D61A15">
      <w:pPr>
        <w:spacing w:line="480" w:lineRule="auto"/>
        <w:rPr>
          <w:rFonts w:ascii="Arial" w:hAnsi="Arial" w:cs="Arial"/>
          <w:color w:val="0D0D0D" w:themeColor="text1" w:themeTint="F2"/>
          <w:sz w:val="24"/>
          <w:szCs w:val="24"/>
          <w:lang w:val="en"/>
        </w:rPr>
        <w:sectPr w:rsidR="00D61A15" w:rsidRPr="002514F9">
          <w:pgSz w:w="11906" w:h="16838"/>
          <w:pgMar w:top="1440" w:right="1800" w:bottom="1440" w:left="1800" w:header="851" w:footer="992" w:gutter="0"/>
          <w:cols w:space="425"/>
          <w:docGrid w:type="lines" w:linePitch="312"/>
        </w:sectPr>
      </w:pPr>
      <w:r w:rsidRPr="002514F9">
        <w:rPr>
          <w:rFonts w:ascii="Arial" w:hAnsi="Arial" w:cs="Arial"/>
          <w:color w:val="0D0D0D" w:themeColor="text1" w:themeTint="F2"/>
          <w:sz w:val="24"/>
          <w:szCs w:val="24"/>
          <w:lang w:val="en"/>
        </w:rPr>
        <w:t>Shaohui Wang, E-mail: winter9091@163.com.</w:t>
      </w:r>
    </w:p>
    <w:p w:rsidR="00B361AE" w:rsidRPr="00946E6D" w:rsidRDefault="00B361AE" w:rsidP="00B361AE">
      <w:pPr>
        <w:spacing w:line="480" w:lineRule="auto"/>
        <w:rPr>
          <w:rFonts w:ascii="Times New Roman" w:hAnsi="Times New Roman" w:cs="Times New Roman"/>
          <w:b/>
          <w:sz w:val="24"/>
          <w:szCs w:val="24"/>
        </w:rPr>
      </w:pPr>
      <w:r w:rsidRPr="00946E6D">
        <w:rPr>
          <w:rFonts w:ascii="Times New Roman" w:hAnsi="Times New Roman" w:cs="Times New Roman"/>
          <w:b/>
          <w:sz w:val="24"/>
          <w:szCs w:val="24"/>
        </w:rPr>
        <w:lastRenderedPageBreak/>
        <w:t>Figure Legend for Supplementary Data</w:t>
      </w:r>
    </w:p>
    <w:p w:rsidR="00D61A15" w:rsidRDefault="00D61A15" w:rsidP="00CC5D77">
      <w:pPr>
        <w:spacing w:line="480" w:lineRule="auto"/>
        <w:rPr>
          <w:rFonts w:ascii="Times New Roman" w:hAnsi="Times New Roman" w:cs="Times New Roman"/>
          <w:b/>
          <w:sz w:val="24"/>
          <w:szCs w:val="24"/>
        </w:rPr>
      </w:pPr>
    </w:p>
    <w:p w:rsidR="00CC5D77" w:rsidRPr="000A65C6" w:rsidRDefault="00EE2605" w:rsidP="00CC5D77">
      <w:pPr>
        <w:spacing w:line="480" w:lineRule="auto"/>
        <w:rPr>
          <w:rFonts w:ascii="TimesNewRoman" w:hAnsi="TimesNewRoman" w:cs="Arial" w:hint="eastAsia"/>
          <w:color w:val="000000"/>
          <w:sz w:val="24"/>
          <w:szCs w:val="24"/>
        </w:rPr>
      </w:pPr>
      <w:r>
        <w:rPr>
          <w:rFonts w:ascii="TimesNewRoman" w:hAnsi="TimesNewRoman" w:cs="Arial"/>
          <w:b/>
          <w:color w:val="000000"/>
          <w:sz w:val="24"/>
          <w:szCs w:val="24"/>
        </w:rPr>
        <w:t xml:space="preserve">Supplementary Figure </w:t>
      </w:r>
      <w:r w:rsidR="00D61A15">
        <w:rPr>
          <w:rFonts w:ascii="TimesNewRoman" w:hAnsi="TimesNewRoman" w:cs="Arial" w:hint="eastAsia"/>
          <w:b/>
          <w:color w:val="000000"/>
          <w:sz w:val="24"/>
          <w:szCs w:val="24"/>
        </w:rPr>
        <w:t>1</w:t>
      </w:r>
      <w:r w:rsidR="0061637D">
        <w:rPr>
          <w:rFonts w:ascii="TimesNewRoman" w:hAnsi="TimesNewRoman" w:cs="Arial" w:hint="eastAsia"/>
          <w:b/>
          <w:color w:val="000000"/>
          <w:sz w:val="24"/>
          <w:szCs w:val="24"/>
        </w:rPr>
        <w:t>.</w:t>
      </w:r>
      <w:r w:rsidR="00CC5D77">
        <w:rPr>
          <w:rFonts w:ascii="TimesNewRoman" w:hAnsi="TimesNewRoman" w:cs="Arial" w:hint="eastAsia"/>
          <w:b/>
          <w:color w:val="000000"/>
          <w:sz w:val="24"/>
          <w:szCs w:val="24"/>
        </w:rPr>
        <w:t xml:space="preserve"> </w:t>
      </w:r>
      <w:r w:rsidR="00C80E38" w:rsidRPr="000A65C6">
        <w:rPr>
          <w:rFonts w:ascii="TimesNewRoman" w:hAnsi="TimesNewRoman" w:cs="Arial"/>
          <w:color w:val="000000"/>
          <w:sz w:val="24"/>
          <w:szCs w:val="24"/>
        </w:rPr>
        <w:t>Sotetsuflavone activate autophagy flux in NSCLC A549 cells.</w:t>
      </w:r>
      <w:r w:rsidR="00C80E38" w:rsidRPr="000A65C6">
        <w:rPr>
          <w:rFonts w:ascii="TimesNewRoman" w:hAnsi="TimesNewRoman" w:cs="Arial" w:hint="eastAsia"/>
          <w:color w:val="000000"/>
          <w:sz w:val="24"/>
          <w:szCs w:val="24"/>
        </w:rPr>
        <w:t xml:space="preserve"> </w:t>
      </w:r>
    </w:p>
    <w:p w:rsidR="00CC5D77" w:rsidRPr="000A65C6" w:rsidRDefault="00EE2605" w:rsidP="00CC5D77">
      <w:pPr>
        <w:spacing w:line="480" w:lineRule="auto"/>
        <w:rPr>
          <w:rFonts w:ascii="TimesNewRoman" w:hAnsi="TimesNewRoman" w:cs="Arial" w:hint="eastAsia"/>
          <w:color w:val="000000"/>
          <w:sz w:val="24"/>
          <w:szCs w:val="24"/>
        </w:rPr>
      </w:pPr>
      <w:r>
        <w:rPr>
          <w:rFonts w:ascii="TimesNewRoman" w:hAnsi="TimesNewRoman" w:cs="Arial"/>
          <w:b/>
          <w:color w:val="000000"/>
          <w:sz w:val="24"/>
          <w:szCs w:val="24"/>
        </w:rPr>
        <w:t xml:space="preserve">Supplementary Figure </w:t>
      </w:r>
      <w:r w:rsidR="00D61A15">
        <w:rPr>
          <w:rFonts w:ascii="TimesNewRoman" w:hAnsi="TimesNewRoman" w:cs="Arial" w:hint="eastAsia"/>
          <w:b/>
          <w:color w:val="000000"/>
          <w:sz w:val="24"/>
          <w:szCs w:val="24"/>
        </w:rPr>
        <w:t>2</w:t>
      </w:r>
      <w:r w:rsidR="0061637D">
        <w:rPr>
          <w:rFonts w:ascii="TimesNewRoman" w:hAnsi="TimesNewRoman" w:cs="Arial" w:hint="eastAsia"/>
          <w:b/>
          <w:color w:val="000000"/>
          <w:sz w:val="24"/>
          <w:szCs w:val="24"/>
        </w:rPr>
        <w:t>.</w:t>
      </w:r>
      <w:r w:rsidR="00CC5D77" w:rsidRPr="000A65C6">
        <w:rPr>
          <w:rFonts w:ascii="TimesNewRoman" w:hAnsi="TimesNewRoman" w:cs="Arial" w:hint="eastAsia"/>
          <w:color w:val="000000"/>
          <w:sz w:val="24"/>
          <w:szCs w:val="24"/>
        </w:rPr>
        <w:t xml:space="preserve"> </w:t>
      </w:r>
      <w:r w:rsidR="00E6364C" w:rsidRPr="000A65C6">
        <w:rPr>
          <w:rFonts w:ascii="TimesNewRoman" w:hAnsi="TimesNewRoman" w:cs="Arial"/>
          <w:color w:val="000000"/>
          <w:sz w:val="24"/>
          <w:szCs w:val="24"/>
        </w:rPr>
        <w:t>Inhibitors CQ and LY294002 can enhance the inhibition of sotetsuflavone on the proliferation of non-small cell lung cancer A549 cells.</w:t>
      </w:r>
    </w:p>
    <w:p w:rsidR="00CC5D77" w:rsidRPr="00CC5D77" w:rsidRDefault="00CC5D77" w:rsidP="00B361AE">
      <w:pPr>
        <w:spacing w:line="480" w:lineRule="auto"/>
        <w:rPr>
          <w:rFonts w:ascii="TimesNewRoman" w:hAnsi="TimesNewRoman" w:hint="eastAsia"/>
          <w:color w:val="000000"/>
          <w:sz w:val="24"/>
          <w:szCs w:val="24"/>
        </w:rPr>
      </w:pPr>
    </w:p>
    <w:p w:rsidR="0061637D" w:rsidRDefault="0061637D" w:rsidP="00B04805">
      <w:pPr>
        <w:spacing w:line="480" w:lineRule="auto"/>
        <w:rPr>
          <w:rFonts w:ascii="TimesNewRoman" w:hAnsi="TimesNewRoman" w:cs="Arial" w:hint="eastAsia"/>
          <w:b/>
          <w:color w:val="000000"/>
          <w:sz w:val="24"/>
          <w:szCs w:val="24"/>
        </w:rPr>
      </w:pPr>
    </w:p>
    <w:p w:rsidR="008F2149" w:rsidRDefault="008F2149" w:rsidP="00B04805">
      <w:pPr>
        <w:spacing w:line="480" w:lineRule="auto"/>
        <w:rPr>
          <w:rFonts w:ascii="TimesNewRoman" w:hAnsi="TimesNewRoman" w:cs="Arial" w:hint="eastAsia"/>
          <w:b/>
          <w:color w:val="000000"/>
          <w:sz w:val="24"/>
          <w:szCs w:val="24"/>
        </w:rPr>
      </w:pPr>
    </w:p>
    <w:p w:rsidR="008F2149" w:rsidRDefault="008F2149" w:rsidP="00B04805">
      <w:pPr>
        <w:spacing w:line="480" w:lineRule="auto"/>
        <w:rPr>
          <w:rFonts w:ascii="TimesNewRoman" w:hAnsi="TimesNewRoman" w:cs="Arial" w:hint="eastAsia"/>
          <w:b/>
          <w:color w:val="000000"/>
          <w:sz w:val="24"/>
          <w:szCs w:val="24"/>
        </w:rPr>
      </w:pPr>
    </w:p>
    <w:p w:rsidR="008F2149" w:rsidRDefault="008F2149" w:rsidP="00B04805">
      <w:pPr>
        <w:spacing w:line="480" w:lineRule="auto"/>
        <w:rPr>
          <w:rFonts w:ascii="TimesNewRoman" w:hAnsi="TimesNewRoman" w:cs="Arial" w:hint="eastAsia"/>
          <w:b/>
          <w:color w:val="000000"/>
          <w:sz w:val="24"/>
          <w:szCs w:val="24"/>
        </w:rPr>
      </w:pPr>
    </w:p>
    <w:p w:rsidR="008F2149" w:rsidRDefault="008F2149" w:rsidP="00B04805">
      <w:pPr>
        <w:spacing w:line="480" w:lineRule="auto"/>
        <w:rPr>
          <w:rFonts w:ascii="TimesNewRoman" w:hAnsi="TimesNewRoman" w:cs="Arial" w:hint="eastAsia"/>
          <w:b/>
          <w:color w:val="000000"/>
          <w:sz w:val="24"/>
          <w:szCs w:val="24"/>
        </w:rPr>
      </w:pPr>
    </w:p>
    <w:p w:rsidR="008F2149" w:rsidRDefault="008F2149" w:rsidP="00B04805">
      <w:pPr>
        <w:spacing w:line="480" w:lineRule="auto"/>
        <w:rPr>
          <w:rFonts w:ascii="Times New Roman" w:hAnsi="Times New Roman" w:cs="Times New Roman"/>
          <w:b/>
          <w:sz w:val="24"/>
          <w:szCs w:val="24"/>
        </w:rPr>
      </w:pPr>
    </w:p>
    <w:p w:rsidR="0061637D" w:rsidRDefault="0061637D" w:rsidP="00B04805">
      <w:pPr>
        <w:spacing w:line="480" w:lineRule="auto"/>
        <w:rPr>
          <w:rFonts w:ascii="Times New Roman" w:hAnsi="Times New Roman" w:cs="Times New Roman"/>
          <w:b/>
          <w:sz w:val="24"/>
          <w:szCs w:val="24"/>
        </w:rPr>
      </w:pPr>
    </w:p>
    <w:p w:rsidR="0061637D" w:rsidRDefault="0061637D" w:rsidP="00B04805">
      <w:pPr>
        <w:spacing w:line="480" w:lineRule="auto"/>
        <w:rPr>
          <w:rFonts w:ascii="Times New Roman" w:hAnsi="Times New Roman" w:cs="Times New Roman"/>
          <w:b/>
          <w:sz w:val="24"/>
          <w:szCs w:val="24"/>
        </w:rPr>
      </w:pPr>
    </w:p>
    <w:p w:rsidR="0061637D" w:rsidRDefault="0061637D" w:rsidP="00B04805">
      <w:pPr>
        <w:spacing w:line="480" w:lineRule="auto"/>
        <w:rPr>
          <w:rFonts w:ascii="Times New Roman" w:hAnsi="Times New Roman" w:cs="Times New Roman"/>
          <w:b/>
          <w:sz w:val="24"/>
          <w:szCs w:val="24"/>
        </w:rPr>
      </w:pPr>
    </w:p>
    <w:p w:rsidR="0061637D" w:rsidRDefault="0061637D" w:rsidP="00B04805">
      <w:pPr>
        <w:spacing w:line="480" w:lineRule="auto"/>
        <w:rPr>
          <w:rFonts w:ascii="Times New Roman" w:hAnsi="Times New Roman" w:cs="Times New Roman"/>
          <w:b/>
          <w:sz w:val="24"/>
          <w:szCs w:val="24"/>
        </w:rPr>
      </w:pPr>
    </w:p>
    <w:p w:rsidR="0061637D" w:rsidRDefault="0061637D" w:rsidP="00B04805">
      <w:pPr>
        <w:spacing w:line="480" w:lineRule="auto"/>
        <w:rPr>
          <w:rFonts w:ascii="Times New Roman" w:hAnsi="Times New Roman" w:cs="Times New Roman"/>
          <w:b/>
          <w:sz w:val="24"/>
          <w:szCs w:val="24"/>
        </w:rPr>
      </w:pPr>
    </w:p>
    <w:p w:rsidR="00BE6843" w:rsidRDefault="00BE6843" w:rsidP="00B04805">
      <w:pPr>
        <w:spacing w:line="480" w:lineRule="auto"/>
        <w:rPr>
          <w:rFonts w:ascii="Times New Roman" w:hAnsi="Times New Roman" w:cs="Times New Roman"/>
          <w:b/>
          <w:sz w:val="24"/>
          <w:szCs w:val="24"/>
        </w:rPr>
      </w:pPr>
    </w:p>
    <w:p w:rsidR="00693C36" w:rsidRPr="008F2149" w:rsidRDefault="00E712A0" w:rsidP="000B47E5">
      <w:pPr>
        <w:spacing w:line="480" w:lineRule="auto"/>
        <w:jc w:val="center"/>
        <w:rPr>
          <w:rFonts w:ascii="TimesNewRoman" w:hAnsi="TimesNewRoman" w:hint="eastAsia"/>
          <w:color w:val="000000"/>
          <w:sz w:val="24"/>
          <w:szCs w:val="24"/>
        </w:rPr>
      </w:pPr>
      <w:r>
        <w:rPr>
          <w:rFonts w:ascii="TimesNewRoman" w:hAnsi="TimesNewRoman" w:hint="eastAsia"/>
          <w:noProof/>
          <w:color w:val="000000"/>
          <w:sz w:val="24"/>
          <w:szCs w:val="24"/>
        </w:rPr>
        <w:lastRenderedPageBreak/>
        <w:drawing>
          <wp:inline distT="0" distB="0" distL="0" distR="0">
            <wp:extent cx="3384348" cy="244475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q+lc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819" cy="2466039"/>
                    </a:xfrm>
                    <a:prstGeom prst="rect">
                      <a:avLst/>
                    </a:prstGeom>
                  </pic:spPr>
                </pic:pic>
              </a:graphicData>
            </a:graphic>
          </wp:inline>
        </w:drawing>
      </w:r>
    </w:p>
    <w:p w:rsidR="00BE6843" w:rsidRDefault="00E712A0" w:rsidP="00CC5D77">
      <w:pPr>
        <w:spacing w:line="480" w:lineRule="auto"/>
        <w:rPr>
          <w:rFonts w:ascii="TimesNewRoman" w:hAnsi="TimesNewRoman" w:hint="eastAsia"/>
          <w:color w:val="000000"/>
          <w:sz w:val="24"/>
          <w:szCs w:val="24"/>
        </w:rPr>
      </w:pPr>
      <w:r w:rsidRPr="000B47E5">
        <w:rPr>
          <w:rFonts w:ascii="TimesNewRoman" w:hAnsi="TimesNewRoman"/>
          <w:b/>
          <w:bCs/>
          <w:color w:val="000000"/>
          <w:sz w:val="24"/>
          <w:szCs w:val="24"/>
        </w:rPr>
        <w:t>F</w:t>
      </w:r>
      <w:r w:rsidR="00211086" w:rsidRPr="000B47E5">
        <w:rPr>
          <w:rFonts w:ascii="TimesNewRoman" w:hAnsi="TimesNewRoman"/>
          <w:b/>
          <w:bCs/>
          <w:color w:val="000000"/>
          <w:sz w:val="24"/>
          <w:szCs w:val="24"/>
        </w:rPr>
        <w:t>IGURE</w:t>
      </w:r>
      <w:r w:rsidRPr="000B47E5">
        <w:rPr>
          <w:rFonts w:ascii="TimesNewRoman" w:hAnsi="TimesNewRoman"/>
          <w:b/>
          <w:bCs/>
          <w:color w:val="000000"/>
          <w:sz w:val="24"/>
          <w:szCs w:val="24"/>
        </w:rPr>
        <w:t xml:space="preserve"> S1</w:t>
      </w:r>
      <w:r w:rsidR="00211086">
        <w:rPr>
          <w:rFonts w:ascii="TimesNewRoman" w:hAnsi="TimesNewRoman"/>
          <w:color w:val="000000"/>
          <w:sz w:val="24"/>
          <w:szCs w:val="24"/>
        </w:rPr>
        <w:t xml:space="preserve"> </w:t>
      </w:r>
      <w:bookmarkStart w:id="2" w:name="_Hlk22933954"/>
      <w:r w:rsidRPr="00211086">
        <w:rPr>
          <w:rFonts w:ascii="TimesNewRoman" w:hAnsi="TimesNewRoman"/>
          <w:color w:val="000000"/>
          <w:sz w:val="24"/>
          <w:szCs w:val="24"/>
        </w:rPr>
        <w:t>Sotetsuflavone activate autophagy flux in NSCLC A549 cells.</w:t>
      </w:r>
      <w:bookmarkEnd w:id="2"/>
      <w:r w:rsidRPr="00211086">
        <w:rPr>
          <w:rFonts w:ascii="TimesNewRoman" w:hAnsi="TimesNewRoman"/>
          <w:color w:val="000000"/>
          <w:sz w:val="24"/>
          <w:szCs w:val="24"/>
        </w:rPr>
        <w:t xml:space="preserve"> </w:t>
      </w:r>
      <w:r w:rsidRPr="00E712A0">
        <w:rPr>
          <w:rFonts w:ascii="TimesNewRoman" w:hAnsi="TimesNewRoman"/>
          <w:color w:val="000000"/>
          <w:sz w:val="24"/>
          <w:szCs w:val="24"/>
        </w:rPr>
        <w:t xml:space="preserve">A549 </w:t>
      </w:r>
      <w:r w:rsidR="000B47E5">
        <w:rPr>
          <w:rFonts w:ascii="TimesNewRoman" w:hAnsi="TimesNewRoman"/>
          <w:color w:val="000000"/>
          <w:sz w:val="24"/>
          <w:szCs w:val="24"/>
        </w:rPr>
        <w:t>c</w:t>
      </w:r>
      <w:r w:rsidRPr="00E712A0">
        <w:rPr>
          <w:rFonts w:ascii="TimesNewRoman" w:hAnsi="TimesNewRoman"/>
          <w:color w:val="000000"/>
          <w:sz w:val="24"/>
          <w:szCs w:val="24"/>
        </w:rPr>
        <w:t>ells</w:t>
      </w:r>
      <w:r>
        <w:rPr>
          <w:rFonts w:ascii="TimesNewRoman" w:hAnsi="TimesNewRoman"/>
          <w:color w:val="000000"/>
          <w:sz w:val="24"/>
          <w:szCs w:val="24"/>
        </w:rPr>
        <w:t xml:space="preserve"> </w:t>
      </w:r>
      <w:r w:rsidRPr="00E712A0">
        <w:rPr>
          <w:rFonts w:ascii="TimesNewRoman" w:hAnsi="TimesNewRoman"/>
          <w:color w:val="000000"/>
          <w:sz w:val="24"/>
          <w:szCs w:val="24"/>
        </w:rPr>
        <w:t xml:space="preserve">were treated with </w:t>
      </w:r>
      <w:r>
        <w:rPr>
          <w:rFonts w:ascii="TimesNewRoman" w:hAnsi="TimesNewRoman"/>
          <w:color w:val="000000"/>
          <w:sz w:val="24"/>
          <w:szCs w:val="24"/>
        </w:rPr>
        <w:t xml:space="preserve">128 </w:t>
      </w:r>
      <w:r w:rsidRPr="00E712A0">
        <w:rPr>
          <w:rFonts w:ascii="TimesNewRoman" w:hAnsi="TimesNewRoman"/>
          <w:color w:val="000000"/>
          <w:sz w:val="24"/>
          <w:szCs w:val="24"/>
        </w:rPr>
        <w:t>μ</w:t>
      </w:r>
      <w:r>
        <w:rPr>
          <w:rFonts w:ascii="TimesNewRoman" w:hAnsi="TimesNewRoman"/>
          <w:color w:val="000000"/>
          <w:sz w:val="24"/>
          <w:szCs w:val="24"/>
        </w:rPr>
        <w:t xml:space="preserve">mol/L </w:t>
      </w:r>
      <w:r>
        <w:rPr>
          <w:rFonts w:ascii="TimesNewRoman" w:hAnsi="TimesNewRoman" w:hint="eastAsia"/>
          <w:color w:val="000000"/>
          <w:sz w:val="24"/>
          <w:szCs w:val="24"/>
        </w:rPr>
        <w:t>s</w:t>
      </w:r>
      <w:r>
        <w:rPr>
          <w:rFonts w:ascii="TimesNewRoman" w:hAnsi="TimesNewRoman"/>
          <w:color w:val="000000"/>
          <w:sz w:val="24"/>
          <w:szCs w:val="24"/>
        </w:rPr>
        <w:t>otetsuflavone</w:t>
      </w:r>
      <w:r w:rsidRPr="00E712A0">
        <w:rPr>
          <w:rFonts w:ascii="TimesNewRoman" w:hAnsi="TimesNewRoman"/>
          <w:color w:val="000000"/>
          <w:sz w:val="24"/>
          <w:szCs w:val="24"/>
        </w:rPr>
        <w:t xml:space="preserve"> and with or without </w:t>
      </w:r>
      <w:r w:rsidR="000B47E5">
        <w:rPr>
          <w:rFonts w:ascii="TimesNewRoman" w:hAnsi="TimesNewRoman"/>
          <w:color w:val="000000"/>
          <w:sz w:val="24"/>
          <w:szCs w:val="24"/>
        </w:rPr>
        <w:t xml:space="preserve">10 </w:t>
      </w:r>
      <w:r w:rsidR="000B47E5" w:rsidRPr="00E712A0">
        <w:rPr>
          <w:rFonts w:ascii="TimesNewRoman" w:hAnsi="TimesNewRoman"/>
          <w:color w:val="000000"/>
          <w:sz w:val="24"/>
          <w:szCs w:val="24"/>
        </w:rPr>
        <w:t>μ</w:t>
      </w:r>
      <w:r w:rsidR="000B47E5">
        <w:rPr>
          <w:rFonts w:ascii="TimesNewRoman" w:hAnsi="TimesNewRoman"/>
          <w:color w:val="000000"/>
          <w:sz w:val="24"/>
          <w:szCs w:val="24"/>
        </w:rPr>
        <w:t xml:space="preserve">M </w:t>
      </w:r>
      <w:r w:rsidRPr="00E712A0">
        <w:rPr>
          <w:rFonts w:ascii="TimesNewRoman" w:hAnsi="TimesNewRoman"/>
          <w:color w:val="000000"/>
          <w:sz w:val="24"/>
          <w:szCs w:val="24"/>
        </w:rPr>
        <w:t>CQ for 24 h</w:t>
      </w:r>
      <w:r>
        <w:rPr>
          <w:rFonts w:ascii="TimesNewRoman" w:hAnsi="TimesNewRoman" w:hint="eastAsia"/>
          <w:color w:val="000000"/>
          <w:sz w:val="24"/>
          <w:szCs w:val="24"/>
        </w:rPr>
        <w:t>ours</w:t>
      </w:r>
      <w:r w:rsidRPr="00E712A0">
        <w:rPr>
          <w:rFonts w:ascii="TimesNewRoman" w:hAnsi="TimesNewRoman"/>
          <w:color w:val="000000"/>
          <w:sz w:val="24"/>
          <w:szCs w:val="24"/>
        </w:rPr>
        <w:t xml:space="preserve">. LC3 </w:t>
      </w:r>
      <w:r>
        <w:rPr>
          <w:rFonts w:ascii="TimesNewRoman" w:hAnsi="TimesNewRoman"/>
          <w:color w:val="000000"/>
          <w:sz w:val="24"/>
          <w:szCs w:val="24"/>
        </w:rPr>
        <w:t>spots</w:t>
      </w:r>
      <w:r w:rsidRPr="00E712A0">
        <w:rPr>
          <w:rFonts w:ascii="TimesNewRoman" w:hAnsi="TimesNewRoman"/>
          <w:color w:val="000000"/>
          <w:sz w:val="24"/>
          <w:szCs w:val="24"/>
        </w:rPr>
        <w:t xml:space="preserve"> and</w:t>
      </w:r>
      <w:r>
        <w:rPr>
          <w:rFonts w:ascii="TimesNewRoman" w:hAnsi="TimesNewRoman"/>
          <w:color w:val="000000"/>
          <w:sz w:val="24"/>
          <w:szCs w:val="24"/>
        </w:rPr>
        <w:t xml:space="preserve"> </w:t>
      </w:r>
      <w:r w:rsidRPr="00E712A0">
        <w:rPr>
          <w:rFonts w:ascii="TimesNewRoman" w:hAnsi="TimesNewRoman"/>
          <w:color w:val="000000"/>
          <w:sz w:val="24"/>
          <w:szCs w:val="24"/>
        </w:rPr>
        <w:t xml:space="preserve">nuclei </w:t>
      </w:r>
      <w:r w:rsidRPr="00C15339">
        <w:rPr>
          <w:rFonts w:ascii="Times New Roman" w:eastAsia="楷体" w:hAnsi="Times New Roman" w:cs="Times New Roman"/>
          <w:bCs/>
          <w:color w:val="0D0D0D" w:themeColor="text1" w:themeTint="F2"/>
          <w:sz w:val="24"/>
          <w:szCs w:val="24"/>
        </w:rPr>
        <w:t>were observed under a confocal microscope. Scale bar: 5μm.</w:t>
      </w:r>
    </w:p>
    <w:p w:rsidR="00BE6843" w:rsidRPr="00BE6843" w:rsidRDefault="00BE6843" w:rsidP="00CC5D77">
      <w:pPr>
        <w:spacing w:line="480" w:lineRule="auto"/>
        <w:rPr>
          <w:rFonts w:ascii="TimesNewRoman" w:hAnsi="TimesNewRoman" w:hint="eastAsia"/>
          <w:color w:val="000000"/>
          <w:sz w:val="24"/>
          <w:szCs w:val="24"/>
        </w:rPr>
      </w:pPr>
    </w:p>
    <w:p w:rsidR="001D142B" w:rsidRDefault="00BE6843" w:rsidP="00E6364C">
      <w:pPr>
        <w:jc w:val="center"/>
      </w:pPr>
      <w:r>
        <w:rPr>
          <w:noProof/>
        </w:rPr>
        <w:drawing>
          <wp:inline distT="0" distB="0" distL="0" distR="0">
            <wp:extent cx="2063496" cy="289192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1 [24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496" cy="2891928"/>
                    </a:xfrm>
                    <a:prstGeom prst="rect">
                      <a:avLst/>
                    </a:prstGeom>
                  </pic:spPr>
                </pic:pic>
              </a:graphicData>
            </a:graphic>
          </wp:inline>
        </w:drawing>
      </w:r>
    </w:p>
    <w:p w:rsidR="001E45DE" w:rsidRPr="004B1436" w:rsidRDefault="00BE6843" w:rsidP="004B1436">
      <w:pPr>
        <w:spacing w:line="480" w:lineRule="auto"/>
        <w:rPr>
          <w:rFonts w:ascii="TimesNewRoman" w:hAnsi="TimesNewRoman" w:cs="Arial" w:hint="eastAsia"/>
          <w:b/>
          <w:bCs/>
          <w:color w:val="000000"/>
          <w:sz w:val="24"/>
          <w:szCs w:val="24"/>
        </w:rPr>
      </w:pPr>
      <w:r w:rsidRPr="00BE6843">
        <w:rPr>
          <w:rFonts w:ascii="TimesNewRoman" w:hAnsi="TimesNewRoman" w:cs="Arial"/>
          <w:b/>
          <w:bCs/>
          <w:color w:val="000000"/>
          <w:sz w:val="24"/>
          <w:szCs w:val="24"/>
        </w:rPr>
        <w:t>FIGURE</w:t>
      </w:r>
      <w:r w:rsidRPr="00BE6843">
        <w:rPr>
          <w:rFonts w:ascii="TimesNewRoman" w:hAnsi="TimesNewRoman" w:cs="Arial" w:hint="eastAsia"/>
          <w:b/>
          <w:bCs/>
          <w:color w:val="000000"/>
          <w:sz w:val="24"/>
          <w:szCs w:val="24"/>
        </w:rPr>
        <w:t xml:space="preserve"> </w:t>
      </w:r>
      <w:r w:rsidRPr="00BE6843">
        <w:rPr>
          <w:rFonts w:ascii="TimesNewRoman" w:hAnsi="TimesNewRoman" w:cs="Arial"/>
          <w:b/>
          <w:bCs/>
          <w:color w:val="000000"/>
          <w:sz w:val="24"/>
          <w:szCs w:val="24"/>
        </w:rPr>
        <w:t>S2</w:t>
      </w:r>
      <w:r>
        <w:rPr>
          <w:rFonts w:ascii="TimesNewRoman" w:hAnsi="TimesNewRoman" w:cs="Arial"/>
          <w:b/>
          <w:bCs/>
          <w:color w:val="000000"/>
          <w:sz w:val="24"/>
          <w:szCs w:val="24"/>
        </w:rPr>
        <w:t xml:space="preserve"> </w:t>
      </w:r>
      <w:r w:rsidR="00491D18" w:rsidRPr="00491D18">
        <w:rPr>
          <w:rFonts w:ascii="TimesNewRoman" w:hAnsi="TimesNewRoman" w:cs="Arial"/>
          <w:color w:val="000000"/>
          <w:sz w:val="24"/>
          <w:szCs w:val="24"/>
        </w:rPr>
        <w:t xml:space="preserve">Inhibitors CQ and LY294002 can enhance the inhibition of </w:t>
      </w:r>
      <w:r w:rsidR="00491D18">
        <w:rPr>
          <w:rFonts w:ascii="TimesNewRoman" w:hAnsi="TimesNewRoman" w:cs="Arial"/>
          <w:color w:val="000000"/>
          <w:sz w:val="24"/>
          <w:szCs w:val="24"/>
        </w:rPr>
        <w:t>sotetsuflavone</w:t>
      </w:r>
      <w:r w:rsidR="00491D18" w:rsidRPr="00491D18">
        <w:rPr>
          <w:rFonts w:ascii="TimesNewRoman" w:hAnsi="TimesNewRoman" w:cs="Arial"/>
          <w:color w:val="000000"/>
          <w:sz w:val="24"/>
          <w:szCs w:val="24"/>
        </w:rPr>
        <w:t xml:space="preserve"> on the proliferation of non-small cell lung cancer A549 cells</w:t>
      </w:r>
      <w:r w:rsidR="00491D18">
        <w:rPr>
          <w:rFonts w:ascii="TimesNewRoman" w:hAnsi="TimesNewRoman" w:cs="Arial"/>
          <w:color w:val="000000"/>
          <w:sz w:val="24"/>
          <w:szCs w:val="24"/>
        </w:rPr>
        <w:t xml:space="preserve">. </w:t>
      </w:r>
      <w:r w:rsidR="00491D18" w:rsidRPr="00E712A0">
        <w:rPr>
          <w:rFonts w:ascii="TimesNewRoman" w:hAnsi="TimesNewRoman"/>
          <w:color w:val="000000"/>
          <w:sz w:val="24"/>
          <w:szCs w:val="24"/>
        </w:rPr>
        <w:t xml:space="preserve">A549 </w:t>
      </w:r>
      <w:r w:rsidR="00491D18">
        <w:rPr>
          <w:rFonts w:ascii="TimesNewRoman" w:hAnsi="TimesNewRoman"/>
          <w:color w:val="000000"/>
          <w:sz w:val="24"/>
          <w:szCs w:val="24"/>
        </w:rPr>
        <w:t>c</w:t>
      </w:r>
      <w:r w:rsidR="00491D18" w:rsidRPr="00E712A0">
        <w:rPr>
          <w:rFonts w:ascii="TimesNewRoman" w:hAnsi="TimesNewRoman"/>
          <w:color w:val="000000"/>
          <w:sz w:val="24"/>
          <w:szCs w:val="24"/>
        </w:rPr>
        <w:t>ells</w:t>
      </w:r>
      <w:r w:rsidR="00491D18">
        <w:rPr>
          <w:rFonts w:ascii="TimesNewRoman" w:hAnsi="TimesNewRoman"/>
          <w:color w:val="000000"/>
          <w:sz w:val="24"/>
          <w:szCs w:val="24"/>
        </w:rPr>
        <w:t xml:space="preserve"> </w:t>
      </w:r>
      <w:r w:rsidR="00491D18" w:rsidRPr="00E712A0">
        <w:rPr>
          <w:rFonts w:ascii="TimesNewRoman" w:hAnsi="TimesNewRoman"/>
          <w:color w:val="000000"/>
          <w:sz w:val="24"/>
          <w:szCs w:val="24"/>
        </w:rPr>
        <w:t xml:space="preserve">were treated with </w:t>
      </w:r>
      <w:r w:rsidR="00491D18">
        <w:rPr>
          <w:rFonts w:ascii="TimesNewRoman" w:hAnsi="TimesNewRoman"/>
          <w:color w:val="000000"/>
          <w:sz w:val="24"/>
          <w:szCs w:val="24"/>
        </w:rPr>
        <w:t xml:space="preserve">128 </w:t>
      </w:r>
      <w:r w:rsidR="00491D18" w:rsidRPr="00E712A0">
        <w:rPr>
          <w:rFonts w:ascii="TimesNewRoman" w:hAnsi="TimesNewRoman"/>
          <w:color w:val="000000"/>
          <w:sz w:val="24"/>
          <w:szCs w:val="24"/>
        </w:rPr>
        <w:t>μ</w:t>
      </w:r>
      <w:r w:rsidR="00491D18">
        <w:rPr>
          <w:rFonts w:ascii="TimesNewRoman" w:hAnsi="TimesNewRoman"/>
          <w:color w:val="000000"/>
          <w:sz w:val="24"/>
          <w:szCs w:val="24"/>
        </w:rPr>
        <w:t xml:space="preserve">mol/L </w:t>
      </w:r>
      <w:r w:rsidR="00491D18">
        <w:rPr>
          <w:rFonts w:ascii="TimesNewRoman" w:hAnsi="TimesNewRoman" w:hint="eastAsia"/>
          <w:color w:val="000000"/>
          <w:sz w:val="24"/>
          <w:szCs w:val="24"/>
        </w:rPr>
        <w:t>s</w:t>
      </w:r>
      <w:r w:rsidR="00491D18">
        <w:rPr>
          <w:rFonts w:ascii="TimesNewRoman" w:hAnsi="TimesNewRoman"/>
          <w:color w:val="000000"/>
          <w:sz w:val="24"/>
          <w:szCs w:val="24"/>
        </w:rPr>
        <w:t>otetsuflavone</w:t>
      </w:r>
      <w:r w:rsidR="00491D18" w:rsidRPr="00E712A0">
        <w:rPr>
          <w:rFonts w:ascii="TimesNewRoman" w:hAnsi="TimesNewRoman"/>
          <w:color w:val="000000"/>
          <w:sz w:val="24"/>
          <w:szCs w:val="24"/>
        </w:rPr>
        <w:t xml:space="preserve"> and with or without </w:t>
      </w:r>
      <w:bookmarkStart w:id="3" w:name="OLE_LINK3"/>
      <w:r w:rsidR="00491D18">
        <w:rPr>
          <w:rFonts w:ascii="TimesNewRoman" w:hAnsi="TimesNewRoman"/>
          <w:color w:val="000000"/>
          <w:sz w:val="24"/>
          <w:szCs w:val="24"/>
        </w:rPr>
        <w:t xml:space="preserve">10 </w:t>
      </w:r>
      <w:r w:rsidR="00491D18" w:rsidRPr="00E712A0">
        <w:rPr>
          <w:rFonts w:ascii="TimesNewRoman" w:hAnsi="TimesNewRoman"/>
          <w:color w:val="000000"/>
          <w:sz w:val="24"/>
          <w:szCs w:val="24"/>
        </w:rPr>
        <w:t>μ</w:t>
      </w:r>
      <w:r w:rsidR="00491D18">
        <w:rPr>
          <w:rFonts w:ascii="TimesNewRoman" w:hAnsi="TimesNewRoman"/>
          <w:color w:val="000000"/>
          <w:sz w:val="24"/>
          <w:szCs w:val="24"/>
        </w:rPr>
        <w:t>M</w:t>
      </w:r>
      <w:bookmarkEnd w:id="3"/>
      <w:r w:rsidR="00491D18">
        <w:rPr>
          <w:rFonts w:ascii="TimesNewRoman" w:hAnsi="TimesNewRoman"/>
          <w:color w:val="000000"/>
          <w:sz w:val="24"/>
          <w:szCs w:val="24"/>
        </w:rPr>
        <w:t xml:space="preserve"> </w:t>
      </w:r>
      <w:r w:rsidR="00491D18" w:rsidRPr="00E712A0">
        <w:rPr>
          <w:rFonts w:ascii="TimesNewRoman" w:hAnsi="TimesNewRoman"/>
          <w:color w:val="000000"/>
          <w:sz w:val="24"/>
          <w:szCs w:val="24"/>
        </w:rPr>
        <w:t xml:space="preserve">CQ </w:t>
      </w:r>
      <w:r w:rsidR="00491D18">
        <w:rPr>
          <w:rFonts w:ascii="TimesNewRoman" w:hAnsi="TimesNewRoman"/>
          <w:color w:val="000000"/>
          <w:sz w:val="24"/>
          <w:szCs w:val="24"/>
        </w:rPr>
        <w:t xml:space="preserve">or </w:t>
      </w:r>
      <w:r w:rsidR="00AF5C72">
        <w:rPr>
          <w:rFonts w:ascii="TimesNewRoman" w:hAnsi="TimesNewRoman"/>
          <w:color w:val="000000"/>
          <w:sz w:val="24"/>
          <w:szCs w:val="24"/>
        </w:rPr>
        <w:lastRenderedPageBreak/>
        <w:t>2</w:t>
      </w:r>
      <w:r w:rsidR="00D610D6">
        <w:rPr>
          <w:rFonts w:ascii="TimesNewRoman" w:hAnsi="TimesNewRoman"/>
          <w:color w:val="000000"/>
          <w:sz w:val="24"/>
          <w:szCs w:val="24"/>
        </w:rPr>
        <w:t xml:space="preserve">0 </w:t>
      </w:r>
      <w:r w:rsidR="00D610D6" w:rsidRPr="00E712A0">
        <w:rPr>
          <w:rFonts w:ascii="TimesNewRoman" w:hAnsi="TimesNewRoman"/>
          <w:color w:val="000000"/>
          <w:sz w:val="24"/>
          <w:szCs w:val="24"/>
        </w:rPr>
        <w:t>μ</w:t>
      </w:r>
      <w:r w:rsidR="00D610D6">
        <w:rPr>
          <w:rFonts w:ascii="TimesNewRoman" w:hAnsi="TimesNewRoman"/>
          <w:color w:val="000000"/>
          <w:sz w:val="24"/>
          <w:szCs w:val="24"/>
        </w:rPr>
        <w:t xml:space="preserve">M </w:t>
      </w:r>
      <w:r w:rsidR="00491D18">
        <w:rPr>
          <w:rFonts w:ascii="TimesNewRoman" w:hAnsi="TimesNewRoman"/>
          <w:color w:val="000000"/>
          <w:sz w:val="24"/>
          <w:szCs w:val="24"/>
        </w:rPr>
        <w:t>LY294002</w:t>
      </w:r>
      <w:r w:rsidR="00D610D6">
        <w:rPr>
          <w:rFonts w:ascii="TimesNewRoman" w:hAnsi="TimesNewRoman"/>
          <w:color w:val="000000"/>
          <w:sz w:val="24"/>
          <w:szCs w:val="24"/>
        </w:rPr>
        <w:t xml:space="preserve"> </w:t>
      </w:r>
      <w:r w:rsidR="00D610D6" w:rsidRPr="00D610D6">
        <w:rPr>
          <w:rFonts w:ascii="TimesNewRoman" w:hAnsi="TimesNewRoman"/>
          <w:color w:val="000000"/>
          <w:sz w:val="24"/>
          <w:szCs w:val="24"/>
        </w:rPr>
        <w:t>respectively</w:t>
      </w:r>
      <w:r w:rsidR="00491D18">
        <w:rPr>
          <w:rFonts w:ascii="TimesNewRoman" w:hAnsi="TimesNewRoman"/>
          <w:color w:val="000000"/>
          <w:sz w:val="24"/>
          <w:szCs w:val="24"/>
        </w:rPr>
        <w:t xml:space="preserve"> </w:t>
      </w:r>
      <w:r w:rsidR="00491D18" w:rsidRPr="00E712A0">
        <w:rPr>
          <w:rFonts w:ascii="TimesNewRoman" w:hAnsi="TimesNewRoman"/>
          <w:color w:val="000000"/>
          <w:sz w:val="24"/>
          <w:szCs w:val="24"/>
        </w:rPr>
        <w:t>for 24 h</w:t>
      </w:r>
      <w:r w:rsidR="00491D18">
        <w:rPr>
          <w:rFonts w:ascii="TimesNewRoman" w:hAnsi="TimesNewRoman" w:hint="eastAsia"/>
          <w:color w:val="000000"/>
          <w:sz w:val="24"/>
          <w:szCs w:val="24"/>
        </w:rPr>
        <w:t>ours</w:t>
      </w:r>
      <w:r w:rsidR="00491D18" w:rsidRPr="00E712A0">
        <w:rPr>
          <w:rFonts w:ascii="TimesNewRoman" w:hAnsi="TimesNewRoman"/>
          <w:color w:val="000000"/>
          <w:sz w:val="24"/>
          <w:szCs w:val="24"/>
        </w:rPr>
        <w:t>.</w:t>
      </w:r>
      <w:r w:rsidR="004E6BF1">
        <w:rPr>
          <w:rFonts w:ascii="TimesNewRoman" w:hAnsi="TimesNewRoman"/>
          <w:color w:val="000000"/>
          <w:sz w:val="24"/>
          <w:szCs w:val="24"/>
        </w:rPr>
        <w:t xml:space="preserve"> </w:t>
      </w:r>
      <w:r w:rsidR="004E6BF1">
        <w:rPr>
          <w:rFonts w:ascii="TimesNewRoman" w:hAnsi="TimesNewRoman" w:hint="eastAsia"/>
          <w:color w:val="000000"/>
          <w:sz w:val="24"/>
          <w:szCs w:val="24"/>
        </w:rPr>
        <w:t>A</w:t>
      </w:r>
      <w:r w:rsidR="004E6BF1">
        <w:rPr>
          <w:rFonts w:ascii="TimesNewRoman" w:hAnsi="TimesNewRoman"/>
          <w:color w:val="000000"/>
          <w:sz w:val="24"/>
          <w:szCs w:val="24"/>
        </w:rPr>
        <w:t>nd the c</w:t>
      </w:r>
      <w:r w:rsidR="004E6BF1" w:rsidRPr="004E6BF1">
        <w:rPr>
          <w:rFonts w:ascii="TimesNewRoman" w:hAnsi="TimesNewRoman"/>
          <w:color w:val="000000"/>
          <w:sz w:val="24"/>
          <w:szCs w:val="24"/>
        </w:rPr>
        <w:t>ell viability was measured by MTT assay.</w:t>
      </w:r>
      <w:bookmarkStart w:id="4" w:name="_GoBack"/>
      <w:bookmarkEnd w:id="4"/>
    </w:p>
    <w:p w:rsidR="00736F45" w:rsidRDefault="00736F45" w:rsidP="008F2149">
      <w:pPr>
        <w:spacing w:line="480" w:lineRule="auto"/>
        <w:rPr>
          <w:rFonts w:ascii="TimesNewRoman" w:hAnsi="TimesNewRoman" w:cs="Arial" w:hint="eastAsia"/>
          <w:b/>
          <w:color w:val="000000"/>
          <w:sz w:val="24"/>
          <w:szCs w:val="24"/>
        </w:rPr>
      </w:pPr>
    </w:p>
    <w:sectPr w:rsidR="00736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C9" w:rsidRDefault="001242C9" w:rsidP="00B361AE">
      <w:r>
        <w:separator/>
      </w:r>
    </w:p>
  </w:endnote>
  <w:endnote w:type="continuationSeparator" w:id="0">
    <w:p w:rsidR="001242C9" w:rsidRDefault="001242C9" w:rsidP="00B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C9" w:rsidRDefault="001242C9" w:rsidP="00B361AE">
      <w:r>
        <w:separator/>
      </w:r>
    </w:p>
  </w:footnote>
  <w:footnote w:type="continuationSeparator" w:id="0">
    <w:p w:rsidR="001242C9" w:rsidRDefault="001242C9" w:rsidP="00B36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70"/>
    <w:rsid w:val="00002FB3"/>
    <w:rsid w:val="00006011"/>
    <w:rsid w:val="000273D8"/>
    <w:rsid w:val="00064BC5"/>
    <w:rsid w:val="00066FE8"/>
    <w:rsid w:val="00071DB0"/>
    <w:rsid w:val="00092AEB"/>
    <w:rsid w:val="00093534"/>
    <w:rsid w:val="000A191C"/>
    <w:rsid w:val="000A65C6"/>
    <w:rsid w:val="000B47E5"/>
    <w:rsid w:val="000D7170"/>
    <w:rsid w:val="00113AFF"/>
    <w:rsid w:val="001223F1"/>
    <w:rsid w:val="001242C9"/>
    <w:rsid w:val="001262C3"/>
    <w:rsid w:val="00156343"/>
    <w:rsid w:val="0015657E"/>
    <w:rsid w:val="001A049C"/>
    <w:rsid w:val="001C7E6F"/>
    <w:rsid w:val="001D142B"/>
    <w:rsid w:val="001E2DAF"/>
    <w:rsid w:val="001E45DE"/>
    <w:rsid w:val="001E69C3"/>
    <w:rsid w:val="001F2BF5"/>
    <w:rsid w:val="00211086"/>
    <w:rsid w:val="002A3555"/>
    <w:rsid w:val="002C2408"/>
    <w:rsid w:val="002D349B"/>
    <w:rsid w:val="002F6057"/>
    <w:rsid w:val="00334D53"/>
    <w:rsid w:val="00391C2A"/>
    <w:rsid w:val="0043075B"/>
    <w:rsid w:val="004520AF"/>
    <w:rsid w:val="0046157F"/>
    <w:rsid w:val="00491D18"/>
    <w:rsid w:val="00493D48"/>
    <w:rsid w:val="004A5EA0"/>
    <w:rsid w:val="004B084E"/>
    <w:rsid w:val="004B1436"/>
    <w:rsid w:val="004E0E76"/>
    <w:rsid w:val="004E51F8"/>
    <w:rsid w:val="004E6BF1"/>
    <w:rsid w:val="004F1ADC"/>
    <w:rsid w:val="004F541B"/>
    <w:rsid w:val="0051607C"/>
    <w:rsid w:val="00540859"/>
    <w:rsid w:val="00545321"/>
    <w:rsid w:val="00557382"/>
    <w:rsid w:val="005B2803"/>
    <w:rsid w:val="005B43E0"/>
    <w:rsid w:val="005B701E"/>
    <w:rsid w:val="005E4CE4"/>
    <w:rsid w:val="0061637D"/>
    <w:rsid w:val="00640AB4"/>
    <w:rsid w:val="00667376"/>
    <w:rsid w:val="006722AC"/>
    <w:rsid w:val="00686168"/>
    <w:rsid w:val="00693C36"/>
    <w:rsid w:val="006961D3"/>
    <w:rsid w:val="006A5A8D"/>
    <w:rsid w:val="006A784D"/>
    <w:rsid w:val="006B607E"/>
    <w:rsid w:val="006B7E92"/>
    <w:rsid w:val="006C615E"/>
    <w:rsid w:val="006F6C02"/>
    <w:rsid w:val="00705E4C"/>
    <w:rsid w:val="0071223A"/>
    <w:rsid w:val="00712733"/>
    <w:rsid w:val="00726CFF"/>
    <w:rsid w:val="00736F45"/>
    <w:rsid w:val="00751970"/>
    <w:rsid w:val="00753E2D"/>
    <w:rsid w:val="00757255"/>
    <w:rsid w:val="00797EDD"/>
    <w:rsid w:val="007A2ECD"/>
    <w:rsid w:val="00822821"/>
    <w:rsid w:val="008431DC"/>
    <w:rsid w:val="008779F6"/>
    <w:rsid w:val="008825E4"/>
    <w:rsid w:val="008A2400"/>
    <w:rsid w:val="008C2FAF"/>
    <w:rsid w:val="008D17AD"/>
    <w:rsid w:val="008F2149"/>
    <w:rsid w:val="009018DD"/>
    <w:rsid w:val="00905E01"/>
    <w:rsid w:val="009067A1"/>
    <w:rsid w:val="009069C2"/>
    <w:rsid w:val="00922E1D"/>
    <w:rsid w:val="00974E33"/>
    <w:rsid w:val="00981CC4"/>
    <w:rsid w:val="00983EBC"/>
    <w:rsid w:val="00985021"/>
    <w:rsid w:val="009A7890"/>
    <w:rsid w:val="009B0219"/>
    <w:rsid w:val="009D6ADE"/>
    <w:rsid w:val="00A04E4F"/>
    <w:rsid w:val="00A16189"/>
    <w:rsid w:val="00A26D67"/>
    <w:rsid w:val="00A73D6A"/>
    <w:rsid w:val="00AA4511"/>
    <w:rsid w:val="00AA5CCB"/>
    <w:rsid w:val="00AB14C7"/>
    <w:rsid w:val="00AB6A78"/>
    <w:rsid w:val="00AF5C72"/>
    <w:rsid w:val="00B04805"/>
    <w:rsid w:val="00B24739"/>
    <w:rsid w:val="00B361AE"/>
    <w:rsid w:val="00B5388D"/>
    <w:rsid w:val="00B549D1"/>
    <w:rsid w:val="00B66546"/>
    <w:rsid w:val="00B67B69"/>
    <w:rsid w:val="00B74A7C"/>
    <w:rsid w:val="00B81FF9"/>
    <w:rsid w:val="00B867D7"/>
    <w:rsid w:val="00B923F7"/>
    <w:rsid w:val="00BB05AA"/>
    <w:rsid w:val="00BB08E1"/>
    <w:rsid w:val="00BE515D"/>
    <w:rsid w:val="00BE616B"/>
    <w:rsid w:val="00BE6843"/>
    <w:rsid w:val="00BE781B"/>
    <w:rsid w:val="00C03868"/>
    <w:rsid w:val="00C15258"/>
    <w:rsid w:val="00C21759"/>
    <w:rsid w:val="00C62473"/>
    <w:rsid w:val="00C80E38"/>
    <w:rsid w:val="00CA6897"/>
    <w:rsid w:val="00CC5D77"/>
    <w:rsid w:val="00CC7A42"/>
    <w:rsid w:val="00CF6480"/>
    <w:rsid w:val="00D40EDE"/>
    <w:rsid w:val="00D4120D"/>
    <w:rsid w:val="00D610D6"/>
    <w:rsid w:val="00D61A15"/>
    <w:rsid w:val="00D758D5"/>
    <w:rsid w:val="00D76054"/>
    <w:rsid w:val="00D867E9"/>
    <w:rsid w:val="00DB6EEF"/>
    <w:rsid w:val="00DE4A52"/>
    <w:rsid w:val="00E03F08"/>
    <w:rsid w:val="00E03FA6"/>
    <w:rsid w:val="00E07F5D"/>
    <w:rsid w:val="00E6275D"/>
    <w:rsid w:val="00E6364C"/>
    <w:rsid w:val="00E636C0"/>
    <w:rsid w:val="00E712A0"/>
    <w:rsid w:val="00E74B50"/>
    <w:rsid w:val="00E94373"/>
    <w:rsid w:val="00EA7269"/>
    <w:rsid w:val="00EB1D59"/>
    <w:rsid w:val="00EB4DAF"/>
    <w:rsid w:val="00EC5F7E"/>
    <w:rsid w:val="00EE2605"/>
    <w:rsid w:val="00EF2600"/>
    <w:rsid w:val="00EF4EDA"/>
    <w:rsid w:val="00F07F81"/>
    <w:rsid w:val="00F27D58"/>
    <w:rsid w:val="00F41AE7"/>
    <w:rsid w:val="00F44A0B"/>
    <w:rsid w:val="00F655F7"/>
    <w:rsid w:val="00F841E0"/>
    <w:rsid w:val="00FC5342"/>
    <w:rsid w:val="00FC685D"/>
    <w:rsid w:val="00FE760E"/>
    <w:rsid w:val="00FF1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77A1"/>
  <w15:docId w15:val="{5730924F-E133-4AB5-A5B9-28DD3991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1AE"/>
    <w:rPr>
      <w:sz w:val="18"/>
      <w:szCs w:val="18"/>
    </w:rPr>
  </w:style>
  <w:style w:type="paragraph" w:styleId="a5">
    <w:name w:val="footer"/>
    <w:basedOn w:val="a"/>
    <w:link w:val="a6"/>
    <w:uiPriority w:val="99"/>
    <w:unhideWhenUsed/>
    <w:rsid w:val="00B361AE"/>
    <w:pPr>
      <w:tabs>
        <w:tab w:val="center" w:pos="4153"/>
        <w:tab w:val="right" w:pos="8306"/>
      </w:tabs>
      <w:snapToGrid w:val="0"/>
      <w:jc w:val="left"/>
    </w:pPr>
    <w:rPr>
      <w:sz w:val="18"/>
      <w:szCs w:val="18"/>
    </w:rPr>
  </w:style>
  <w:style w:type="character" w:customStyle="1" w:styleId="a6">
    <w:name w:val="页脚 字符"/>
    <w:basedOn w:val="a0"/>
    <w:link w:val="a5"/>
    <w:uiPriority w:val="99"/>
    <w:rsid w:val="00B361AE"/>
    <w:rPr>
      <w:sz w:val="18"/>
      <w:szCs w:val="18"/>
    </w:rPr>
  </w:style>
  <w:style w:type="paragraph" w:styleId="a7">
    <w:name w:val="Balloon Text"/>
    <w:basedOn w:val="a"/>
    <w:link w:val="a8"/>
    <w:uiPriority w:val="99"/>
    <w:semiHidden/>
    <w:unhideWhenUsed/>
    <w:rsid w:val="001D142B"/>
    <w:rPr>
      <w:sz w:val="18"/>
      <w:szCs w:val="18"/>
    </w:rPr>
  </w:style>
  <w:style w:type="character" w:customStyle="1" w:styleId="a8">
    <w:name w:val="批注框文本 字符"/>
    <w:basedOn w:val="a0"/>
    <w:link w:val="a7"/>
    <w:uiPriority w:val="99"/>
    <w:semiHidden/>
    <w:rsid w:val="001D142B"/>
    <w:rPr>
      <w:sz w:val="18"/>
      <w:szCs w:val="18"/>
    </w:rPr>
  </w:style>
  <w:style w:type="character" w:styleId="a9">
    <w:name w:val="annotation reference"/>
    <w:basedOn w:val="a0"/>
    <w:uiPriority w:val="99"/>
    <w:semiHidden/>
    <w:unhideWhenUsed/>
    <w:rsid w:val="00983EBC"/>
    <w:rPr>
      <w:sz w:val="21"/>
      <w:szCs w:val="21"/>
    </w:rPr>
  </w:style>
  <w:style w:type="paragraph" w:styleId="aa">
    <w:name w:val="annotation text"/>
    <w:basedOn w:val="a"/>
    <w:link w:val="ab"/>
    <w:uiPriority w:val="99"/>
    <w:semiHidden/>
    <w:unhideWhenUsed/>
    <w:rsid w:val="00983EBC"/>
    <w:pPr>
      <w:jc w:val="left"/>
    </w:pPr>
  </w:style>
  <w:style w:type="character" w:customStyle="1" w:styleId="ab">
    <w:name w:val="批注文字 字符"/>
    <w:basedOn w:val="a0"/>
    <w:link w:val="aa"/>
    <w:uiPriority w:val="99"/>
    <w:semiHidden/>
    <w:rsid w:val="00983EBC"/>
  </w:style>
  <w:style w:type="paragraph" w:styleId="ac">
    <w:name w:val="annotation subject"/>
    <w:basedOn w:val="aa"/>
    <w:next w:val="aa"/>
    <w:link w:val="ad"/>
    <w:uiPriority w:val="99"/>
    <w:semiHidden/>
    <w:unhideWhenUsed/>
    <w:rsid w:val="00983EBC"/>
    <w:rPr>
      <w:b/>
      <w:bCs/>
    </w:rPr>
  </w:style>
  <w:style w:type="character" w:customStyle="1" w:styleId="ad">
    <w:name w:val="批注主题 字符"/>
    <w:basedOn w:val="ab"/>
    <w:link w:val="ac"/>
    <w:uiPriority w:val="99"/>
    <w:semiHidden/>
    <w:rsid w:val="00983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9A0A-39D8-48AF-8781-4E3D192D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4</Pages>
  <Words>265</Words>
  <Characters>1512</Characters>
  <Application>Microsoft Office Word</Application>
  <DocSecurity>0</DocSecurity>
  <Lines>12</Lines>
  <Paragraphs>3</Paragraphs>
  <ScaleCrop>false</ScaleCrop>
  <Company>QTOS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QTOS</dc:creator>
  <cp:lastModifiedBy>shaohui wang</cp:lastModifiedBy>
  <cp:revision>246</cp:revision>
  <cp:lastPrinted>2017-03-25T15:40:00Z</cp:lastPrinted>
  <dcterms:created xsi:type="dcterms:W3CDTF">2017-02-13T14:01:00Z</dcterms:created>
  <dcterms:modified xsi:type="dcterms:W3CDTF">2019-11-01T01:57:00Z</dcterms:modified>
</cp:coreProperties>
</file>