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D004" w14:textId="16FCC7F2" w:rsidR="00844AF3" w:rsidRDefault="00994A3D" w:rsidP="002B4A57">
      <w:pPr>
        <w:keepNext/>
        <w:rPr>
          <w:rFonts w:cs="Times New Roman"/>
          <w:szCs w:val="24"/>
        </w:rPr>
      </w:pPr>
      <w:r w:rsidRPr="0001436A">
        <w:rPr>
          <w:rFonts w:cs="Times New Roman"/>
          <w:b/>
          <w:szCs w:val="24"/>
        </w:rPr>
        <w:t xml:space="preserve">Supplementary </w:t>
      </w:r>
      <w:r w:rsidR="00844AF3">
        <w:rPr>
          <w:rFonts w:cs="Times New Roman"/>
          <w:b/>
          <w:szCs w:val="24"/>
        </w:rPr>
        <w:t>Table</w:t>
      </w:r>
      <w:r w:rsidRPr="0001436A">
        <w:rPr>
          <w:rFonts w:cs="Times New Roman"/>
          <w:b/>
          <w:szCs w:val="24"/>
        </w:rPr>
        <w:t xml:space="preserve"> </w:t>
      </w:r>
      <w:r w:rsidR="00222B1D">
        <w:rPr>
          <w:rFonts w:cs="Times New Roman"/>
          <w:b/>
          <w:szCs w:val="24"/>
        </w:rPr>
        <w:t>S</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ED20B5">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844AF3">
        <w:rPr>
          <w:rFonts w:cs="Times New Roman"/>
          <w:szCs w:val="24"/>
        </w:rPr>
        <w:t>PubMed and Embase search strategies for articles in English indexed before April 28</w:t>
      </w:r>
      <w:r w:rsidR="00844AF3" w:rsidRPr="00844AF3">
        <w:rPr>
          <w:rFonts w:cs="Times New Roman"/>
          <w:szCs w:val="24"/>
          <w:vertAlign w:val="superscript"/>
        </w:rPr>
        <w:t>th</w:t>
      </w:r>
      <w:r w:rsidR="00844AF3">
        <w:rPr>
          <w:rFonts w:cs="Times New Roman"/>
          <w:szCs w:val="24"/>
        </w:rPr>
        <w:t>, 2019 on metabolic pathways involved in Treg functionality.</w:t>
      </w:r>
    </w:p>
    <w:tbl>
      <w:tblPr>
        <w:tblStyle w:val="Onopgemaaktetabel4"/>
        <w:tblW w:w="0" w:type="auto"/>
        <w:tblLook w:val="04A0" w:firstRow="1" w:lastRow="0" w:firstColumn="1" w:lastColumn="0" w:noHBand="0" w:noVBand="1"/>
      </w:tblPr>
      <w:tblGrid>
        <w:gridCol w:w="2552"/>
        <w:gridCol w:w="6538"/>
      </w:tblGrid>
      <w:tr w:rsidR="00844AF3" w:rsidRPr="00B15064" w14:paraId="029EFD6F" w14:textId="77777777" w:rsidTr="00844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tcPr>
          <w:p w14:paraId="3CF99074" w14:textId="77777777" w:rsidR="00844AF3" w:rsidRPr="00B15064" w:rsidRDefault="00844AF3" w:rsidP="00844AF3">
            <w:pPr>
              <w:spacing w:before="0" w:after="0"/>
              <w:jc w:val="both"/>
              <w:rPr>
                <w:rFonts w:cs="Times New Roman"/>
                <w:szCs w:val="24"/>
                <w:lang w:val="en-US"/>
              </w:rPr>
            </w:pPr>
            <w:r w:rsidRPr="00B15064">
              <w:rPr>
                <w:rFonts w:cs="Times New Roman"/>
                <w:szCs w:val="24"/>
                <w:lang w:val="en-US"/>
              </w:rPr>
              <w:t>PubMed</w:t>
            </w:r>
          </w:p>
        </w:tc>
        <w:tc>
          <w:tcPr>
            <w:tcW w:w="6538" w:type="dxa"/>
            <w:tcBorders>
              <w:bottom w:val="single" w:sz="4" w:space="0" w:color="auto"/>
            </w:tcBorders>
          </w:tcPr>
          <w:p w14:paraId="4D27957F" w14:textId="77777777" w:rsidR="00844AF3" w:rsidRPr="00B15064" w:rsidRDefault="00844AF3" w:rsidP="00844AF3">
            <w:pPr>
              <w:spacing w:before="0" w:after="0"/>
              <w:jc w:val="both"/>
              <w:cnfStyle w:val="100000000000" w:firstRow="1" w:lastRow="0" w:firstColumn="0" w:lastColumn="0" w:oddVBand="0" w:evenVBand="0" w:oddHBand="0" w:evenHBand="0" w:firstRowFirstColumn="0" w:firstRowLastColumn="0" w:lastRowFirstColumn="0" w:lastRowLastColumn="0"/>
              <w:rPr>
                <w:rFonts w:cs="Times New Roman"/>
                <w:b w:val="0"/>
                <w:i/>
                <w:szCs w:val="24"/>
                <w:u w:val="single"/>
                <w:lang w:val="en-US"/>
              </w:rPr>
            </w:pPr>
          </w:p>
        </w:tc>
      </w:tr>
      <w:tr w:rsidR="00844AF3" w:rsidRPr="00B15064" w14:paraId="618EF3CE" w14:textId="77777777" w:rsidTr="00844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tcPr>
          <w:p w14:paraId="286D4C10" w14:textId="77777777" w:rsidR="00844AF3" w:rsidRPr="00B15064" w:rsidRDefault="00844AF3" w:rsidP="00844AF3">
            <w:pPr>
              <w:spacing w:before="0" w:after="0"/>
              <w:jc w:val="both"/>
              <w:rPr>
                <w:rFonts w:cs="Times New Roman"/>
                <w:b w:val="0"/>
                <w:szCs w:val="24"/>
                <w:lang w:val="en-US"/>
              </w:rPr>
            </w:pPr>
            <w:r w:rsidRPr="00B15064">
              <w:rPr>
                <w:rFonts w:cs="Times New Roman"/>
                <w:b w:val="0"/>
                <w:szCs w:val="24"/>
                <w:lang w:val="en-US"/>
              </w:rPr>
              <w:t>1. (Regulatory) T cells</w:t>
            </w:r>
          </w:p>
          <w:p w14:paraId="040BD943" w14:textId="77777777" w:rsidR="00844AF3" w:rsidRPr="00B15064" w:rsidRDefault="00844AF3" w:rsidP="00844AF3">
            <w:pPr>
              <w:spacing w:before="0" w:after="0"/>
              <w:jc w:val="both"/>
              <w:rPr>
                <w:rFonts w:cs="Times New Roman"/>
                <w:b w:val="0"/>
                <w:i/>
                <w:szCs w:val="24"/>
                <w:lang w:val="en-US"/>
              </w:rPr>
            </w:pPr>
            <w:r w:rsidRPr="00B15064">
              <w:rPr>
                <w:rFonts w:cs="Times New Roman"/>
                <w:b w:val="0"/>
                <w:i/>
                <w:szCs w:val="24"/>
                <w:lang w:val="en-US"/>
              </w:rPr>
              <w:t>(35,</w:t>
            </w:r>
            <w:bookmarkStart w:id="0" w:name="_GoBack"/>
            <w:bookmarkEnd w:id="0"/>
            <w:r w:rsidRPr="00B15064">
              <w:rPr>
                <w:rFonts w:cs="Times New Roman"/>
                <w:b w:val="0"/>
                <w:i/>
                <w:szCs w:val="24"/>
                <w:lang w:val="en-US"/>
              </w:rPr>
              <w:t>474 results)</w:t>
            </w:r>
          </w:p>
        </w:tc>
        <w:tc>
          <w:tcPr>
            <w:tcW w:w="6538" w:type="dxa"/>
            <w:tcBorders>
              <w:top w:val="single" w:sz="4" w:space="0" w:color="auto"/>
            </w:tcBorders>
          </w:tcPr>
          <w:p w14:paraId="238C89CB" w14:textId="1FF3A9FA" w:rsidR="00844AF3" w:rsidRPr="00B15064" w:rsidRDefault="00844AF3" w:rsidP="00844AF3">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B15064">
              <w:rPr>
                <w:rFonts w:cs="Times New Roman"/>
                <w:szCs w:val="24"/>
                <w:lang w:val="en-US"/>
              </w:rPr>
              <w:t>T-lymphocytes, regulatory [MeSH] OR Immunoregulatory T cell[tiab] OR Immunoregulatory T lymphocyte[tiab] OR Regulatory T cell[tiab] OR Regulatory T lymphocyte[tiab] OR T regulatory cell[tiab] OR T regulatory lymphocyte[tiab] OR Treg[tiab]</w:t>
            </w:r>
          </w:p>
        </w:tc>
      </w:tr>
      <w:tr w:rsidR="00844AF3" w:rsidRPr="00B15064" w14:paraId="4AAEC1F0" w14:textId="77777777" w:rsidTr="00844AF3">
        <w:tc>
          <w:tcPr>
            <w:cnfStyle w:val="001000000000" w:firstRow="0" w:lastRow="0" w:firstColumn="1" w:lastColumn="0" w:oddVBand="0" w:evenVBand="0" w:oddHBand="0" w:evenHBand="0" w:firstRowFirstColumn="0" w:firstRowLastColumn="0" w:lastRowFirstColumn="0" w:lastRowLastColumn="0"/>
            <w:tcW w:w="2552" w:type="dxa"/>
          </w:tcPr>
          <w:p w14:paraId="442C157B" w14:textId="77777777" w:rsidR="00844AF3" w:rsidRPr="00B15064" w:rsidRDefault="00844AF3" w:rsidP="00844AF3">
            <w:pPr>
              <w:spacing w:before="0" w:after="0"/>
              <w:jc w:val="both"/>
              <w:rPr>
                <w:rFonts w:cs="Times New Roman"/>
                <w:b w:val="0"/>
                <w:szCs w:val="24"/>
                <w:lang w:val="en-US"/>
              </w:rPr>
            </w:pPr>
            <w:r w:rsidRPr="00B15064">
              <w:rPr>
                <w:rFonts w:cs="Times New Roman"/>
                <w:b w:val="0"/>
                <w:szCs w:val="24"/>
                <w:lang w:val="en-US"/>
              </w:rPr>
              <w:t>2. Immunometabolism</w:t>
            </w:r>
          </w:p>
          <w:p w14:paraId="6A40DBE2" w14:textId="77777777" w:rsidR="00844AF3" w:rsidRPr="00B15064" w:rsidRDefault="00844AF3" w:rsidP="00844AF3">
            <w:pPr>
              <w:spacing w:before="0" w:after="0"/>
              <w:jc w:val="both"/>
              <w:rPr>
                <w:rFonts w:cs="Times New Roman"/>
                <w:b w:val="0"/>
                <w:i/>
                <w:szCs w:val="24"/>
                <w:lang w:val="en-US"/>
              </w:rPr>
            </w:pPr>
            <w:r w:rsidRPr="00B15064">
              <w:rPr>
                <w:rFonts w:cs="Times New Roman"/>
                <w:b w:val="0"/>
                <w:i/>
                <w:szCs w:val="24"/>
                <w:lang w:val="en-US"/>
              </w:rPr>
              <w:t>(2,267,447)</w:t>
            </w:r>
          </w:p>
          <w:p w14:paraId="554062E3" w14:textId="77777777" w:rsidR="00844AF3" w:rsidRPr="00B15064" w:rsidRDefault="00844AF3" w:rsidP="00844AF3">
            <w:pPr>
              <w:spacing w:before="0" w:after="0"/>
              <w:jc w:val="both"/>
              <w:rPr>
                <w:rFonts w:cs="Times New Roman"/>
                <w:b w:val="0"/>
                <w:szCs w:val="24"/>
                <w:lang w:val="en-US"/>
              </w:rPr>
            </w:pPr>
          </w:p>
        </w:tc>
        <w:tc>
          <w:tcPr>
            <w:tcW w:w="6538" w:type="dxa"/>
          </w:tcPr>
          <w:p w14:paraId="09137651" w14:textId="57C9466D" w:rsidR="00844AF3" w:rsidRPr="00B15064" w:rsidRDefault="00844AF3" w:rsidP="00844AF3">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B15064">
              <w:rPr>
                <w:rFonts w:cs="Times New Roman"/>
                <w:szCs w:val="24"/>
                <w:lang w:val="en-US"/>
              </w:rPr>
              <w:t>Metabolism [MeSH] OR Amino acid metabolism[tiab] OR Cell metabolism[tiab] OR Cellular metabolism[tiab] OR Fatty acid metabolism[tiab] OR Fatty acid oxidation[tiab] OR Glucose metabolism[tiab] OR Glutaminase[tiab] OR Glutamine metabolism[tiab] OR Glutaminolysis[tiab] OR Glutathione metabolism[tiab] OR Glycolysis[tiab] OR Krebs cycle[tiab] OR Lipid metabolism[tiab] OR Metabolic reprogramming[tiab] OR Mevalonate metabolism[tiab] OR Oxidative phosphorylation[tiab] OR OXPHOS[tiab] OR Pentose phosphate pathway[tiab] OR TCA cycle[tiab] OR Tricarboxylic acid cycle[tiab]</w:t>
            </w:r>
          </w:p>
        </w:tc>
      </w:tr>
      <w:tr w:rsidR="00844AF3" w:rsidRPr="00B15064" w14:paraId="1F768CA8" w14:textId="77777777" w:rsidTr="00844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D52FD17" w14:textId="77777777" w:rsidR="00844AF3" w:rsidRPr="00B15064" w:rsidRDefault="00844AF3" w:rsidP="00844AF3">
            <w:pPr>
              <w:spacing w:before="0" w:after="0"/>
              <w:jc w:val="both"/>
              <w:rPr>
                <w:rFonts w:cs="Times New Roman"/>
                <w:b w:val="0"/>
                <w:szCs w:val="24"/>
                <w:lang w:val="en-US"/>
              </w:rPr>
            </w:pPr>
            <w:r w:rsidRPr="00B15064">
              <w:rPr>
                <w:rFonts w:cs="Times New Roman"/>
                <w:b w:val="0"/>
                <w:szCs w:val="24"/>
                <w:lang w:val="en-US"/>
              </w:rPr>
              <w:t>3. Proliferation</w:t>
            </w:r>
          </w:p>
          <w:p w14:paraId="63C41A38" w14:textId="77777777" w:rsidR="00844AF3" w:rsidRPr="00B15064" w:rsidRDefault="00844AF3" w:rsidP="00844AF3">
            <w:pPr>
              <w:spacing w:before="0" w:after="0"/>
              <w:jc w:val="both"/>
              <w:rPr>
                <w:rFonts w:cs="Times New Roman"/>
                <w:b w:val="0"/>
                <w:i/>
                <w:szCs w:val="24"/>
                <w:lang w:val="en-US"/>
              </w:rPr>
            </w:pPr>
            <w:r w:rsidRPr="00B15064">
              <w:rPr>
                <w:rFonts w:cs="Times New Roman"/>
                <w:b w:val="0"/>
                <w:i/>
                <w:szCs w:val="24"/>
                <w:lang w:val="en-US"/>
              </w:rPr>
              <w:t>(544,964 results)</w:t>
            </w:r>
          </w:p>
        </w:tc>
        <w:tc>
          <w:tcPr>
            <w:tcW w:w="6538" w:type="dxa"/>
          </w:tcPr>
          <w:p w14:paraId="1D71527F" w14:textId="264C4A40" w:rsidR="00844AF3" w:rsidRPr="00B15064" w:rsidRDefault="00844AF3" w:rsidP="00844AF3">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B15064">
              <w:rPr>
                <w:rFonts w:cs="Times New Roman"/>
                <w:szCs w:val="24"/>
                <w:lang w:val="en-US"/>
              </w:rPr>
              <w:t>Cell proliferation [MeSH] OR Cell division [MeSH] OR Cell division[tiab] OR Cellular division[tiab] OR Cell proliferation[tiab] OR Lymphocyte proliferation[tiab] OR Cell expansion[tiab]</w:t>
            </w:r>
          </w:p>
        </w:tc>
      </w:tr>
      <w:tr w:rsidR="00844AF3" w:rsidRPr="00B15064" w14:paraId="4B77848F" w14:textId="77777777" w:rsidTr="00844AF3">
        <w:tc>
          <w:tcPr>
            <w:cnfStyle w:val="001000000000" w:firstRow="0" w:lastRow="0" w:firstColumn="1" w:lastColumn="0" w:oddVBand="0" w:evenVBand="0" w:oddHBand="0" w:evenHBand="0" w:firstRowFirstColumn="0" w:firstRowLastColumn="0" w:lastRowFirstColumn="0" w:lastRowLastColumn="0"/>
            <w:tcW w:w="2552" w:type="dxa"/>
          </w:tcPr>
          <w:p w14:paraId="21FEDD8D" w14:textId="77777777" w:rsidR="00844AF3" w:rsidRPr="00B15064" w:rsidRDefault="00844AF3" w:rsidP="00844AF3">
            <w:pPr>
              <w:spacing w:before="0" w:after="0"/>
              <w:jc w:val="both"/>
              <w:rPr>
                <w:rFonts w:cs="Times New Roman"/>
                <w:b w:val="0"/>
                <w:szCs w:val="24"/>
                <w:lang w:val="en-US"/>
              </w:rPr>
            </w:pPr>
            <w:r w:rsidRPr="00B15064">
              <w:rPr>
                <w:rFonts w:cs="Times New Roman"/>
                <w:b w:val="0"/>
                <w:szCs w:val="24"/>
                <w:lang w:val="en-US"/>
              </w:rPr>
              <w:t>4. Migration</w:t>
            </w:r>
          </w:p>
          <w:p w14:paraId="49863FDE" w14:textId="77777777" w:rsidR="00844AF3" w:rsidRPr="00B15064" w:rsidRDefault="00844AF3" w:rsidP="00844AF3">
            <w:pPr>
              <w:spacing w:before="0" w:after="0"/>
              <w:jc w:val="both"/>
              <w:rPr>
                <w:rFonts w:cs="Times New Roman"/>
                <w:b w:val="0"/>
                <w:i/>
                <w:szCs w:val="24"/>
                <w:lang w:val="en-US"/>
              </w:rPr>
            </w:pPr>
            <w:r w:rsidRPr="00B15064">
              <w:rPr>
                <w:rFonts w:cs="Times New Roman"/>
                <w:b w:val="0"/>
                <w:i/>
                <w:szCs w:val="24"/>
                <w:lang w:val="en-US"/>
              </w:rPr>
              <w:t>(312,367 results)</w:t>
            </w:r>
          </w:p>
        </w:tc>
        <w:tc>
          <w:tcPr>
            <w:tcW w:w="6538" w:type="dxa"/>
          </w:tcPr>
          <w:p w14:paraId="2908A390" w14:textId="2135C17B" w:rsidR="00844AF3" w:rsidRPr="00B15064" w:rsidRDefault="00844AF3" w:rsidP="00844AF3">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B15064">
              <w:rPr>
                <w:rFonts w:cs="Times New Roman"/>
                <w:szCs w:val="24"/>
                <w:lang w:val="en-US"/>
              </w:rPr>
              <w:t>Cell movement [MeSH] OR Leukocyte migration[tiab] OR Lymphocyte migration[tiab] OR Cell migration[tiab] OR Cellular migration[tiab] OR Migration[tiab]</w:t>
            </w:r>
          </w:p>
        </w:tc>
      </w:tr>
      <w:tr w:rsidR="00844AF3" w:rsidRPr="00B15064" w14:paraId="3A26CDCF" w14:textId="77777777" w:rsidTr="00844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tcPr>
          <w:p w14:paraId="43253319" w14:textId="77777777" w:rsidR="00844AF3" w:rsidRPr="00B15064" w:rsidRDefault="00844AF3" w:rsidP="00844AF3">
            <w:pPr>
              <w:spacing w:before="0" w:after="0"/>
              <w:jc w:val="both"/>
              <w:rPr>
                <w:rFonts w:cs="Times New Roman"/>
                <w:b w:val="0"/>
                <w:szCs w:val="24"/>
                <w:lang w:val="en-US"/>
              </w:rPr>
            </w:pPr>
            <w:r w:rsidRPr="00B15064">
              <w:rPr>
                <w:rFonts w:cs="Times New Roman"/>
                <w:b w:val="0"/>
                <w:szCs w:val="24"/>
                <w:lang w:val="en-US"/>
              </w:rPr>
              <w:t>5. Suppressive function</w:t>
            </w:r>
          </w:p>
          <w:p w14:paraId="0526150F" w14:textId="77777777" w:rsidR="00844AF3" w:rsidRPr="00B15064" w:rsidRDefault="00844AF3" w:rsidP="00844AF3">
            <w:pPr>
              <w:spacing w:before="0" w:after="0"/>
              <w:jc w:val="both"/>
              <w:rPr>
                <w:rFonts w:cs="Times New Roman"/>
                <w:b w:val="0"/>
                <w:i/>
                <w:szCs w:val="24"/>
                <w:lang w:val="en-US"/>
              </w:rPr>
            </w:pPr>
            <w:r w:rsidRPr="00B15064">
              <w:rPr>
                <w:rFonts w:cs="Times New Roman"/>
                <w:b w:val="0"/>
                <w:i/>
                <w:szCs w:val="24"/>
                <w:lang w:val="en-US"/>
              </w:rPr>
              <w:t>(327,235 results)</w:t>
            </w:r>
          </w:p>
        </w:tc>
        <w:tc>
          <w:tcPr>
            <w:tcW w:w="6538" w:type="dxa"/>
            <w:tcBorders>
              <w:bottom w:val="single" w:sz="4" w:space="0" w:color="auto"/>
            </w:tcBorders>
          </w:tcPr>
          <w:p w14:paraId="7D86DF05" w14:textId="717B45E8" w:rsidR="00844AF3" w:rsidRPr="00B15064" w:rsidRDefault="00844AF3" w:rsidP="00844AF3">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B15064">
              <w:rPr>
                <w:rFonts w:cs="Times New Roman"/>
                <w:szCs w:val="24"/>
                <w:lang w:val="en-US"/>
              </w:rPr>
              <w:t xml:space="preserve">Immunomodulation [MeSH] OR Suppressive function[tiab] OR Suppressor function[tiab] OR Suppressive capacity[tiab] OR Cytokine production[tiab] OR Suppression assay[tiab] </w:t>
            </w:r>
          </w:p>
        </w:tc>
      </w:tr>
      <w:tr w:rsidR="00844AF3" w:rsidRPr="00B15064" w14:paraId="039D79F1" w14:textId="77777777" w:rsidTr="00844AF3">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tcPr>
          <w:p w14:paraId="7DB255F0" w14:textId="77777777" w:rsidR="00844AF3" w:rsidRPr="00B15064" w:rsidRDefault="00844AF3" w:rsidP="00844AF3">
            <w:pPr>
              <w:spacing w:before="0" w:after="0"/>
              <w:jc w:val="both"/>
              <w:rPr>
                <w:rFonts w:cs="Times New Roman"/>
                <w:b w:val="0"/>
                <w:szCs w:val="24"/>
                <w:lang w:val="en-US"/>
              </w:rPr>
            </w:pPr>
            <w:r w:rsidRPr="00B15064">
              <w:rPr>
                <w:rFonts w:cs="Times New Roman"/>
                <w:b w:val="0"/>
                <w:szCs w:val="24"/>
                <w:lang w:val="en-US"/>
              </w:rPr>
              <w:t>Total</w:t>
            </w:r>
          </w:p>
        </w:tc>
        <w:tc>
          <w:tcPr>
            <w:tcW w:w="6538" w:type="dxa"/>
            <w:tcBorders>
              <w:top w:val="single" w:sz="4" w:space="0" w:color="auto"/>
            </w:tcBorders>
          </w:tcPr>
          <w:p w14:paraId="3D97CCED" w14:textId="77777777" w:rsidR="00844AF3" w:rsidRPr="00B15064" w:rsidRDefault="00844AF3" w:rsidP="00844AF3">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B15064">
              <w:rPr>
                <w:rFonts w:cs="Times New Roman"/>
                <w:szCs w:val="24"/>
                <w:lang w:val="en-US"/>
              </w:rPr>
              <w:t>1 and 2 and (3 or 4 or 5) = 678 results</w:t>
            </w:r>
          </w:p>
        </w:tc>
      </w:tr>
    </w:tbl>
    <w:p w14:paraId="4B5BBDDC" w14:textId="77777777" w:rsidR="00844AF3" w:rsidRPr="00B15064" w:rsidRDefault="00844AF3" w:rsidP="00844AF3">
      <w:pPr>
        <w:spacing w:before="0" w:after="0"/>
        <w:rPr>
          <w:rFonts w:cs="Times New Roman"/>
          <w:szCs w:val="24"/>
        </w:rPr>
      </w:pPr>
    </w:p>
    <w:tbl>
      <w:tblPr>
        <w:tblStyle w:val="Onopgemaaktetabel4"/>
        <w:tblW w:w="0" w:type="auto"/>
        <w:tblLook w:val="04A0" w:firstRow="1" w:lastRow="0" w:firstColumn="1" w:lastColumn="0" w:noHBand="0" w:noVBand="1"/>
      </w:tblPr>
      <w:tblGrid>
        <w:gridCol w:w="2552"/>
        <w:gridCol w:w="6538"/>
      </w:tblGrid>
      <w:tr w:rsidR="00844AF3" w:rsidRPr="00B15064" w14:paraId="25F46BA3" w14:textId="77777777" w:rsidTr="00844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tcPr>
          <w:p w14:paraId="198F7A50" w14:textId="77777777" w:rsidR="00844AF3" w:rsidRPr="00B15064" w:rsidRDefault="00844AF3" w:rsidP="00844AF3">
            <w:pPr>
              <w:spacing w:before="0" w:after="0"/>
              <w:jc w:val="both"/>
              <w:rPr>
                <w:rFonts w:cs="Times New Roman"/>
                <w:szCs w:val="24"/>
                <w:lang w:val="en-US"/>
              </w:rPr>
            </w:pPr>
            <w:r w:rsidRPr="00B15064">
              <w:rPr>
                <w:rFonts w:cs="Times New Roman"/>
                <w:szCs w:val="24"/>
                <w:lang w:val="en-US"/>
              </w:rPr>
              <w:t>Embase</w:t>
            </w:r>
          </w:p>
        </w:tc>
        <w:tc>
          <w:tcPr>
            <w:tcW w:w="6538" w:type="dxa"/>
            <w:tcBorders>
              <w:bottom w:val="single" w:sz="4" w:space="0" w:color="auto"/>
            </w:tcBorders>
          </w:tcPr>
          <w:p w14:paraId="30541D4A" w14:textId="77777777" w:rsidR="00844AF3" w:rsidRPr="00B15064" w:rsidRDefault="00844AF3" w:rsidP="00844AF3">
            <w:pPr>
              <w:spacing w:before="0" w:after="0"/>
              <w:jc w:val="both"/>
              <w:cnfStyle w:val="100000000000" w:firstRow="1" w:lastRow="0" w:firstColumn="0" w:lastColumn="0" w:oddVBand="0" w:evenVBand="0" w:oddHBand="0" w:evenHBand="0" w:firstRowFirstColumn="0" w:firstRowLastColumn="0" w:lastRowFirstColumn="0" w:lastRowLastColumn="0"/>
              <w:rPr>
                <w:rFonts w:cs="Times New Roman"/>
                <w:b w:val="0"/>
                <w:i/>
                <w:szCs w:val="24"/>
                <w:u w:val="single"/>
                <w:lang w:val="en-US"/>
              </w:rPr>
            </w:pPr>
          </w:p>
        </w:tc>
      </w:tr>
      <w:tr w:rsidR="00844AF3" w:rsidRPr="00B15064" w14:paraId="13B95EDE" w14:textId="77777777" w:rsidTr="00844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tcPr>
          <w:p w14:paraId="2CD21832" w14:textId="77777777" w:rsidR="00844AF3" w:rsidRPr="00B15064" w:rsidRDefault="00844AF3" w:rsidP="00844AF3">
            <w:pPr>
              <w:spacing w:before="0" w:after="0"/>
              <w:rPr>
                <w:rFonts w:cs="Times New Roman"/>
                <w:b w:val="0"/>
                <w:szCs w:val="24"/>
                <w:lang w:val="en-US"/>
              </w:rPr>
            </w:pPr>
            <w:r w:rsidRPr="00B15064">
              <w:rPr>
                <w:rFonts w:cs="Times New Roman"/>
                <w:b w:val="0"/>
                <w:szCs w:val="24"/>
                <w:lang w:val="en-US"/>
              </w:rPr>
              <w:t>1. (Regulatory) T cells</w:t>
            </w:r>
          </w:p>
          <w:p w14:paraId="12F6F0B0" w14:textId="77777777" w:rsidR="00844AF3" w:rsidRPr="00B15064" w:rsidRDefault="00844AF3" w:rsidP="00844AF3">
            <w:pPr>
              <w:spacing w:before="0" w:after="0"/>
              <w:rPr>
                <w:rFonts w:cs="Times New Roman"/>
                <w:b w:val="0"/>
                <w:i/>
                <w:szCs w:val="24"/>
                <w:lang w:val="en-US"/>
              </w:rPr>
            </w:pPr>
            <w:r w:rsidRPr="00B15064">
              <w:rPr>
                <w:rFonts w:cs="Times New Roman"/>
                <w:b w:val="0"/>
                <w:i/>
                <w:szCs w:val="24"/>
                <w:lang w:val="en-US"/>
              </w:rPr>
              <w:t>(60,477 results)</w:t>
            </w:r>
          </w:p>
        </w:tc>
        <w:tc>
          <w:tcPr>
            <w:tcW w:w="6538" w:type="dxa"/>
            <w:tcBorders>
              <w:top w:val="single" w:sz="4" w:space="0" w:color="auto"/>
            </w:tcBorders>
          </w:tcPr>
          <w:p w14:paraId="0766F45E" w14:textId="28E843BC" w:rsidR="00844AF3" w:rsidRPr="00B15064" w:rsidRDefault="00844AF3" w:rsidP="00844AF3">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B15064">
              <w:rPr>
                <w:rFonts w:cs="Times New Roman"/>
                <w:szCs w:val="24"/>
                <w:lang w:val="en-US"/>
              </w:rPr>
              <w:t>Exp Regulatory T lymphocyte/ OR Immunoregulatory T cell.mp. OR Immunoregulatory T lymphocyte.mp. OR Regulatory T cell.mp. OR Regulatory T lymphocyte.mp. OR T regulatory cell.mp. OR T regulatory lymphocyte.mp. OR Treg.mp.</w:t>
            </w:r>
          </w:p>
        </w:tc>
      </w:tr>
      <w:tr w:rsidR="00844AF3" w:rsidRPr="00B15064" w14:paraId="7F28DE70" w14:textId="77777777" w:rsidTr="00844AF3">
        <w:tc>
          <w:tcPr>
            <w:cnfStyle w:val="001000000000" w:firstRow="0" w:lastRow="0" w:firstColumn="1" w:lastColumn="0" w:oddVBand="0" w:evenVBand="0" w:oddHBand="0" w:evenHBand="0" w:firstRowFirstColumn="0" w:firstRowLastColumn="0" w:lastRowFirstColumn="0" w:lastRowLastColumn="0"/>
            <w:tcW w:w="2552" w:type="dxa"/>
          </w:tcPr>
          <w:p w14:paraId="49791E46" w14:textId="77777777" w:rsidR="00844AF3" w:rsidRPr="00B15064" w:rsidRDefault="00844AF3" w:rsidP="00844AF3">
            <w:pPr>
              <w:spacing w:before="0" w:after="0"/>
              <w:rPr>
                <w:rFonts w:cs="Times New Roman"/>
                <w:b w:val="0"/>
                <w:szCs w:val="24"/>
                <w:lang w:val="en-US"/>
              </w:rPr>
            </w:pPr>
            <w:r w:rsidRPr="00B15064">
              <w:rPr>
                <w:rFonts w:cs="Times New Roman"/>
                <w:b w:val="0"/>
                <w:szCs w:val="24"/>
                <w:lang w:val="en-US"/>
              </w:rPr>
              <w:t>2. Immunometabolism</w:t>
            </w:r>
          </w:p>
          <w:p w14:paraId="468B430A" w14:textId="77777777" w:rsidR="00844AF3" w:rsidRPr="00B15064" w:rsidRDefault="00844AF3" w:rsidP="00844AF3">
            <w:pPr>
              <w:spacing w:before="0" w:after="0"/>
              <w:rPr>
                <w:rFonts w:cs="Times New Roman"/>
                <w:b w:val="0"/>
                <w:i/>
                <w:szCs w:val="24"/>
                <w:lang w:val="en-US"/>
              </w:rPr>
            </w:pPr>
            <w:r w:rsidRPr="00B15064">
              <w:rPr>
                <w:rFonts w:cs="Times New Roman"/>
                <w:b w:val="0"/>
                <w:i/>
                <w:szCs w:val="24"/>
                <w:lang w:val="en-US"/>
              </w:rPr>
              <w:t>(289,898 results)</w:t>
            </w:r>
          </w:p>
          <w:p w14:paraId="6797A7C7" w14:textId="77777777" w:rsidR="00844AF3" w:rsidRPr="00B15064" w:rsidRDefault="00844AF3" w:rsidP="00844AF3">
            <w:pPr>
              <w:spacing w:before="0" w:after="0"/>
              <w:rPr>
                <w:rFonts w:cs="Times New Roman"/>
                <w:b w:val="0"/>
                <w:szCs w:val="24"/>
                <w:lang w:val="en-US"/>
              </w:rPr>
            </w:pPr>
          </w:p>
        </w:tc>
        <w:tc>
          <w:tcPr>
            <w:tcW w:w="6538" w:type="dxa"/>
          </w:tcPr>
          <w:p w14:paraId="38967590" w14:textId="316E557A" w:rsidR="00844AF3" w:rsidRPr="00B15064" w:rsidRDefault="00844AF3" w:rsidP="00844AF3">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B15064">
              <w:rPr>
                <w:rFonts w:cs="Times New Roman"/>
                <w:szCs w:val="24"/>
                <w:lang w:val="en-US"/>
              </w:rPr>
              <w:t>Exp Cell metabolism/ OR Amino acid metabolism.mp. OR Cell metabolism.mp. OR Cellular metabolism.mp. OR Fatty acid metabolism.mp. OR Fatty acid oxidation.mp. OR Glucose metabolism.mp. OR Glutaminase.mp. OR Glutamine metabolism.mp. OR Glutaminolysis.mp. OR Glutathione metabolism.mp. OR Glycolysis.mp. OR Krebs cycle.mp. OR Lipid metabolism.mp. OR Metabolic reprogramming.mp. OR Mevalonate metabolism.mp. OR Oxidative phosphorylation.mp. OR OXPHOS.mp. OR Pentose phosphate pathway.mp. OR TCA cycle.mp. OR Tricarboxylic acid cycle.mp.</w:t>
            </w:r>
          </w:p>
        </w:tc>
      </w:tr>
      <w:tr w:rsidR="00844AF3" w:rsidRPr="00B15064" w14:paraId="0B9C082E" w14:textId="77777777" w:rsidTr="00844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EA79AE" w14:textId="77777777" w:rsidR="00844AF3" w:rsidRPr="00B15064" w:rsidRDefault="00844AF3" w:rsidP="00844AF3">
            <w:pPr>
              <w:spacing w:before="0" w:after="0"/>
              <w:rPr>
                <w:rFonts w:cs="Times New Roman"/>
                <w:b w:val="0"/>
                <w:szCs w:val="24"/>
                <w:lang w:val="en-US"/>
              </w:rPr>
            </w:pPr>
            <w:r w:rsidRPr="00B15064">
              <w:rPr>
                <w:rFonts w:cs="Times New Roman"/>
                <w:b w:val="0"/>
                <w:szCs w:val="24"/>
                <w:lang w:val="en-US"/>
              </w:rPr>
              <w:lastRenderedPageBreak/>
              <w:t>3. Proliferation</w:t>
            </w:r>
          </w:p>
          <w:p w14:paraId="074ADFF5" w14:textId="77777777" w:rsidR="00844AF3" w:rsidRPr="00B15064" w:rsidRDefault="00844AF3" w:rsidP="00844AF3">
            <w:pPr>
              <w:spacing w:before="0" w:after="0"/>
              <w:rPr>
                <w:rFonts w:cs="Times New Roman"/>
                <w:b w:val="0"/>
                <w:i/>
                <w:szCs w:val="24"/>
                <w:lang w:val="en-US"/>
              </w:rPr>
            </w:pPr>
            <w:r w:rsidRPr="00B15064">
              <w:rPr>
                <w:rFonts w:cs="Times New Roman"/>
                <w:b w:val="0"/>
                <w:i/>
                <w:szCs w:val="24"/>
                <w:lang w:val="en-US"/>
              </w:rPr>
              <w:t>(726,696 results)</w:t>
            </w:r>
          </w:p>
        </w:tc>
        <w:tc>
          <w:tcPr>
            <w:tcW w:w="6538" w:type="dxa"/>
          </w:tcPr>
          <w:p w14:paraId="31830D25" w14:textId="70D1FD76" w:rsidR="00844AF3" w:rsidRPr="00B15064" w:rsidRDefault="00844AF3" w:rsidP="00844AF3">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B15064">
              <w:rPr>
                <w:rFonts w:cs="Times New Roman"/>
                <w:szCs w:val="24"/>
                <w:lang w:val="en-US"/>
              </w:rPr>
              <w:t>Exp Cell proliferation/ OR exp Lymphocyte proliferation/ OR exp Cell expansion/ OR exp Cell division/ OR Cell division.mp. OR Cellular division.mp. OR Cell proliferation.mp. OR Lymphocyte proliferation.mp. OR Cell expansion.mp.</w:t>
            </w:r>
          </w:p>
        </w:tc>
      </w:tr>
      <w:tr w:rsidR="00844AF3" w:rsidRPr="00B15064" w14:paraId="0EC6980C" w14:textId="77777777" w:rsidTr="00844AF3">
        <w:tc>
          <w:tcPr>
            <w:cnfStyle w:val="001000000000" w:firstRow="0" w:lastRow="0" w:firstColumn="1" w:lastColumn="0" w:oddVBand="0" w:evenVBand="0" w:oddHBand="0" w:evenHBand="0" w:firstRowFirstColumn="0" w:firstRowLastColumn="0" w:lastRowFirstColumn="0" w:lastRowLastColumn="0"/>
            <w:tcW w:w="2552" w:type="dxa"/>
          </w:tcPr>
          <w:p w14:paraId="7BF287FA" w14:textId="77777777" w:rsidR="00844AF3" w:rsidRPr="00B15064" w:rsidRDefault="00844AF3" w:rsidP="00844AF3">
            <w:pPr>
              <w:spacing w:before="0" w:after="0"/>
              <w:rPr>
                <w:rFonts w:cs="Times New Roman"/>
                <w:b w:val="0"/>
                <w:szCs w:val="24"/>
                <w:lang w:val="en-US"/>
              </w:rPr>
            </w:pPr>
            <w:r w:rsidRPr="00B15064">
              <w:rPr>
                <w:rFonts w:cs="Times New Roman"/>
                <w:b w:val="0"/>
                <w:szCs w:val="24"/>
                <w:lang w:val="en-US"/>
              </w:rPr>
              <w:t>4. Migration</w:t>
            </w:r>
          </w:p>
          <w:p w14:paraId="225775A9" w14:textId="77777777" w:rsidR="00844AF3" w:rsidRPr="00B15064" w:rsidRDefault="00844AF3" w:rsidP="00844AF3">
            <w:pPr>
              <w:spacing w:before="0" w:after="0"/>
              <w:rPr>
                <w:rFonts w:cs="Times New Roman"/>
                <w:b w:val="0"/>
                <w:i/>
                <w:szCs w:val="24"/>
                <w:lang w:val="en-US"/>
              </w:rPr>
            </w:pPr>
            <w:r w:rsidRPr="00B15064">
              <w:rPr>
                <w:rFonts w:cs="Times New Roman"/>
                <w:b w:val="0"/>
                <w:i/>
                <w:szCs w:val="24"/>
                <w:lang w:val="en-US"/>
              </w:rPr>
              <w:t>(369,352 results)</w:t>
            </w:r>
          </w:p>
        </w:tc>
        <w:tc>
          <w:tcPr>
            <w:tcW w:w="6538" w:type="dxa"/>
          </w:tcPr>
          <w:p w14:paraId="74A5915D" w14:textId="42F59765" w:rsidR="00844AF3" w:rsidRPr="00B15064" w:rsidRDefault="00844AF3" w:rsidP="00844AF3">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B15064">
              <w:rPr>
                <w:rFonts w:cs="Times New Roman"/>
                <w:szCs w:val="24"/>
                <w:lang w:val="en-US"/>
              </w:rPr>
              <w:t>Exp migration/ OR Leukocyte migration.mp. OR Lymphocyte migration.mp. OR Cell migration.mp. OR Cellular migration.mp. OR Migration.mp.</w:t>
            </w:r>
          </w:p>
        </w:tc>
      </w:tr>
      <w:tr w:rsidR="00844AF3" w:rsidRPr="00B15064" w14:paraId="33BEAEC6" w14:textId="77777777" w:rsidTr="00844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tcPr>
          <w:p w14:paraId="73C3B031" w14:textId="77777777" w:rsidR="00844AF3" w:rsidRPr="00B15064" w:rsidRDefault="00844AF3" w:rsidP="00844AF3">
            <w:pPr>
              <w:spacing w:before="0" w:after="0"/>
              <w:rPr>
                <w:rFonts w:cs="Times New Roman"/>
                <w:b w:val="0"/>
                <w:szCs w:val="24"/>
                <w:lang w:val="en-US"/>
              </w:rPr>
            </w:pPr>
            <w:r w:rsidRPr="00B15064">
              <w:rPr>
                <w:rFonts w:cs="Times New Roman"/>
                <w:b w:val="0"/>
                <w:szCs w:val="24"/>
                <w:lang w:val="en-US"/>
              </w:rPr>
              <w:t>5. Suppressive function</w:t>
            </w:r>
          </w:p>
          <w:p w14:paraId="354B2B9B" w14:textId="77777777" w:rsidR="00844AF3" w:rsidRPr="00B15064" w:rsidRDefault="00844AF3" w:rsidP="00844AF3">
            <w:pPr>
              <w:spacing w:before="0" w:after="0"/>
              <w:rPr>
                <w:rFonts w:cs="Times New Roman"/>
                <w:b w:val="0"/>
                <w:i/>
                <w:szCs w:val="24"/>
                <w:lang w:val="en-US"/>
              </w:rPr>
            </w:pPr>
            <w:r w:rsidRPr="00B15064">
              <w:rPr>
                <w:rFonts w:cs="Times New Roman"/>
                <w:b w:val="0"/>
                <w:i/>
                <w:szCs w:val="24"/>
                <w:lang w:val="en-US"/>
              </w:rPr>
              <w:t>(207,555 results)</w:t>
            </w:r>
          </w:p>
        </w:tc>
        <w:tc>
          <w:tcPr>
            <w:tcW w:w="6538" w:type="dxa"/>
            <w:tcBorders>
              <w:bottom w:val="single" w:sz="4" w:space="0" w:color="auto"/>
            </w:tcBorders>
          </w:tcPr>
          <w:p w14:paraId="3D990E19" w14:textId="62BDDD86" w:rsidR="00844AF3" w:rsidRPr="00B15064" w:rsidRDefault="00844AF3" w:rsidP="00844AF3">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B15064">
              <w:rPr>
                <w:rFonts w:cs="Times New Roman"/>
                <w:szCs w:val="24"/>
                <w:lang w:val="en-US"/>
              </w:rPr>
              <w:t xml:space="preserve">Exp Immunomodulation/ OR Suppressive function.mp. OR Suppressor function.mp. OR Suppressive capacity.mp. OR Cytokine production.mp. OR Suppression assay.mp. </w:t>
            </w:r>
          </w:p>
        </w:tc>
      </w:tr>
      <w:tr w:rsidR="00844AF3" w:rsidRPr="00B15064" w14:paraId="077A65CF" w14:textId="77777777" w:rsidTr="00844AF3">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tcPr>
          <w:p w14:paraId="3543A5AA" w14:textId="77777777" w:rsidR="00844AF3" w:rsidRPr="00B15064" w:rsidRDefault="00844AF3" w:rsidP="00844AF3">
            <w:pPr>
              <w:spacing w:before="0" w:after="0"/>
              <w:jc w:val="both"/>
              <w:rPr>
                <w:rFonts w:cs="Times New Roman"/>
                <w:b w:val="0"/>
                <w:szCs w:val="24"/>
                <w:lang w:val="en-US"/>
              </w:rPr>
            </w:pPr>
            <w:r w:rsidRPr="00B15064">
              <w:rPr>
                <w:rFonts w:cs="Times New Roman"/>
                <w:b w:val="0"/>
                <w:szCs w:val="24"/>
                <w:lang w:val="en-US"/>
              </w:rPr>
              <w:t>Total</w:t>
            </w:r>
          </w:p>
        </w:tc>
        <w:tc>
          <w:tcPr>
            <w:tcW w:w="6538" w:type="dxa"/>
            <w:tcBorders>
              <w:top w:val="single" w:sz="4" w:space="0" w:color="auto"/>
            </w:tcBorders>
          </w:tcPr>
          <w:p w14:paraId="7F374C63" w14:textId="77777777" w:rsidR="00844AF3" w:rsidRPr="00B15064" w:rsidRDefault="00844AF3" w:rsidP="00844AF3">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B15064">
              <w:rPr>
                <w:rFonts w:cs="Times New Roman"/>
                <w:szCs w:val="24"/>
                <w:lang w:val="en-US"/>
              </w:rPr>
              <w:t>1 and 2 and (3 or 4 or 5) = 406 results</w:t>
            </w:r>
          </w:p>
        </w:tc>
      </w:tr>
    </w:tbl>
    <w:p w14:paraId="7DA062C7" w14:textId="77777777" w:rsidR="00844AF3" w:rsidRPr="00604FA9" w:rsidRDefault="00844AF3" w:rsidP="00844AF3">
      <w:pPr>
        <w:tabs>
          <w:tab w:val="left" w:pos="1065"/>
        </w:tabs>
        <w:spacing w:before="0" w:after="0"/>
        <w:jc w:val="both"/>
        <w:rPr>
          <w:szCs w:val="24"/>
        </w:rPr>
      </w:pPr>
    </w:p>
    <w:p w14:paraId="3F549D46" w14:textId="77777777" w:rsidR="00844AF3" w:rsidRPr="002B4A57" w:rsidRDefault="00844AF3" w:rsidP="002B4A57">
      <w:pPr>
        <w:keepNext/>
        <w:rPr>
          <w:rFonts w:cs="Times New Roman"/>
          <w:b/>
          <w:szCs w:val="24"/>
        </w:rPr>
      </w:pPr>
    </w:p>
    <w:p w14:paraId="7B65BC41" w14:textId="77777777" w:rsidR="00DE23E8" w:rsidRPr="001549D3" w:rsidRDefault="00DE23E8" w:rsidP="00654E8F">
      <w:pPr>
        <w:spacing w:before="240"/>
      </w:pPr>
    </w:p>
    <w:sectPr w:rsidR="00DE23E8" w:rsidRPr="001549D3" w:rsidSect="0093429D">
      <w:headerReference w:type="even" r:id="rId8"/>
      <w:footerReference w:type="default" r:id="rId9"/>
      <w:headerReference w:type="first" r:id="rId1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DA00F" w14:textId="77777777" w:rsidR="00407E2F" w:rsidRDefault="00407E2F" w:rsidP="00117666">
      <w:pPr>
        <w:spacing w:after="0"/>
      </w:pPr>
      <w:r>
        <w:separator/>
      </w:r>
    </w:p>
  </w:endnote>
  <w:endnote w:type="continuationSeparator" w:id="0">
    <w:p w14:paraId="09594776" w14:textId="77777777" w:rsidR="00407E2F" w:rsidRDefault="00407E2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6"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4811" w14:textId="77777777" w:rsidR="00407E2F" w:rsidRDefault="00407E2F" w:rsidP="00117666">
      <w:pPr>
        <w:spacing w:after="0"/>
      </w:pPr>
      <w:r>
        <w:separator/>
      </w:r>
    </w:p>
  </w:footnote>
  <w:footnote w:type="continuationSeparator" w:id="0">
    <w:p w14:paraId="54970229" w14:textId="77777777" w:rsidR="00407E2F" w:rsidRDefault="00407E2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271971E1" w:rsidR="00995F6A" w:rsidRDefault="0093429D" w:rsidP="0093429D">
    <w:pPr>
      <w:rPr>
        <w:rFonts w:cs="Times New Roman"/>
      </w:rPr>
    </w:pPr>
    <w:r w:rsidRPr="005A1D84">
      <w:rPr>
        <w:b/>
        <w:noProof/>
        <w:color w:val="A6A6A6" w:themeColor="background1" w:themeShade="A6"/>
        <w:lang w:val="en-GB" w:eastAsia="en-GB"/>
      </w:rPr>
      <w:drawing>
        <wp:anchor distT="0" distB="0" distL="114300" distR="114300" simplePos="0" relativeHeight="251658240" behindDoc="0" locked="0" layoutInCell="1" allowOverlap="1" wp14:anchorId="07D26A56" wp14:editId="79F4D2F6">
          <wp:simplePos x="0" y="0"/>
          <wp:positionH relativeFrom="column">
            <wp:posOffset>4637</wp:posOffset>
          </wp:positionH>
          <wp:positionV relativeFrom="paragraph">
            <wp:posOffset>74428</wp:posOffset>
          </wp:positionV>
          <wp:extent cx="1382534" cy="497091"/>
          <wp:effectExtent l="0" t="0" r="0" b="0"/>
          <wp:wrapSquare wrapText="bothSides"/>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34" cy="497091"/>
                  </a:xfrm>
                  <a:prstGeom prst="rect">
                    <a:avLst/>
                  </a:prstGeom>
                  <a:noFill/>
                  <a:ln>
                    <a:noFill/>
                  </a:ln>
                </pic:spPr>
              </pic:pic>
            </a:graphicData>
          </a:graphic>
        </wp:anchor>
      </w:drawing>
    </w:r>
    <w:r w:rsidR="00A87A4D">
      <w:rPr>
        <w:rFonts w:cs="Times New Roman"/>
      </w:rPr>
      <w:tab/>
    </w:r>
    <w:r w:rsidR="00A87A4D">
      <w:rPr>
        <w:rFonts w:cs="Times New Roman"/>
      </w:rPr>
      <w:tab/>
    </w:r>
    <w:r w:rsidR="00A87A4D">
      <w:rPr>
        <w:rFonts w:cs="Times New Roman"/>
      </w:rPr>
      <w:tab/>
    </w:r>
    <w:r w:rsidR="00A87A4D">
      <w:rPr>
        <w:rFonts w:cs="Times New Roman"/>
      </w:rPr>
      <w:tab/>
    </w:r>
    <w:r w:rsidR="00A87A4D">
      <w:rPr>
        <w:rFonts w:cs="Times New Roman"/>
      </w:rPr>
      <w:tab/>
    </w:r>
    <w:r w:rsidR="00A87A4D">
      <w:rPr>
        <w:rFonts w:cs="Times New Roman"/>
      </w:rPr>
      <w:tab/>
    </w:r>
    <w:r w:rsidR="00A87A4D">
      <w:rPr>
        <w:rFonts w:cs="Times New Roman"/>
      </w:rPr>
      <w:tab/>
    </w:r>
    <w:r w:rsidR="00844AF3" w:rsidRPr="009151AA">
      <w:rPr>
        <w:rFonts w:cs="Times New Roman"/>
      </w:rPr>
      <w:t xml:space="preserve">Supplementary </w:t>
    </w:r>
    <w:r w:rsidR="00844AF3">
      <w:rPr>
        <w:rFonts w:cs="Times New Roman"/>
      </w:rPr>
      <w:t>Material</w:t>
    </w:r>
  </w:p>
  <w:p w14:paraId="16327FC9" w14:textId="77777777" w:rsidR="00A87A4D" w:rsidRPr="00844AF3" w:rsidRDefault="00A87A4D" w:rsidP="0093429D">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567"/>
        </w:tabs>
        <w:ind w:left="567" w:hanging="567"/>
      </w:pPr>
      <w:rPr>
        <w:rFonts w:hint="default"/>
      </w:rPr>
    </w:lvl>
    <w:lvl w:ilvl="4">
      <w:start w:val="1"/>
      <w:numFmt w:val="decimal"/>
      <w:pStyle w:val="Kop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jstaline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NzM3MDM2NbcwtTRW0lEKTi0uzszPAykwrgUAJkBuHCwAAAA="/>
  </w:docVars>
  <w:rsids>
    <w:rsidRoot w:val="00ED20B5"/>
    <w:rsid w:val="0001436A"/>
    <w:rsid w:val="00034304"/>
    <w:rsid w:val="00035434"/>
    <w:rsid w:val="00052A14"/>
    <w:rsid w:val="00077D53"/>
    <w:rsid w:val="00105FD9"/>
    <w:rsid w:val="00117666"/>
    <w:rsid w:val="001549D3"/>
    <w:rsid w:val="00160065"/>
    <w:rsid w:val="0017302F"/>
    <w:rsid w:val="00177D84"/>
    <w:rsid w:val="00222B1D"/>
    <w:rsid w:val="00267D18"/>
    <w:rsid w:val="00274347"/>
    <w:rsid w:val="002868E2"/>
    <w:rsid w:val="002869C3"/>
    <w:rsid w:val="002936E4"/>
    <w:rsid w:val="002B4A57"/>
    <w:rsid w:val="002C74CA"/>
    <w:rsid w:val="003123F4"/>
    <w:rsid w:val="003544FB"/>
    <w:rsid w:val="003D2F2D"/>
    <w:rsid w:val="00401590"/>
    <w:rsid w:val="00407E2F"/>
    <w:rsid w:val="00447801"/>
    <w:rsid w:val="00452E9C"/>
    <w:rsid w:val="004735C8"/>
    <w:rsid w:val="004947A6"/>
    <w:rsid w:val="004961FF"/>
    <w:rsid w:val="004A58DC"/>
    <w:rsid w:val="00517A89"/>
    <w:rsid w:val="005250F2"/>
    <w:rsid w:val="00557674"/>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44AF3"/>
    <w:rsid w:val="00885156"/>
    <w:rsid w:val="009151AA"/>
    <w:rsid w:val="0093429D"/>
    <w:rsid w:val="00943573"/>
    <w:rsid w:val="00964134"/>
    <w:rsid w:val="00970F7D"/>
    <w:rsid w:val="00994A3D"/>
    <w:rsid w:val="009C2B12"/>
    <w:rsid w:val="00A174D9"/>
    <w:rsid w:val="00A87A4D"/>
    <w:rsid w:val="00AA4D24"/>
    <w:rsid w:val="00AB6715"/>
    <w:rsid w:val="00AC4CF1"/>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6715"/>
    <w:pPr>
      <w:spacing w:before="120" w:after="240" w:line="240" w:lineRule="auto"/>
    </w:pPr>
    <w:rPr>
      <w:rFonts w:ascii="Times New Roman" w:hAnsi="Times New Roman"/>
      <w:sz w:val="24"/>
    </w:rPr>
  </w:style>
  <w:style w:type="paragraph" w:styleId="Kop1">
    <w:name w:val="heading 1"/>
    <w:basedOn w:val="Lijstalinea"/>
    <w:next w:val="Standaard"/>
    <w:link w:val="Kop1Char"/>
    <w:uiPriority w:val="2"/>
    <w:qFormat/>
    <w:rsid w:val="00AB6715"/>
    <w:pPr>
      <w:numPr>
        <w:numId w:val="19"/>
      </w:numPr>
      <w:spacing w:before="240"/>
      <w:contextualSpacing w:val="0"/>
      <w:outlineLvl w:val="0"/>
    </w:pPr>
    <w:rPr>
      <w:b/>
    </w:rPr>
  </w:style>
  <w:style w:type="paragraph" w:styleId="Kop2">
    <w:name w:val="heading 2"/>
    <w:basedOn w:val="Kop1"/>
    <w:next w:val="Standaard"/>
    <w:link w:val="Kop2Char"/>
    <w:uiPriority w:val="2"/>
    <w:qFormat/>
    <w:rsid w:val="00AB6715"/>
    <w:pPr>
      <w:numPr>
        <w:ilvl w:val="1"/>
      </w:numPr>
      <w:spacing w:after="200"/>
      <w:outlineLvl w:val="1"/>
    </w:pPr>
  </w:style>
  <w:style w:type="paragraph" w:styleId="Kop3">
    <w:name w:val="heading 3"/>
    <w:basedOn w:val="Standaard"/>
    <w:next w:val="Standaard"/>
    <w:link w:val="Kop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Kop4">
    <w:name w:val="heading 4"/>
    <w:basedOn w:val="Kop3"/>
    <w:next w:val="Standaard"/>
    <w:link w:val="Kop4Char"/>
    <w:uiPriority w:val="2"/>
    <w:qFormat/>
    <w:rsid w:val="00AB6715"/>
    <w:pPr>
      <w:numPr>
        <w:ilvl w:val="3"/>
      </w:numPr>
      <w:outlineLvl w:val="3"/>
    </w:pPr>
    <w:rPr>
      <w:iCs/>
    </w:rPr>
  </w:style>
  <w:style w:type="paragraph" w:styleId="Kop5">
    <w:name w:val="heading 5"/>
    <w:basedOn w:val="Kop4"/>
    <w:next w:val="Standaard"/>
    <w:link w:val="Kop5Char"/>
    <w:uiPriority w:val="2"/>
    <w:qFormat/>
    <w:rsid w:val="00AB6715"/>
    <w:pPr>
      <w:numPr>
        <w:ilvl w:val="4"/>
      </w:numPr>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AB6715"/>
    <w:rPr>
      <w:rFonts w:ascii="Times New Roman" w:eastAsia="Cambria" w:hAnsi="Times New Roman" w:cs="Times New Roman"/>
      <w:b/>
      <w:sz w:val="24"/>
      <w:szCs w:val="24"/>
    </w:rPr>
  </w:style>
  <w:style w:type="character" w:customStyle="1" w:styleId="Kop2Char">
    <w:name w:val="Kop 2 Char"/>
    <w:basedOn w:val="Standaardalinea-lettertype"/>
    <w:link w:val="Kop2"/>
    <w:uiPriority w:val="2"/>
    <w:rsid w:val="00AB6715"/>
    <w:rPr>
      <w:rFonts w:ascii="Times New Roman" w:eastAsia="Cambria" w:hAnsi="Times New Roman" w:cs="Times New Roman"/>
      <w:b/>
      <w:sz w:val="24"/>
      <w:szCs w:val="24"/>
    </w:rPr>
  </w:style>
  <w:style w:type="paragraph" w:styleId="Ondertitel">
    <w:name w:val="Subtitle"/>
    <w:basedOn w:val="Standaard"/>
    <w:next w:val="Standaard"/>
    <w:link w:val="OndertitelChar"/>
    <w:uiPriority w:val="99"/>
    <w:unhideWhenUsed/>
    <w:qFormat/>
    <w:rsid w:val="00AB6715"/>
    <w:pPr>
      <w:spacing w:before="240"/>
    </w:pPr>
    <w:rPr>
      <w:rFonts w:cs="Times New Roman"/>
      <w:b/>
      <w:szCs w:val="24"/>
    </w:rPr>
  </w:style>
  <w:style w:type="character" w:customStyle="1" w:styleId="OndertitelChar">
    <w:name w:val="Ondertitel Char"/>
    <w:basedOn w:val="Standaardalinea-lettertype"/>
    <w:link w:val="Ond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Ondertitel"/>
    <w:next w:val="Standaard"/>
    <w:uiPriority w:val="1"/>
    <w:qFormat/>
    <w:rsid w:val="00AB6715"/>
  </w:style>
  <w:style w:type="paragraph" w:styleId="Ballontekst">
    <w:name w:val="Balloon Text"/>
    <w:basedOn w:val="Standaard"/>
    <w:link w:val="BallontekstChar"/>
    <w:uiPriority w:val="99"/>
    <w:semiHidden/>
    <w:unhideWhenUsed/>
    <w:rsid w:val="00AB671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715"/>
    <w:rPr>
      <w:rFonts w:ascii="Tahoma" w:hAnsi="Tahoma" w:cs="Tahoma"/>
      <w:sz w:val="16"/>
      <w:szCs w:val="16"/>
    </w:rPr>
  </w:style>
  <w:style w:type="character" w:styleId="Titelvanboek">
    <w:name w:val="Book Title"/>
    <w:basedOn w:val="Standaardalinea-lettertype"/>
    <w:uiPriority w:val="33"/>
    <w:qFormat/>
    <w:rsid w:val="00AB6715"/>
    <w:rPr>
      <w:rFonts w:ascii="Times New Roman" w:hAnsi="Times New Roman"/>
      <w:b/>
      <w:bCs/>
      <w:i/>
      <w:iCs/>
      <w:spacing w:val="5"/>
    </w:rPr>
  </w:style>
  <w:style w:type="paragraph" w:styleId="Bijschrift">
    <w:name w:val="caption"/>
    <w:basedOn w:val="Standaard"/>
    <w:next w:val="Geenafstand"/>
    <w:uiPriority w:val="35"/>
    <w:unhideWhenUsed/>
    <w:qFormat/>
    <w:rsid w:val="00AB6715"/>
    <w:pPr>
      <w:keepNext/>
    </w:pPr>
    <w:rPr>
      <w:rFonts w:cs="Times New Roman"/>
      <w:b/>
      <w:bCs/>
      <w:szCs w:val="24"/>
    </w:rPr>
  </w:style>
  <w:style w:type="paragraph" w:styleId="Geenafstand">
    <w:name w:val="No Spacing"/>
    <w:uiPriority w:val="99"/>
    <w:unhideWhenUsed/>
    <w:qFormat/>
    <w:rsid w:val="00AB6715"/>
    <w:pPr>
      <w:spacing w:after="0"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AB6715"/>
    <w:rPr>
      <w:sz w:val="16"/>
      <w:szCs w:val="16"/>
    </w:rPr>
  </w:style>
  <w:style w:type="paragraph" w:styleId="Tekstopmerking">
    <w:name w:val="annotation text"/>
    <w:basedOn w:val="Standaard"/>
    <w:link w:val="TekstopmerkingChar"/>
    <w:uiPriority w:val="99"/>
    <w:semiHidden/>
    <w:unhideWhenUsed/>
    <w:rsid w:val="00AB6715"/>
    <w:rPr>
      <w:sz w:val="20"/>
      <w:szCs w:val="20"/>
    </w:rPr>
  </w:style>
  <w:style w:type="character" w:customStyle="1" w:styleId="TekstopmerkingChar">
    <w:name w:val="Tekst opmerking Char"/>
    <w:basedOn w:val="Standaardalinea-lettertype"/>
    <w:link w:val="Tekstopmerking"/>
    <w:uiPriority w:val="99"/>
    <w:semiHidden/>
    <w:rsid w:val="00AB6715"/>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B6715"/>
    <w:rPr>
      <w:b/>
      <w:bCs/>
    </w:rPr>
  </w:style>
  <w:style w:type="character" w:customStyle="1" w:styleId="OnderwerpvanopmerkingChar">
    <w:name w:val="Onderwerp van opmerking Char"/>
    <w:basedOn w:val="TekstopmerkingChar"/>
    <w:link w:val="Onderwerpvanopmerking"/>
    <w:uiPriority w:val="99"/>
    <w:semiHidden/>
    <w:rsid w:val="00AB6715"/>
    <w:rPr>
      <w:rFonts w:ascii="Times New Roman" w:hAnsi="Times New Roman"/>
      <w:b/>
      <w:bCs/>
      <w:sz w:val="20"/>
      <w:szCs w:val="20"/>
    </w:rPr>
  </w:style>
  <w:style w:type="character" w:styleId="Nadruk">
    <w:name w:val="Emphasis"/>
    <w:basedOn w:val="Standaardalinea-lettertype"/>
    <w:uiPriority w:val="20"/>
    <w:qFormat/>
    <w:rsid w:val="00AB6715"/>
    <w:rPr>
      <w:rFonts w:ascii="Times New Roman" w:hAnsi="Times New Roman"/>
      <w:i/>
      <w:iCs/>
    </w:rPr>
  </w:style>
  <w:style w:type="character" w:styleId="Eindnootmarkering">
    <w:name w:val="endnote reference"/>
    <w:basedOn w:val="Standaardalinea-lettertype"/>
    <w:uiPriority w:val="99"/>
    <w:semiHidden/>
    <w:unhideWhenUsed/>
    <w:rsid w:val="00AB6715"/>
    <w:rPr>
      <w:vertAlign w:val="superscript"/>
    </w:rPr>
  </w:style>
  <w:style w:type="paragraph" w:styleId="Eindnoottekst">
    <w:name w:val="endnote text"/>
    <w:basedOn w:val="Standaard"/>
    <w:link w:val="EindnoottekstChar"/>
    <w:uiPriority w:val="99"/>
    <w:semiHidden/>
    <w:unhideWhenUsed/>
    <w:rsid w:val="00AB6715"/>
    <w:pPr>
      <w:spacing w:after="0"/>
    </w:pPr>
    <w:rPr>
      <w:sz w:val="20"/>
      <w:szCs w:val="20"/>
    </w:rPr>
  </w:style>
  <w:style w:type="character" w:customStyle="1" w:styleId="EindnoottekstChar">
    <w:name w:val="Eindnoottekst Char"/>
    <w:basedOn w:val="Standaardalinea-lettertype"/>
    <w:link w:val="Eindnoottekst"/>
    <w:uiPriority w:val="99"/>
    <w:semiHidden/>
    <w:rsid w:val="00AB6715"/>
    <w:rPr>
      <w:rFonts w:ascii="Times New Roman" w:hAnsi="Times New Roman"/>
      <w:sz w:val="20"/>
      <w:szCs w:val="20"/>
    </w:rPr>
  </w:style>
  <w:style w:type="character" w:styleId="GevolgdeHyperlink">
    <w:name w:val="FollowedHyperlink"/>
    <w:basedOn w:val="Standaardalinea-lettertype"/>
    <w:uiPriority w:val="99"/>
    <w:semiHidden/>
    <w:unhideWhenUsed/>
    <w:rsid w:val="00AB6715"/>
    <w:rPr>
      <w:color w:val="800080" w:themeColor="followedHyperlink"/>
      <w:u w:val="single"/>
    </w:rPr>
  </w:style>
  <w:style w:type="paragraph" w:styleId="Voettekst">
    <w:name w:val="footer"/>
    <w:basedOn w:val="Standaard"/>
    <w:link w:val="VoettekstChar"/>
    <w:uiPriority w:val="99"/>
    <w:unhideWhenUsed/>
    <w:rsid w:val="00AB6715"/>
    <w:pPr>
      <w:tabs>
        <w:tab w:val="center" w:pos="4844"/>
        <w:tab w:val="right" w:pos="9689"/>
      </w:tabs>
      <w:spacing w:after="0"/>
    </w:pPr>
  </w:style>
  <w:style w:type="character" w:customStyle="1" w:styleId="VoettekstChar">
    <w:name w:val="Voettekst Char"/>
    <w:basedOn w:val="Standaardalinea-lettertype"/>
    <w:link w:val="Voettekst"/>
    <w:uiPriority w:val="99"/>
    <w:rsid w:val="00AB6715"/>
    <w:rPr>
      <w:rFonts w:ascii="Times New Roman" w:hAnsi="Times New Roman"/>
      <w:sz w:val="24"/>
    </w:rPr>
  </w:style>
  <w:style w:type="character" w:styleId="Voetnootmarkering">
    <w:name w:val="footnote reference"/>
    <w:basedOn w:val="Standaardalinea-lettertype"/>
    <w:uiPriority w:val="99"/>
    <w:semiHidden/>
    <w:unhideWhenUsed/>
    <w:rsid w:val="00AB6715"/>
    <w:rPr>
      <w:vertAlign w:val="superscript"/>
    </w:rPr>
  </w:style>
  <w:style w:type="paragraph" w:styleId="Voetnoottekst">
    <w:name w:val="footnote text"/>
    <w:basedOn w:val="Standaard"/>
    <w:link w:val="VoetnoottekstChar"/>
    <w:uiPriority w:val="99"/>
    <w:semiHidden/>
    <w:unhideWhenUsed/>
    <w:rsid w:val="00AB6715"/>
    <w:pPr>
      <w:spacing w:after="0"/>
    </w:pPr>
    <w:rPr>
      <w:sz w:val="20"/>
      <w:szCs w:val="20"/>
    </w:rPr>
  </w:style>
  <w:style w:type="character" w:customStyle="1" w:styleId="VoetnoottekstChar">
    <w:name w:val="Voetnoottekst Char"/>
    <w:basedOn w:val="Standaardalinea-lettertype"/>
    <w:link w:val="Voetnoottekst"/>
    <w:uiPriority w:val="99"/>
    <w:semiHidden/>
    <w:rsid w:val="00AB6715"/>
    <w:rPr>
      <w:rFonts w:ascii="Times New Roman" w:hAnsi="Times New Roman"/>
      <w:sz w:val="20"/>
      <w:szCs w:val="20"/>
    </w:rPr>
  </w:style>
  <w:style w:type="paragraph" w:styleId="Koptekst">
    <w:name w:val="header"/>
    <w:basedOn w:val="Standaard"/>
    <w:link w:val="KoptekstChar"/>
    <w:uiPriority w:val="99"/>
    <w:unhideWhenUsed/>
    <w:rsid w:val="00AB6715"/>
    <w:pPr>
      <w:tabs>
        <w:tab w:val="center" w:pos="4844"/>
        <w:tab w:val="right" w:pos="9689"/>
      </w:tabs>
    </w:pPr>
    <w:rPr>
      <w:b/>
    </w:rPr>
  </w:style>
  <w:style w:type="character" w:customStyle="1" w:styleId="KoptekstChar">
    <w:name w:val="Koptekst Char"/>
    <w:basedOn w:val="Standaardalinea-lettertype"/>
    <w:link w:val="Koptekst"/>
    <w:uiPriority w:val="99"/>
    <w:rsid w:val="00AB6715"/>
    <w:rPr>
      <w:rFonts w:ascii="Times New Roman" w:hAnsi="Times New Roman"/>
      <w:b/>
      <w:sz w:val="24"/>
    </w:rPr>
  </w:style>
  <w:style w:type="paragraph" w:styleId="Lijstalinea">
    <w:name w:val="List Paragraph"/>
    <w:basedOn w:val="Standa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Standaardalinea-lettertype"/>
    <w:uiPriority w:val="99"/>
    <w:unhideWhenUsed/>
    <w:rsid w:val="00AB6715"/>
    <w:rPr>
      <w:color w:val="0000FF"/>
      <w:u w:val="single"/>
    </w:rPr>
  </w:style>
  <w:style w:type="character" w:styleId="Intensievebenadrukking">
    <w:name w:val="Intense Emphasis"/>
    <w:basedOn w:val="Standaardalinea-lettertype"/>
    <w:uiPriority w:val="21"/>
    <w:unhideWhenUsed/>
    <w:rsid w:val="00AB6715"/>
    <w:rPr>
      <w:rFonts w:ascii="Times New Roman" w:hAnsi="Times New Roman"/>
      <w:i/>
      <w:iCs/>
      <w:color w:val="auto"/>
    </w:rPr>
  </w:style>
  <w:style w:type="character" w:styleId="Intensieveverwijzing">
    <w:name w:val="Intense Reference"/>
    <w:basedOn w:val="Standaardalinea-lettertype"/>
    <w:uiPriority w:val="32"/>
    <w:qFormat/>
    <w:rsid w:val="00AB6715"/>
    <w:rPr>
      <w:b/>
      <w:bCs/>
      <w:smallCaps/>
      <w:color w:val="auto"/>
      <w:spacing w:val="5"/>
    </w:rPr>
  </w:style>
  <w:style w:type="character" w:styleId="Regelnummer">
    <w:name w:val="line number"/>
    <w:basedOn w:val="Standaardalinea-lettertype"/>
    <w:uiPriority w:val="99"/>
    <w:semiHidden/>
    <w:unhideWhenUsed/>
    <w:rsid w:val="00AB6715"/>
  </w:style>
  <w:style w:type="character" w:customStyle="1" w:styleId="Kop3Char">
    <w:name w:val="Kop 3 Char"/>
    <w:basedOn w:val="Standaardalinea-lettertype"/>
    <w:link w:val="Kop3"/>
    <w:uiPriority w:val="2"/>
    <w:rsid w:val="00AB6715"/>
    <w:rPr>
      <w:rFonts w:ascii="Times New Roman" w:eastAsiaTheme="majorEastAsia" w:hAnsi="Times New Roman" w:cstheme="majorBidi"/>
      <w:b/>
      <w:sz w:val="24"/>
      <w:szCs w:val="24"/>
    </w:rPr>
  </w:style>
  <w:style w:type="character" w:customStyle="1" w:styleId="Kop4Char">
    <w:name w:val="Kop 4 Char"/>
    <w:basedOn w:val="Standaardalinea-lettertype"/>
    <w:link w:val="Kop4"/>
    <w:uiPriority w:val="2"/>
    <w:rsid w:val="00AB6715"/>
    <w:rPr>
      <w:rFonts w:ascii="Times New Roman" w:eastAsiaTheme="majorEastAsia" w:hAnsi="Times New Roman" w:cstheme="majorBidi"/>
      <w:b/>
      <w:iCs/>
      <w:sz w:val="24"/>
      <w:szCs w:val="24"/>
    </w:rPr>
  </w:style>
  <w:style w:type="character" w:customStyle="1" w:styleId="Kop5Char">
    <w:name w:val="Kop 5 Char"/>
    <w:basedOn w:val="Standaardalinea-lettertype"/>
    <w:link w:val="Kop5"/>
    <w:uiPriority w:val="2"/>
    <w:rsid w:val="00AB6715"/>
    <w:rPr>
      <w:rFonts w:ascii="Times New Roman" w:eastAsiaTheme="majorEastAsia" w:hAnsi="Times New Roman" w:cstheme="majorBidi"/>
      <w:b/>
      <w:iCs/>
      <w:sz w:val="24"/>
      <w:szCs w:val="24"/>
    </w:rPr>
  </w:style>
  <w:style w:type="paragraph" w:styleId="Normaalweb">
    <w:name w:val="Normal (Web)"/>
    <w:basedOn w:val="Standaard"/>
    <w:uiPriority w:val="99"/>
    <w:unhideWhenUsed/>
    <w:rsid w:val="00AB6715"/>
    <w:pPr>
      <w:spacing w:before="100" w:beforeAutospacing="1" w:after="100" w:afterAutospacing="1"/>
    </w:pPr>
    <w:rPr>
      <w:rFonts w:eastAsia="Times New Roman" w:cs="Times New Roman"/>
      <w:szCs w:val="24"/>
    </w:rPr>
  </w:style>
  <w:style w:type="paragraph" w:styleId="Citaat">
    <w:name w:val="Quote"/>
    <w:basedOn w:val="Standaard"/>
    <w:next w:val="Standaard"/>
    <w:link w:val="CitaatChar"/>
    <w:uiPriority w:val="29"/>
    <w:qFormat/>
    <w:rsid w:val="00AB671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B6715"/>
    <w:rPr>
      <w:rFonts w:ascii="Times New Roman" w:hAnsi="Times New Roman"/>
      <w:i/>
      <w:iCs/>
      <w:color w:val="404040" w:themeColor="text1" w:themeTint="BF"/>
      <w:sz w:val="24"/>
    </w:rPr>
  </w:style>
  <w:style w:type="character" w:styleId="Zwaar">
    <w:name w:val="Strong"/>
    <w:basedOn w:val="Standaardalinea-lettertype"/>
    <w:uiPriority w:val="22"/>
    <w:qFormat/>
    <w:rsid w:val="00AB6715"/>
    <w:rPr>
      <w:rFonts w:ascii="Times New Roman" w:hAnsi="Times New Roman"/>
      <w:b/>
      <w:bCs/>
    </w:rPr>
  </w:style>
  <w:style w:type="character" w:styleId="Subtielebenadrukking">
    <w:name w:val="Subtle Emphasis"/>
    <w:basedOn w:val="Standaardalinea-lettertype"/>
    <w:uiPriority w:val="19"/>
    <w:qFormat/>
    <w:rsid w:val="00AB6715"/>
    <w:rPr>
      <w:rFonts w:ascii="Times New Roman" w:hAnsi="Times New Roman"/>
      <w:i/>
      <w:iCs/>
      <w:color w:val="404040" w:themeColor="text1" w:themeTint="BF"/>
    </w:rPr>
  </w:style>
  <w:style w:type="table" w:styleId="Tabelraster">
    <w:name w:val="Table Grid"/>
    <w:basedOn w:val="Standaardtabe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AB6715"/>
    <w:pPr>
      <w:suppressLineNumbers/>
      <w:spacing w:before="240" w:after="360"/>
      <w:jc w:val="center"/>
    </w:pPr>
    <w:rPr>
      <w:rFonts w:cs="Times New Roman"/>
      <w:b/>
      <w:sz w:val="32"/>
      <w:szCs w:val="32"/>
    </w:rPr>
  </w:style>
  <w:style w:type="character" w:customStyle="1" w:styleId="TitelChar">
    <w:name w:val="Titel Char"/>
    <w:basedOn w:val="Standaardalinea-lettertype"/>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table" w:styleId="Onopgemaaktetabel4">
    <w:name w:val="Plain Table 4"/>
    <w:basedOn w:val="Standaardtabel"/>
    <w:uiPriority w:val="44"/>
    <w:rsid w:val="00844AF3"/>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A9FC33-8D12-498B-9B1F-33B53B34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2</Pages>
  <Words>504</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Rosalie Kempkes</cp:lastModifiedBy>
  <cp:revision>6</cp:revision>
  <cp:lastPrinted>2013-10-03T12:51:00Z</cp:lastPrinted>
  <dcterms:created xsi:type="dcterms:W3CDTF">2019-11-25T17:32:00Z</dcterms:created>
  <dcterms:modified xsi:type="dcterms:W3CDTF">2019-11-26T11:30:00Z</dcterms:modified>
</cp:coreProperties>
</file>